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1F46" w14:textId="77777777" w:rsidR="00072EF8" w:rsidRDefault="00464A3C" w:rsidP="00632B4C">
      <w:pPr>
        <w:ind w:left="0" w:firstLine="357"/>
        <w:jc w:val="left"/>
        <w:rPr>
          <w:b/>
          <w:sz w:val="28"/>
          <w:szCs w:val="28"/>
        </w:rPr>
      </w:pPr>
      <w:r>
        <w:rPr>
          <w:noProof/>
          <w:lang w:val="sr-Latn-RS" w:eastAsia="sr-Latn-RS"/>
        </w:rPr>
        <w:drawing>
          <wp:inline distT="0" distB="0" distL="0" distR="0" wp14:anchorId="153CC2D8" wp14:editId="570B9742">
            <wp:extent cx="5762625" cy="1514475"/>
            <wp:effectExtent l="19050" t="0" r="9525" b="0"/>
            <wp:docPr id="1" name="Picture 1" descr="01 1_1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1_1  CIRILICA"/>
                    <pic:cNvPicPr>
                      <a:picLocks noChangeAspect="1" noChangeArrowheads="1"/>
                    </pic:cNvPicPr>
                  </pic:nvPicPr>
                  <pic:blipFill>
                    <a:blip r:embed="rId8"/>
                    <a:srcRect/>
                    <a:stretch>
                      <a:fillRect/>
                    </a:stretch>
                  </pic:blipFill>
                  <pic:spPr bwMode="auto">
                    <a:xfrm>
                      <a:off x="0" y="0"/>
                      <a:ext cx="5762625" cy="1514475"/>
                    </a:xfrm>
                    <a:prstGeom prst="rect">
                      <a:avLst/>
                    </a:prstGeom>
                    <a:noFill/>
                    <a:ln w="9525">
                      <a:noFill/>
                      <a:miter lim="800000"/>
                      <a:headEnd/>
                      <a:tailEnd/>
                    </a:ln>
                  </pic:spPr>
                </pic:pic>
              </a:graphicData>
            </a:graphic>
          </wp:inline>
        </w:drawing>
      </w:r>
    </w:p>
    <w:p w14:paraId="2DA4752E" w14:textId="77777777" w:rsidR="00072EF8" w:rsidRDefault="00072EF8" w:rsidP="00072EF8">
      <w:pPr>
        <w:ind w:left="-360" w:firstLine="360"/>
        <w:jc w:val="center"/>
        <w:rPr>
          <w:b/>
          <w:sz w:val="28"/>
          <w:szCs w:val="28"/>
        </w:rPr>
      </w:pPr>
    </w:p>
    <w:p w14:paraId="19303AC2" w14:textId="77777777" w:rsidR="00072EF8" w:rsidRDefault="00072EF8" w:rsidP="00FA4F90">
      <w:pPr>
        <w:tabs>
          <w:tab w:val="left" w:pos="7230"/>
        </w:tabs>
        <w:ind w:left="-360" w:firstLine="360"/>
        <w:jc w:val="center"/>
        <w:rPr>
          <w:b/>
          <w:sz w:val="28"/>
          <w:szCs w:val="28"/>
        </w:rPr>
      </w:pPr>
    </w:p>
    <w:p w14:paraId="6A4ADE2B" w14:textId="77777777" w:rsidR="00FA4F90" w:rsidRDefault="00FA4F90" w:rsidP="00FA4F90">
      <w:pPr>
        <w:tabs>
          <w:tab w:val="left" w:pos="7230"/>
        </w:tabs>
        <w:ind w:left="-360" w:firstLine="360"/>
        <w:jc w:val="center"/>
        <w:rPr>
          <w:b/>
          <w:sz w:val="28"/>
          <w:szCs w:val="28"/>
        </w:rPr>
      </w:pPr>
    </w:p>
    <w:p w14:paraId="553A1294" w14:textId="77777777" w:rsidR="00072EF8" w:rsidRDefault="00072EF8" w:rsidP="00072EF8">
      <w:pPr>
        <w:ind w:left="-360" w:firstLine="360"/>
        <w:jc w:val="center"/>
        <w:rPr>
          <w:b/>
          <w:sz w:val="28"/>
          <w:szCs w:val="28"/>
        </w:rPr>
      </w:pPr>
    </w:p>
    <w:p w14:paraId="2FE79461" w14:textId="77777777" w:rsidR="00072EF8" w:rsidRDefault="00072EF8" w:rsidP="00072EF8">
      <w:pPr>
        <w:ind w:left="-360" w:firstLine="360"/>
        <w:jc w:val="center"/>
        <w:rPr>
          <w:b/>
          <w:sz w:val="28"/>
          <w:szCs w:val="28"/>
        </w:rPr>
      </w:pPr>
    </w:p>
    <w:p w14:paraId="62341432" w14:textId="77777777" w:rsidR="00072EF8" w:rsidRDefault="00072EF8" w:rsidP="00072EF8">
      <w:pPr>
        <w:ind w:left="-360" w:firstLine="360"/>
        <w:jc w:val="center"/>
        <w:rPr>
          <w:b/>
          <w:sz w:val="28"/>
          <w:szCs w:val="28"/>
        </w:rPr>
      </w:pPr>
    </w:p>
    <w:p w14:paraId="02F79C88" w14:textId="77777777" w:rsidR="00072EF8" w:rsidRDefault="00072EF8" w:rsidP="00072EF8">
      <w:pPr>
        <w:ind w:left="-360" w:firstLine="360"/>
        <w:jc w:val="center"/>
        <w:rPr>
          <w:b/>
          <w:sz w:val="28"/>
          <w:szCs w:val="28"/>
        </w:rPr>
      </w:pPr>
    </w:p>
    <w:p w14:paraId="703CC321" w14:textId="77777777" w:rsidR="00072EF8" w:rsidRDefault="00072EF8" w:rsidP="00072EF8">
      <w:pPr>
        <w:ind w:left="-360" w:firstLine="360"/>
        <w:jc w:val="center"/>
        <w:rPr>
          <w:b/>
          <w:sz w:val="28"/>
          <w:szCs w:val="28"/>
        </w:rPr>
      </w:pPr>
    </w:p>
    <w:p w14:paraId="6616ABE5" w14:textId="77777777" w:rsidR="00072EF8" w:rsidRDefault="00072EF8" w:rsidP="00072EF8">
      <w:pPr>
        <w:ind w:left="-360" w:firstLine="360"/>
        <w:jc w:val="center"/>
        <w:rPr>
          <w:b/>
          <w:sz w:val="28"/>
          <w:szCs w:val="28"/>
        </w:rPr>
      </w:pPr>
    </w:p>
    <w:p w14:paraId="0ECD581F" w14:textId="77777777" w:rsidR="00072EF8" w:rsidRDefault="00072EF8" w:rsidP="00072EF8">
      <w:pPr>
        <w:ind w:left="-360" w:firstLine="360"/>
        <w:jc w:val="center"/>
        <w:rPr>
          <w:b/>
          <w:sz w:val="28"/>
          <w:szCs w:val="28"/>
        </w:rPr>
      </w:pPr>
    </w:p>
    <w:p w14:paraId="76BA4E43" w14:textId="77777777" w:rsidR="00072EF8" w:rsidRDefault="00072EF8" w:rsidP="00072EF8">
      <w:pPr>
        <w:ind w:left="-360" w:firstLine="360"/>
        <w:jc w:val="center"/>
        <w:rPr>
          <w:b/>
          <w:sz w:val="28"/>
          <w:szCs w:val="28"/>
        </w:rPr>
      </w:pPr>
    </w:p>
    <w:p w14:paraId="64595899" w14:textId="77777777" w:rsidR="00072EF8" w:rsidRDefault="00072EF8" w:rsidP="00072EF8">
      <w:pPr>
        <w:ind w:left="-360" w:firstLine="360"/>
        <w:jc w:val="center"/>
        <w:rPr>
          <w:b/>
          <w:sz w:val="28"/>
          <w:szCs w:val="28"/>
        </w:rPr>
      </w:pPr>
    </w:p>
    <w:p w14:paraId="52A8D3F3" w14:textId="77777777" w:rsidR="00072EF8" w:rsidRDefault="00072EF8" w:rsidP="00072EF8">
      <w:pPr>
        <w:ind w:left="-360" w:firstLine="360"/>
        <w:jc w:val="center"/>
        <w:rPr>
          <w:b/>
          <w:sz w:val="32"/>
          <w:szCs w:val="28"/>
          <w:lang w:val="sr-Latn-CS"/>
        </w:rPr>
      </w:pPr>
    </w:p>
    <w:p w14:paraId="31D80079" w14:textId="77777777" w:rsidR="00072EF8" w:rsidRPr="00E6559E" w:rsidRDefault="003124CF" w:rsidP="00E6559E">
      <w:pPr>
        <w:jc w:val="center"/>
        <w:rPr>
          <w:b/>
          <w:sz w:val="32"/>
          <w:szCs w:val="32"/>
        </w:rPr>
      </w:pPr>
      <w:r w:rsidRPr="00E6559E">
        <w:rPr>
          <w:b/>
          <w:sz w:val="32"/>
          <w:szCs w:val="32"/>
        </w:rPr>
        <w:t xml:space="preserve">К О Н С О Л И Д О В А Н И   </w:t>
      </w:r>
      <w:r w:rsidR="00072EF8" w:rsidRPr="00E6559E">
        <w:rPr>
          <w:b/>
          <w:sz w:val="32"/>
          <w:szCs w:val="32"/>
        </w:rPr>
        <w:t>ИЗВЈЕШТАЈ</w:t>
      </w:r>
    </w:p>
    <w:p w14:paraId="4696EAB6" w14:textId="77777777" w:rsidR="00072EF8" w:rsidRPr="00E6559E" w:rsidRDefault="00072EF8" w:rsidP="00E6559E">
      <w:pPr>
        <w:jc w:val="center"/>
        <w:rPr>
          <w:b/>
          <w:sz w:val="28"/>
          <w:szCs w:val="28"/>
          <w:lang w:val="sr-Latn-CS"/>
        </w:rPr>
      </w:pPr>
      <w:r w:rsidRPr="00E6559E">
        <w:rPr>
          <w:b/>
          <w:sz w:val="28"/>
          <w:szCs w:val="28"/>
        </w:rPr>
        <w:t>О  ИЗВРШЕЊУ БУЏЕТА ОПШТИНЕ ПРЊАВОР</w:t>
      </w:r>
    </w:p>
    <w:p w14:paraId="26B73045" w14:textId="77777777" w:rsidR="00072EF8" w:rsidRPr="00E6559E" w:rsidRDefault="00EB0600" w:rsidP="00E6559E">
      <w:pPr>
        <w:jc w:val="center"/>
        <w:rPr>
          <w:b/>
          <w:sz w:val="28"/>
          <w:szCs w:val="28"/>
        </w:rPr>
      </w:pPr>
      <w:r>
        <w:rPr>
          <w:b/>
          <w:sz w:val="28"/>
          <w:szCs w:val="28"/>
        </w:rPr>
        <w:t>ЗА ПЕРИОД  01.01–</w:t>
      </w:r>
      <w:r w:rsidR="00072EF8" w:rsidRPr="00E6559E">
        <w:rPr>
          <w:b/>
          <w:sz w:val="28"/>
          <w:szCs w:val="28"/>
        </w:rPr>
        <w:t>3</w:t>
      </w:r>
      <w:r w:rsidR="006E487C">
        <w:rPr>
          <w:b/>
          <w:sz w:val="28"/>
          <w:szCs w:val="28"/>
          <w:lang w:val="sr-Latn-CS"/>
        </w:rPr>
        <w:t>1</w:t>
      </w:r>
      <w:r w:rsidR="00072EF8" w:rsidRPr="00E6559E">
        <w:rPr>
          <w:b/>
          <w:sz w:val="28"/>
          <w:szCs w:val="28"/>
        </w:rPr>
        <w:t>.</w:t>
      </w:r>
      <w:r w:rsidR="006E487C">
        <w:rPr>
          <w:b/>
          <w:sz w:val="28"/>
          <w:szCs w:val="28"/>
        </w:rPr>
        <w:t>12</w:t>
      </w:r>
      <w:r w:rsidR="00072EF8" w:rsidRPr="00E6559E">
        <w:rPr>
          <w:b/>
          <w:sz w:val="28"/>
          <w:szCs w:val="28"/>
        </w:rPr>
        <w:t>.20</w:t>
      </w:r>
      <w:r w:rsidR="00430D37">
        <w:rPr>
          <w:b/>
          <w:sz w:val="28"/>
          <w:szCs w:val="28"/>
          <w:lang w:val="sr-Latn-CS"/>
        </w:rPr>
        <w:t>20</w:t>
      </w:r>
      <w:r w:rsidR="00072EF8" w:rsidRPr="00E6559E">
        <w:rPr>
          <w:b/>
          <w:sz w:val="28"/>
          <w:szCs w:val="28"/>
        </w:rPr>
        <w:t>. ГОДИНЕ</w:t>
      </w:r>
    </w:p>
    <w:p w14:paraId="5CC38CF9" w14:textId="77777777" w:rsidR="00072EF8" w:rsidRDefault="00072EF8" w:rsidP="00C3300A">
      <w:pPr>
        <w:ind w:left="-360" w:firstLine="360"/>
        <w:jc w:val="center"/>
        <w:rPr>
          <w:b/>
        </w:rPr>
      </w:pPr>
    </w:p>
    <w:p w14:paraId="5504185A" w14:textId="77777777" w:rsidR="00072EF8" w:rsidRDefault="00072EF8" w:rsidP="00072EF8">
      <w:pPr>
        <w:ind w:left="-360" w:firstLine="360"/>
        <w:jc w:val="center"/>
        <w:rPr>
          <w:b/>
        </w:rPr>
      </w:pPr>
    </w:p>
    <w:p w14:paraId="1927241E" w14:textId="77777777" w:rsidR="003124CF" w:rsidRDefault="003124CF" w:rsidP="00072EF8">
      <w:pPr>
        <w:ind w:left="-360" w:firstLine="360"/>
        <w:jc w:val="center"/>
        <w:rPr>
          <w:b/>
        </w:rPr>
      </w:pPr>
    </w:p>
    <w:p w14:paraId="0DA14A33" w14:textId="77777777" w:rsidR="003124CF" w:rsidRDefault="003124CF" w:rsidP="00072EF8">
      <w:pPr>
        <w:ind w:left="-360" w:firstLine="360"/>
        <w:jc w:val="center"/>
        <w:rPr>
          <w:b/>
        </w:rPr>
      </w:pPr>
    </w:p>
    <w:p w14:paraId="7FA83BF3" w14:textId="77777777" w:rsidR="003124CF" w:rsidRDefault="003124CF" w:rsidP="00072EF8">
      <w:pPr>
        <w:ind w:left="-360" w:firstLine="360"/>
        <w:jc w:val="center"/>
        <w:rPr>
          <w:b/>
        </w:rPr>
      </w:pPr>
    </w:p>
    <w:p w14:paraId="7410C6AB" w14:textId="77777777" w:rsidR="00072EF8" w:rsidRDefault="00072EF8" w:rsidP="00072EF8">
      <w:pPr>
        <w:ind w:left="-360" w:firstLine="360"/>
        <w:jc w:val="center"/>
        <w:rPr>
          <w:b/>
        </w:rPr>
      </w:pPr>
    </w:p>
    <w:p w14:paraId="42A295D1" w14:textId="77777777" w:rsidR="00072EF8" w:rsidRDefault="00072EF8" w:rsidP="00072EF8">
      <w:pPr>
        <w:ind w:left="-360" w:firstLine="360"/>
        <w:jc w:val="center"/>
        <w:rPr>
          <w:b/>
        </w:rPr>
      </w:pPr>
    </w:p>
    <w:p w14:paraId="725A4AF7" w14:textId="77777777" w:rsidR="00072EF8" w:rsidRDefault="00072EF8" w:rsidP="00072EF8">
      <w:pPr>
        <w:ind w:left="-360" w:firstLine="360"/>
        <w:jc w:val="center"/>
        <w:rPr>
          <w:b/>
        </w:rPr>
      </w:pPr>
    </w:p>
    <w:p w14:paraId="0CFACFFB" w14:textId="77777777" w:rsidR="00072EF8" w:rsidRDefault="00072EF8" w:rsidP="00072EF8">
      <w:pPr>
        <w:ind w:left="-360" w:firstLine="360"/>
        <w:jc w:val="center"/>
        <w:rPr>
          <w:b/>
        </w:rPr>
      </w:pPr>
    </w:p>
    <w:p w14:paraId="0D09998B" w14:textId="77777777" w:rsidR="00072EF8" w:rsidRDefault="00072EF8" w:rsidP="00072EF8">
      <w:pPr>
        <w:ind w:left="-360" w:firstLine="360"/>
        <w:jc w:val="center"/>
        <w:rPr>
          <w:b/>
        </w:rPr>
      </w:pPr>
    </w:p>
    <w:p w14:paraId="4454164E" w14:textId="77777777" w:rsidR="00072EF8" w:rsidRDefault="00072EF8" w:rsidP="00072EF8">
      <w:pPr>
        <w:ind w:left="-360" w:firstLine="360"/>
        <w:jc w:val="center"/>
        <w:rPr>
          <w:b/>
        </w:rPr>
      </w:pPr>
    </w:p>
    <w:p w14:paraId="68E879A3" w14:textId="77777777" w:rsidR="00072EF8" w:rsidRDefault="00072EF8" w:rsidP="00072EF8">
      <w:pPr>
        <w:ind w:left="-360" w:firstLine="360"/>
        <w:jc w:val="center"/>
        <w:rPr>
          <w:b/>
        </w:rPr>
      </w:pPr>
    </w:p>
    <w:p w14:paraId="398F511C" w14:textId="77777777" w:rsidR="00072EF8" w:rsidRDefault="00072EF8" w:rsidP="00072EF8">
      <w:pPr>
        <w:ind w:left="-360" w:firstLine="360"/>
        <w:jc w:val="center"/>
        <w:rPr>
          <w:b/>
        </w:rPr>
      </w:pPr>
    </w:p>
    <w:p w14:paraId="4A27726B" w14:textId="77777777" w:rsidR="00072EF8" w:rsidRDefault="00072EF8" w:rsidP="00072EF8">
      <w:pPr>
        <w:ind w:left="-360" w:firstLine="360"/>
        <w:jc w:val="center"/>
        <w:rPr>
          <w:b/>
        </w:rPr>
      </w:pPr>
    </w:p>
    <w:p w14:paraId="665D4524" w14:textId="77777777" w:rsidR="00072EF8" w:rsidRDefault="00072EF8" w:rsidP="00072EF8">
      <w:pPr>
        <w:ind w:left="-360" w:firstLine="360"/>
        <w:jc w:val="center"/>
        <w:rPr>
          <w:b/>
        </w:rPr>
      </w:pPr>
    </w:p>
    <w:p w14:paraId="233260DA" w14:textId="77777777" w:rsidR="00072EF8" w:rsidRDefault="00072EF8" w:rsidP="00072EF8">
      <w:pPr>
        <w:ind w:left="-360" w:firstLine="360"/>
        <w:jc w:val="center"/>
        <w:rPr>
          <w:b/>
        </w:rPr>
      </w:pPr>
    </w:p>
    <w:p w14:paraId="5EBA5ED0" w14:textId="77777777" w:rsidR="00072EF8" w:rsidRDefault="00072EF8" w:rsidP="00072EF8">
      <w:pPr>
        <w:ind w:left="-360" w:firstLine="360"/>
        <w:jc w:val="center"/>
        <w:rPr>
          <w:b/>
        </w:rPr>
      </w:pPr>
    </w:p>
    <w:p w14:paraId="2ED446AD" w14:textId="77777777" w:rsidR="00C41EC6" w:rsidRDefault="00C41EC6" w:rsidP="00072EF8">
      <w:pPr>
        <w:ind w:left="-360" w:firstLine="360"/>
        <w:jc w:val="center"/>
        <w:rPr>
          <w:b/>
        </w:rPr>
      </w:pPr>
    </w:p>
    <w:p w14:paraId="20A83104" w14:textId="77777777" w:rsidR="00072EF8" w:rsidRDefault="00072EF8" w:rsidP="00072EF8">
      <w:pPr>
        <w:ind w:left="-360" w:firstLine="360"/>
        <w:jc w:val="center"/>
        <w:rPr>
          <w:b/>
        </w:rPr>
      </w:pPr>
    </w:p>
    <w:p w14:paraId="6F6D3BF2" w14:textId="77777777" w:rsidR="00072EF8" w:rsidRDefault="00072EF8" w:rsidP="00072EF8">
      <w:pPr>
        <w:ind w:left="-360" w:firstLine="360"/>
        <w:jc w:val="center"/>
        <w:rPr>
          <w:b/>
        </w:rPr>
      </w:pPr>
    </w:p>
    <w:p w14:paraId="4CA1966B" w14:textId="77777777" w:rsidR="00C41EC6" w:rsidRDefault="00C41EC6" w:rsidP="00C41EC6">
      <w:pPr>
        <w:tabs>
          <w:tab w:val="left" w:pos="5103"/>
        </w:tabs>
        <w:ind w:left="0" w:firstLine="357"/>
        <w:jc w:val="left"/>
        <w:rPr>
          <w:b/>
        </w:rPr>
      </w:pPr>
      <w:r>
        <w:rPr>
          <w:b/>
          <w:lang w:val="sr-Latn-RS"/>
        </w:rPr>
        <w:t xml:space="preserve">                                                                                           </w:t>
      </w:r>
      <w:r w:rsidR="00072EF8">
        <w:rPr>
          <w:b/>
        </w:rPr>
        <w:t>П</w:t>
      </w:r>
      <w:proofErr w:type="spellStart"/>
      <w:r w:rsidR="00072EF8">
        <w:rPr>
          <w:b/>
          <w:lang w:val="sr-Latn-CS"/>
        </w:rPr>
        <w:t>редлагач</w:t>
      </w:r>
      <w:proofErr w:type="spellEnd"/>
      <w:r w:rsidR="00C3300A">
        <w:rPr>
          <w:b/>
          <w:lang w:val="sr-Latn-CS"/>
        </w:rPr>
        <w:t xml:space="preserve">: </w:t>
      </w:r>
      <w:r w:rsidR="00072EF8" w:rsidRPr="00C3300A">
        <w:rPr>
          <w:b/>
        </w:rPr>
        <w:t>Начелник општине</w:t>
      </w:r>
    </w:p>
    <w:p w14:paraId="6E146919" w14:textId="77777777" w:rsidR="006F111D" w:rsidRDefault="002207F0" w:rsidP="00C41EC6">
      <w:pPr>
        <w:tabs>
          <w:tab w:val="left" w:pos="5103"/>
        </w:tabs>
        <w:ind w:left="0" w:firstLine="0"/>
        <w:jc w:val="left"/>
        <w:rPr>
          <w:b/>
        </w:rPr>
      </w:pPr>
      <w:r w:rsidRPr="00045225">
        <w:rPr>
          <w:b/>
        </w:rPr>
        <w:t xml:space="preserve">Прњавор,  </w:t>
      </w:r>
      <w:r w:rsidR="006E487C">
        <w:rPr>
          <w:b/>
        </w:rPr>
        <w:t>април</w:t>
      </w:r>
      <w:r w:rsidR="00C41EC6">
        <w:rPr>
          <w:b/>
          <w:lang w:val="sr-Latn-RS"/>
        </w:rPr>
        <w:t xml:space="preserve"> </w:t>
      </w:r>
      <w:r w:rsidR="00072EF8" w:rsidRPr="00045225">
        <w:rPr>
          <w:b/>
        </w:rPr>
        <w:t>20</w:t>
      </w:r>
      <w:r w:rsidR="006E487C">
        <w:rPr>
          <w:b/>
          <w:lang w:val="sr-Latn-CS"/>
        </w:rPr>
        <w:t>21</w:t>
      </w:r>
      <w:r w:rsidR="00072EF8" w:rsidRPr="00045225">
        <w:rPr>
          <w:b/>
        </w:rPr>
        <w:t>. године</w:t>
      </w:r>
      <w:r w:rsidR="00C41EC6">
        <w:rPr>
          <w:b/>
          <w:lang w:val="sr-Latn-RS"/>
        </w:rPr>
        <w:t xml:space="preserve">                                           </w:t>
      </w:r>
      <w:r>
        <w:rPr>
          <w:b/>
        </w:rPr>
        <w:t>Обрађивач</w:t>
      </w:r>
      <w:r w:rsidRPr="00162739">
        <w:rPr>
          <w:b/>
        </w:rPr>
        <w:t xml:space="preserve">: </w:t>
      </w:r>
      <w:proofErr w:type="spellStart"/>
      <w:r w:rsidRPr="00162739">
        <w:rPr>
          <w:b/>
        </w:rPr>
        <w:t>Одјељење</w:t>
      </w:r>
      <w:proofErr w:type="spellEnd"/>
      <w:r w:rsidRPr="00162739">
        <w:rPr>
          <w:b/>
        </w:rPr>
        <w:t xml:space="preserve"> за финансије</w:t>
      </w:r>
    </w:p>
    <w:p w14:paraId="2010E94F" w14:textId="77777777" w:rsidR="00C41EC6" w:rsidRDefault="00C41EC6" w:rsidP="00C41EC6">
      <w:pPr>
        <w:tabs>
          <w:tab w:val="left" w:pos="5103"/>
        </w:tabs>
        <w:ind w:left="0" w:firstLine="0"/>
        <w:jc w:val="left"/>
        <w:rPr>
          <w:b/>
          <w:lang w:val="sr-Latn-CS"/>
        </w:rPr>
      </w:pPr>
    </w:p>
    <w:p w14:paraId="43D32DAD" w14:textId="77777777" w:rsidR="00087682" w:rsidRPr="00087682" w:rsidRDefault="00087682" w:rsidP="00087682">
      <w:pPr>
        <w:tabs>
          <w:tab w:val="left" w:pos="5103"/>
        </w:tabs>
        <w:ind w:left="0" w:firstLine="357"/>
        <w:jc w:val="center"/>
        <w:rPr>
          <w:b/>
          <w:sz w:val="28"/>
          <w:szCs w:val="28"/>
        </w:rPr>
      </w:pPr>
      <w:r w:rsidRPr="00087682">
        <w:rPr>
          <w:b/>
          <w:sz w:val="28"/>
          <w:szCs w:val="28"/>
        </w:rPr>
        <w:lastRenderedPageBreak/>
        <w:t>САДРЖА</w:t>
      </w:r>
      <w:r>
        <w:rPr>
          <w:b/>
          <w:sz w:val="28"/>
          <w:szCs w:val="28"/>
        </w:rPr>
        <w:t xml:space="preserve"> Ј</w:t>
      </w:r>
    </w:p>
    <w:p w14:paraId="178C259C" w14:textId="77777777" w:rsidR="00087682" w:rsidRPr="00CA45AA" w:rsidRDefault="00087682" w:rsidP="00C3300A">
      <w:pPr>
        <w:tabs>
          <w:tab w:val="left" w:pos="5103"/>
        </w:tabs>
        <w:ind w:left="0" w:firstLine="357"/>
        <w:jc w:val="left"/>
        <w:rPr>
          <w:b/>
          <w:sz w:val="20"/>
          <w:szCs w:val="20"/>
          <w:lang w:val="sr-Latn-CS"/>
        </w:rPr>
      </w:pPr>
    </w:p>
    <w:p w14:paraId="768B8A64" w14:textId="77777777" w:rsidR="00102661" w:rsidRPr="00102661" w:rsidRDefault="00886AA5" w:rsidP="00A464AC">
      <w:pPr>
        <w:pStyle w:val="SADRAJ1"/>
        <w:rPr>
          <w:rFonts w:asciiTheme="minorHAnsi" w:eastAsiaTheme="minorEastAsia" w:hAnsiTheme="minorHAnsi" w:cstheme="minorBidi"/>
        </w:rPr>
      </w:pPr>
      <w:r w:rsidRPr="00CA45AA">
        <w:rPr>
          <w:lang w:val="sr-Latn-CS"/>
        </w:rPr>
        <w:fldChar w:fldCharType="begin"/>
      </w:r>
      <w:r w:rsidR="00E6559E" w:rsidRPr="00CA45AA">
        <w:rPr>
          <w:lang w:val="sr-Latn-CS"/>
        </w:rPr>
        <w:instrText xml:space="preserve"> TOC \h \z \t "Heading 1;2;Podnaslovi1;3;Glavni naslovi;1;Podnaslovi2;4;Podnaslov3;5" </w:instrText>
      </w:r>
      <w:r w:rsidRPr="00CA45AA">
        <w:rPr>
          <w:lang w:val="sr-Latn-CS"/>
        </w:rPr>
        <w:fldChar w:fldCharType="separate"/>
      </w:r>
      <w:hyperlink w:anchor="_Toc50641177" w:history="1">
        <w:r w:rsidR="00102661" w:rsidRPr="00102661">
          <w:rPr>
            <w:rStyle w:val="Hiperveza"/>
          </w:rPr>
          <w:t>УВОД</w:t>
        </w:r>
        <w:r w:rsidR="00102661" w:rsidRPr="00102661">
          <w:rPr>
            <w:rStyle w:val="Hiperveza"/>
          </w:rPr>
          <w:tab/>
          <w:t>...</w:t>
        </w:r>
        <w:r w:rsidRPr="00102661">
          <w:rPr>
            <w:webHidden/>
          </w:rPr>
          <w:fldChar w:fldCharType="begin"/>
        </w:r>
        <w:r w:rsidR="00102661" w:rsidRPr="00102661">
          <w:rPr>
            <w:webHidden/>
          </w:rPr>
          <w:instrText xml:space="preserve"> PAGEREF _Toc50641177 \h </w:instrText>
        </w:r>
        <w:r w:rsidRPr="00102661">
          <w:rPr>
            <w:webHidden/>
          </w:rPr>
        </w:r>
        <w:r w:rsidRPr="00102661">
          <w:rPr>
            <w:webHidden/>
          </w:rPr>
          <w:fldChar w:fldCharType="separate"/>
        </w:r>
        <w:r w:rsidR="00C06EF3">
          <w:rPr>
            <w:webHidden/>
          </w:rPr>
          <w:t>2</w:t>
        </w:r>
        <w:r w:rsidRPr="00102661">
          <w:rPr>
            <w:webHidden/>
          </w:rPr>
          <w:fldChar w:fldCharType="end"/>
        </w:r>
      </w:hyperlink>
    </w:p>
    <w:p w14:paraId="62490B6C" w14:textId="77777777" w:rsidR="00102661" w:rsidRPr="00102661" w:rsidRDefault="00B0349C" w:rsidP="00A464AC">
      <w:pPr>
        <w:pStyle w:val="SADRAJ1"/>
        <w:rPr>
          <w:rFonts w:asciiTheme="minorHAnsi" w:eastAsiaTheme="minorEastAsia" w:hAnsiTheme="minorHAnsi" w:cstheme="minorBidi"/>
        </w:rPr>
      </w:pPr>
      <w:hyperlink w:anchor="_Toc50641178" w:history="1">
        <w:r w:rsidR="00102661" w:rsidRPr="00102661">
          <w:rPr>
            <w:rStyle w:val="Hiperveza"/>
          </w:rPr>
          <w:t>1.</w:t>
        </w:r>
        <w:r w:rsidR="00102661" w:rsidRPr="00102661">
          <w:rPr>
            <w:rFonts w:asciiTheme="minorHAnsi" w:eastAsiaTheme="minorEastAsia" w:hAnsiTheme="minorHAnsi" w:cstheme="minorBidi"/>
          </w:rPr>
          <w:tab/>
        </w:r>
        <w:r w:rsidR="00102661" w:rsidRPr="00102661">
          <w:rPr>
            <w:rStyle w:val="Hiperveza"/>
          </w:rPr>
          <w:t>ЗАКОНОДАВНО-ПРАВНИ ОКВИР</w:t>
        </w:r>
        <w:r w:rsidR="00102661" w:rsidRPr="00102661">
          <w:rPr>
            <w:webHidden/>
          </w:rPr>
          <w:tab/>
        </w:r>
        <w:r w:rsidR="00886AA5" w:rsidRPr="00102661">
          <w:rPr>
            <w:webHidden/>
          </w:rPr>
          <w:fldChar w:fldCharType="begin"/>
        </w:r>
        <w:r w:rsidR="00102661" w:rsidRPr="00102661">
          <w:rPr>
            <w:webHidden/>
          </w:rPr>
          <w:instrText xml:space="preserve"> PAGEREF _Toc50641178 \h </w:instrText>
        </w:r>
        <w:r w:rsidR="00886AA5" w:rsidRPr="00102661">
          <w:rPr>
            <w:webHidden/>
          </w:rPr>
        </w:r>
        <w:r w:rsidR="00886AA5" w:rsidRPr="00102661">
          <w:rPr>
            <w:webHidden/>
          </w:rPr>
          <w:fldChar w:fldCharType="separate"/>
        </w:r>
        <w:r w:rsidR="00C06EF3">
          <w:rPr>
            <w:webHidden/>
          </w:rPr>
          <w:t>2</w:t>
        </w:r>
        <w:r w:rsidR="00886AA5" w:rsidRPr="00102661">
          <w:rPr>
            <w:webHidden/>
          </w:rPr>
          <w:fldChar w:fldCharType="end"/>
        </w:r>
      </w:hyperlink>
    </w:p>
    <w:p w14:paraId="27481A0F" w14:textId="77777777" w:rsidR="00102661" w:rsidRPr="00102661" w:rsidRDefault="00B0349C" w:rsidP="00A464AC">
      <w:pPr>
        <w:pStyle w:val="SADRAJ1"/>
        <w:rPr>
          <w:rFonts w:asciiTheme="minorHAnsi" w:eastAsiaTheme="minorEastAsia" w:hAnsiTheme="minorHAnsi" w:cstheme="minorBidi"/>
        </w:rPr>
      </w:pPr>
      <w:hyperlink w:anchor="_Toc50641179" w:history="1">
        <w:r w:rsidR="00102661" w:rsidRPr="00102661">
          <w:rPr>
            <w:rStyle w:val="Hiperveza"/>
          </w:rPr>
          <w:t>2.</w:t>
        </w:r>
        <w:r w:rsidR="00102661" w:rsidRPr="00102661">
          <w:rPr>
            <w:rFonts w:asciiTheme="minorHAnsi" w:eastAsiaTheme="minorEastAsia" w:hAnsiTheme="minorHAnsi" w:cstheme="minorBidi"/>
          </w:rPr>
          <w:tab/>
        </w:r>
        <w:r w:rsidR="00102661" w:rsidRPr="00102661">
          <w:rPr>
            <w:rStyle w:val="Hiperveza"/>
          </w:rPr>
          <w:t>БУЏЕТ ОПШТИНЕ ПРЊАВОР ЗА 2020. ГОДИНУ</w:t>
        </w:r>
        <w:r w:rsidR="00102661" w:rsidRPr="00102661">
          <w:rPr>
            <w:webHidden/>
          </w:rPr>
          <w:tab/>
        </w:r>
        <w:r w:rsidR="00886AA5" w:rsidRPr="00102661">
          <w:rPr>
            <w:webHidden/>
          </w:rPr>
          <w:fldChar w:fldCharType="begin"/>
        </w:r>
        <w:r w:rsidR="00102661" w:rsidRPr="00102661">
          <w:rPr>
            <w:webHidden/>
          </w:rPr>
          <w:instrText xml:space="preserve"> PAGEREF _Toc50641179 \h </w:instrText>
        </w:r>
        <w:r w:rsidR="00886AA5" w:rsidRPr="00102661">
          <w:rPr>
            <w:webHidden/>
          </w:rPr>
        </w:r>
        <w:r w:rsidR="00886AA5" w:rsidRPr="00102661">
          <w:rPr>
            <w:webHidden/>
          </w:rPr>
          <w:fldChar w:fldCharType="separate"/>
        </w:r>
        <w:r w:rsidR="00C06EF3">
          <w:rPr>
            <w:webHidden/>
          </w:rPr>
          <w:t>3</w:t>
        </w:r>
        <w:r w:rsidR="00886AA5" w:rsidRPr="00102661">
          <w:rPr>
            <w:webHidden/>
          </w:rPr>
          <w:fldChar w:fldCharType="end"/>
        </w:r>
      </w:hyperlink>
    </w:p>
    <w:p w14:paraId="141C738A" w14:textId="77777777" w:rsidR="00102661" w:rsidRPr="00102661" w:rsidRDefault="00B0349C" w:rsidP="00A464AC">
      <w:pPr>
        <w:pStyle w:val="SADRAJ1"/>
        <w:rPr>
          <w:rFonts w:asciiTheme="minorHAnsi" w:eastAsiaTheme="minorEastAsia" w:hAnsiTheme="minorHAnsi" w:cstheme="minorBidi"/>
        </w:rPr>
      </w:pPr>
      <w:hyperlink w:anchor="_Toc50641180" w:history="1">
        <w:r w:rsidR="00102661" w:rsidRPr="00102661">
          <w:rPr>
            <w:rStyle w:val="Hiperveza"/>
          </w:rPr>
          <w:t>3.</w:t>
        </w:r>
        <w:r w:rsidR="00102661" w:rsidRPr="00102661">
          <w:rPr>
            <w:rFonts w:asciiTheme="minorHAnsi" w:eastAsiaTheme="minorEastAsia" w:hAnsiTheme="minorHAnsi" w:cstheme="minorBidi"/>
          </w:rPr>
          <w:tab/>
        </w:r>
        <w:r w:rsidR="00102661" w:rsidRPr="00102661">
          <w:rPr>
            <w:rStyle w:val="Hiperveza"/>
          </w:rPr>
          <w:t>ИЗВРШЕЊЕ БУЏЕТА ОПШТИНЕ ПРЊАВОР</w:t>
        </w:r>
      </w:hyperlink>
      <w:hyperlink w:anchor="_Toc50641181" w:history="1">
        <w:r w:rsidR="00A464AC">
          <w:rPr>
            <w:rStyle w:val="Hiperveza"/>
          </w:rPr>
          <w:t>ЗА ПЕРИОД 01.01-31.12</w:t>
        </w:r>
        <w:r w:rsidR="00102661" w:rsidRPr="00102661">
          <w:rPr>
            <w:rStyle w:val="Hiperveza"/>
          </w:rPr>
          <w:t>.2020. ГОДИНЕ</w:t>
        </w:r>
        <w:r w:rsidR="00102661" w:rsidRPr="00102661">
          <w:rPr>
            <w:webHidden/>
          </w:rPr>
          <w:tab/>
        </w:r>
        <w:r w:rsidR="00886AA5" w:rsidRPr="00102661">
          <w:rPr>
            <w:webHidden/>
          </w:rPr>
          <w:fldChar w:fldCharType="begin"/>
        </w:r>
        <w:r w:rsidR="00102661" w:rsidRPr="00102661">
          <w:rPr>
            <w:webHidden/>
          </w:rPr>
          <w:instrText xml:space="preserve"> PAGEREF _Toc50641181 \h </w:instrText>
        </w:r>
        <w:r w:rsidR="00886AA5" w:rsidRPr="00102661">
          <w:rPr>
            <w:webHidden/>
          </w:rPr>
        </w:r>
        <w:r w:rsidR="00886AA5" w:rsidRPr="00102661">
          <w:rPr>
            <w:webHidden/>
          </w:rPr>
          <w:fldChar w:fldCharType="separate"/>
        </w:r>
        <w:r w:rsidR="00C06EF3">
          <w:rPr>
            <w:webHidden/>
          </w:rPr>
          <w:t>4</w:t>
        </w:r>
        <w:r w:rsidR="00886AA5" w:rsidRPr="00102661">
          <w:rPr>
            <w:webHidden/>
          </w:rPr>
          <w:fldChar w:fldCharType="end"/>
        </w:r>
      </w:hyperlink>
    </w:p>
    <w:p w14:paraId="2289308E" w14:textId="77777777" w:rsidR="00102661" w:rsidRPr="00102661" w:rsidRDefault="00B0349C" w:rsidP="00A464AC">
      <w:pPr>
        <w:pStyle w:val="SADRAJ2"/>
        <w:rPr>
          <w:rFonts w:asciiTheme="minorHAnsi" w:eastAsiaTheme="minorEastAsia" w:hAnsiTheme="minorHAnsi" w:cstheme="minorBidi"/>
          <w:noProof/>
        </w:rPr>
      </w:pPr>
      <w:hyperlink w:anchor="_Toc50641182" w:history="1">
        <w:r w:rsidR="00102661" w:rsidRPr="00102661">
          <w:rPr>
            <w:rStyle w:val="Hiperveza"/>
            <w:noProof/>
            <w:sz w:val="22"/>
            <w:szCs w:val="22"/>
          </w:rPr>
          <w:t>3.1. ФОНД 01 - ОПШТИ ФОНД</w:t>
        </w:r>
        <w:r w:rsidR="00102661" w:rsidRPr="00102661">
          <w:rPr>
            <w:noProof/>
            <w:webHidden/>
          </w:rPr>
          <w:tab/>
        </w:r>
        <w:r w:rsidR="00886AA5" w:rsidRPr="00A464AC">
          <w:rPr>
            <w:noProof/>
            <w:webHidden/>
            <w:sz w:val="22"/>
            <w:szCs w:val="22"/>
          </w:rPr>
          <w:fldChar w:fldCharType="begin"/>
        </w:r>
        <w:r w:rsidR="00102661" w:rsidRPr="00A464AC">
          <w:rPr>
            <w:noProof/>
            <w:webHidden/>
            <w:sz w:val="22"/>
            <w:szCs w:val="22"/>
          </w:rPr>
          <w:instrText xml:space="preserve"> PAGEREF _Toc50641182 \h </w:instrText>
        </w:r>
        <w:r w:rsidR="00886AA5" w:rsidRPr="00A464AC">
          <w:rPr>
            <w:noProof/>
            <w:webHidden/>
            <w:sz w:val="22"/>
            <w:szCs w:val="22"/>
          </w:rPr>
        </w:r>
        <w:r w:rsidR="00886AA5" w:rsidRPr="00A464AC">
          <w:rPr>
            <w:noProof/>
            <w:webHidden/>
            <w:sz w:val="22"/>
            <w:szCs w:val="22"/>
          </w:rPr>
          <w:fldChar w:fldCharType="separate"/>
        </w:r>
        <w:r w:rsidR="00C06EF3">
          <w:rPr>
            <w:noProof/>
            <w:webHidden/>
            <w:sz w:val="22"/>
            <w:szCs w:val="22"/>
          </w:rPr>
          <w:t>5</w:t>
        </w:r>
        <w:r w:rsidR="00886AA5" w:rsidRPr="00A464AC">
          <w:rPr>
            <w:noProof/>
            <w:webHidden/>
            <w:sz w:val="22"/>
            <w:szCs w:val="22"/>
          </w:rPr>
          <w:fldChar w:fldCharType="end"/>
        </w:r>
      </w:hyperlink>
    </w:p>
    <w:p w14:paraId="04186CA4" w14:textId="77777777" w:rsidR="00102661" w:rsidRPr="00102661" w:rsidRDefault="00B0349C" w:rsidP="00102661">
      <w:pPr>
        <w:pStyle w:val="SADRAJ3"/>
        <w:rPr>
          <w:rFonts w:asciiTheme="minorHAnsi" w:eastAsiaTheme="minorEastAsia" w:hAnsiTheme="minorHAnsi" w:cstheme="minorBidi"/>
          <w:noProof/>
          <w:sz w:val="22"/>
          <w:szCs w:val="22"/>
        </w:rPr>
      </w:pPr>
      <w:hyperlink w:anchor="_Toc50641183" w:history="1">
        <w:r w:rsidR="00102661" w:rsidRPr="00102661">
          <w:rPr>
            <w:rStyle w:val="Hiperveza"/>
            <w:noProof/>
            <w:sz w:val="22"/>
            <w:szCs w:val="22"/>
          </w:rPr>
          <w:t>3.1.1. ОПШТИ ДИО ИЗВЈЕШТАЈА О ИЗВРШЕЊУ БУЏЕТА</w:t>
        </w:r>
      </w:hyperlink>
      <w:r w:rsidR="00A464AC">
        <w:rPr>
          <w:rStyle w:val="Hiperveza"/>
          <w:noProof/>
          <w:sz w:val="22"/>
          <w:szCs w:val="22"/>
          <w:lang w:val="sr-Cyrl-RS"/>
        </w:rPr>
        <w:t xml:space="preserve"> </w:t>
      </w:r>
      <w:hyperlink w:anchor="_Toc50641184" w:history="1">
        <w:r w:rsidR="00102661" w:rsidRPr="00102661">
          <w:rPr>
            <w:rStyle w:val="Hiperveza"/>
            <w:noProof/>
            <w:sz w:val="22"/>
            <w:szCs w:val="22"/>
          </w:rPr>
          <w:t>ОПШТИНЕ</w:t>
        </w:r>
        <w:r w:rsidR="00A464AC">
          <w:rPr>
            <w:rStyle w:val="Hiperveza"/>
            <w:noProof/>
            <w:sz w:val="22"/>
            <w:szCs w:val="22"/>
            <w:lang w:val="sr-Cyrl-RS"/>
          </w:rPr>
          <w:t xml:space="preserve"> </w:t>
        </w:r>
        <w:r w:rsidR="00102661" w:rsidRPr="00102661">
          <w:rPr>
            <w:rStyle w:val="Hiperveza"/>
            <w:noProof/>
            <w:sz w:val="22"/>
            <w:szCs w:val="22"/>
          </w:rPr>
          <w:t>ПРЊАВОР</w:t>
        </w:r>
        <w:r w:rsidR="00A464AC">
          <w:rPr>
            <w:rStyle w:val="Hiperveza"/>
            <w:noProof/>
            <w:sz w:val="22"/>
            <w:szCs w:val="22"/>
            <w:lang w:val="sr-Cyrl-RS"/>
          </w:rPr>
          <w:t xml:space="preserve">                        </w:t>
        </w:r>
        <w:r w:rsidR="00A464AC">
          <w:rPr>
            <w:rStyle w:val="Hiperveza"/>
            <w:noProof/>
            <w:sz w:val="22"/>
            <w:szCs w:val="22"/>
          </w:rPr>
          <w:t xml:space="preserve"> ЗА ПЕРИОД 01.01-31.12</w:t>
        </w:r>
        <w:r w:rsidR="00102661" w:rsidRPr="00102661">
          <w:rPr>
            <w:rStyle w:val="Hiperveza"/>
            <w:noProof/>
            <w:sz w:val="22"/>
            <w:szCs w:val="22"/>
          </w:rPr>
          <w:t>.2020. ГОДИНЕ</w:t>
        </w:r>
        <w:r w:rsidR="00102661" w:rsidRPr="00102661">
          <w:rPr>
            <w:noProof/>
            <w:webHidden/>
            <w:sz w:val="22"/>
            <w:szCs w:val="22"/>
          </w:rPr>
          <w:tab/>
        </w:r>
        <w:r w:rsidR="00886AA5" w:rsidRPr="00102661">
          <w:rPr>
            <w:noProof/>
            <w:webHidden/>
            <w:sz w:val="22"/>
            <w:szCs w:val="22"/>
          </w:rPr>
          <w:fldChar w:fldCharType="begin"/>
        </w:r>
        <w:r w:rsidR="00102661" w:rsidRPr="00102661">
          <w:rPr>
            <w:noProof/>
            <w:webHidden/>
            <w:sz w:val="22"/>
            <w:szCs w:val="22"/>
          </w:rPr>
          <w:instrText xml:space="preserve"> PAGEREF _Toc50641184 \h </w:instrText>
        </w:r>
        <w:r w:rsidR="00886AA5" w:rsidRPr="00102661">
          <w:rPr>
            <w:noProof/>
            <w:webHidden/>
            <w:sz w:val="22"/>
            <w:szCs w:val="22"/>
          </w:rPr>
        </w:r>
        <w:r w:rsidR="00886AA5" w:rsidRPr="00102661">
          <w:rPr>
            <w:noProof/>
            <w:webHidden/>
            <w:sz w:val="22"/>
            <w:szCs w:val="22"/>
          </w:rPr>
          <w:fldChar w:fldCharType="separate"/>
        </w:r>
        <w:r w:rsidR="00C06EF3">
          <w:rPr>
            <w:noProof/>
            <w:webHidden/>
            <w:sz w:val="22"/>
            <w:szCs w:val="22"/>
          </w:rPr>
          <w:t>5</w:t>
        </w:r>
        <w:r w:rsidR="00886AA5" w:rsidRPr="00102661">
          <w:rPr>
            <w:noProof/>
            <w:webHidden/>
            <w:sz w:val="22"/>
            <w:szCs w:val="22"/>
          </w:rPr>
          <w:fldChar w:fldCharType="end"/>
        </w:r>
      </w:hyperlink>
    </w:p>
    <w:p w14:paraId="380C73C5" w14:textId="77777777" w:rsidR="00102661" w:rsidRPr="00102661" w:rsidRDefault="00B0349C" w:rsidP="00102661">
      <w:pPr>
        <w:pStyle w:val="SADRAJ3"/>
        <w:rPr>
          <w:rFonts w:asciiTheme="minorHAnsi" w:eastAsiaTheme="minorEastAsia" w:hAnsiTheme="minorHAnsi" w:cstheme="minorBidi"/>
          <w:noProof/>
          <w:sz w:val="22"/>
          <w:szCs w:val="22"/>
        </w:rPr>
      </w:pPr>
      <w:hyperlink w:anchor="_Toc50641185" w:history="1">
        <w:r w:rsidR="00102661" w:rsidRPr="00102661">
          <w:rPr>
            <w:rStyle w:val="Hiperveza"/>
            <w:noProof/>
            <w:sz w:val="22"/>
            <w:szCs w:val="22"/>
          </w:rPr>
          <w:t>3.1.2. ОСТВАРЕНИ БУЏЕТСКИ ПРИХОДИ И ПРИМИЦИ ЗА НЕФИНАНСИЈСКУ</w:t>
        </w:r>
      </w:hyperlink>
      <w:hyperlink w:anchor="_Toc50641186" w:history="1">
        <w:r w:rsidR="00102661" w:rsidRPr="00102661">
          <w:rPr>
            <w:rStyle w:val="Hiperveza"/>
            <w:noProof/>
            <w:sz w:val="22"/>
            <w:szCs w:val="22"/>
          </w:rPr>
          <w:t>ИМОВИНУ У ПЕРИОДУ</w:t>
        </w:r>
        <w:r w:rsidR="00A464AC">
          <w:rPr>
            <w:rStyle w:val="Hiperveza"/>
            <w:noProof/>
            <w:sz w:val="22"/>
            <w:szCs w:val="22"/>
          </w:rPr>
          <w:t xml:space="preserve"> 01.01–31.12</w:t>
        </w:r>
        <w:r w:rsidR="00102661" w:rsidRPr="00102661">
          <w:rPr>
            <w:rStyle w:val="Hiperveza"/>
            <w:noProof/>
            <w:sz w:val="22"/>
            <w:szCs w:val="22"/>
          </w:rPr>
          <w:t>.2020. ГОДИНЕ</w:t>
        </w:r>
        <w:r w:rsidR="00102661" w:rsidRPr="00102661">
          <w:rPr>
            <w:noProof/>
            <w:webHidden/>
            <w:sz w:val="22"/>
            <w:szCs w:val="22"/>
          </w:rPr>
          <w:tab/>
        </w:r>
        <w:r w:rsidR="00886AA5" w:rsidRPr="00102661">
          <w:rPr>
            <w:noProof/>
            <w:webHidden/>
            <w:sz w:val="22"/>
            <w:szCs w:val="22"/>
          </w:rPr>
          <w:fldChar w:fldCharType="begin"/>
        </w:r>
        <w:r w:rsidR="00102661" w:rsidRPr="00102661">
          <w:rPr>
            <w:noProof/>
            <w:webHidden/>
            <w:sz w:val="22"/>
            <w:szCs w:val="22"/>
          </w:rPr>
          <w:instrText xml:space="preserve"> PAGEREF _Toc50641186 \h </w:instrText>
        </w:r>
        <w:r w:rsidR="00886AA5" w:rsidRPr="00102661">
          <w:rPr>
            <w:noProof/>
            <w:webHidden/>
            <w:sz w:val="22"/>
            <w:szCs w:val="22"/>
          </w:rPr>
        </w:r>
        <w:r w:rsidR="00886AA5" w:rsidRPr="00102661">
          <w:rPr>
            <w:noProof/>
            <w:webHidden/>
            <w:sz w:val="22"/>
            <w:szCs w:val="22"/>
          </w:rPr>
          <w:fldChar w:fldCharType="separate"/>
        </w:r>
        <w:r w:rsidR="00C06EF3">
          <w:rPr>
            <w:noProof/>
            <w:webHidden/>
            <w:sz w:val="22"/>
            <w:szCs w:val="22"/>
          </w:rPr>
          <w:t>6</w:t>
        </w:r>
        <w:r w:rsidR="00886AA5" w:rsidRPr="00102661">
          <w:rPr>
            <w:noProof/>
            <w:webHidden/>
            <w:sz w:val="22"/>
            <w:szCs w:val="22"/>
          </w:rPr>
          <w:fldChar w:fldCharType="end"/>
        </w:r>
      </w:hyperlink>
    </w:p>
    <w:p w14:paraId="50C21C24" w14:textId="77777777" w:rsidR="00102661" w:rsidRPr="00102661" w:rsidRDefault="00B0349C">
      <w:pPr>
        <w:pStyle w:val="SADRAJ4"/>
        <w:rPr>
          <w:rFonts w:asciiTheme="minorHAnsi" w:eastAsiaTheme="minorEastAsia" w:hAnsiTheme="minorHAnsi" w:cstheme="minorBidi"/>
          <w:noProof/>
          <w:sz w:val="22"/>
          <w:szCs w:val="22"/>
        </w:rPr>
      </w:pPr>
      <w:hyperlink w:anchor="_Toc50641187" w:history="1">
        <w:r w:rsidR="00102661" w:rsidRPr="00102661">
          <w:rPr>
            <w:rStyle w:val="Hiperveza"/>
            <w:noProof/>
            <w:sz w:val="22"/>
            <w:szCs w:val="22"/>
          </w:rPr>
          <w:t>А. Порески приходи</w:t>
        </w:r>
        <w:r w:rsidR="00102661" w:rsidRPr="00102661">
          <w:rPr>
            <w:noProof/>
            <w:webHidden/>
            <w:sz w:val="22"/>
            <w:szCs w:val="22"/>
          </w:rPr>
          <w:tab/>
        </w:r>
        <w:r w:rsidR="00886AA5" w:rsidRPr="00102661">
          <w:rPr>
            <w:noProof/>
            <w:webHidden/>
            <w:sz w:val="22"/>
            <w:szCs w:val="22"/>
          </w:rPr>
          <w:fldChar w:fldCharType="begin"/>
        </w:r>
        <w:r w:rsidR="00102661" w:rsidRPr="00102661">
          <w:rPr>
            <w:noProof/>
            <w:webHidden/>
            <w:sz w:val="22"/>
            <w:szCs w:val="22"/>
          </w:rPr>
          <w:instrText xml:space="preserve"> PAGEREF _Toc50641187 \h </w:instrText>
        </w:r>
        <w:r w:rsidR="00886AA5" w:rsidRPr="00102661">
          <w:rPr>
            <w:noProof/>
            <w:webHidden/>
            <w:sz w:val="22"/>
            <w:szCs w:val="22"/>
          </w:rPr>
        </w:r>
        <w:r w:rsidR="00886AA5" w:rsidRPr="00102661">
          <w:rPr>
            <w:noProof/>
            <w:webHidden/>
            <w:sz w:val="22"/>
            <w:szCs w:val="22"/>
          </w:rPr>
          <w:fldChar w:fldCharType="separate"/>
        </w:r>
        <w:r w:rsidR="00C06EF3">
          <w:rPr>
            <w:noProof/>
            <w:webHidden/>
            <w:sz w:val="22"/>
            <w:szCs w:val="22"/>
          </w:rPr>
          <w:t>9</w:t>
        </w:r>
        <w:r w:rsidR="00886AA5" w:rsidRPr="00102661">
          <w:rPr>
            <w:noProof/>
            <w:webHidden/>
            <w:sz w:val="22"/>
            <w:szCs w:val="22"/>
          </w:rPr>
          <w:fldChar w:fldCharType="end"/>
        </w:r>
      </w:hyperlink>
    </w:p>
    <w:p w14:paraId="41BE672C" w14:textId="77777777" w:rsidR="00102661" w:rsidRPr="00102661" w:rsidRDefault="00B0349C">
      <w:pPr>
        <w:pStyle w:val="SADRAJ4"/>
        <w:rPr>
          <w:rFonts w:asciiTheme="minorHAnsi" w:eastAsiaTheme="minorEastAsia" w:hAnsiTheme="minorHAnsi" w:cstheme="minorBidi"/>
          <w:noProof/>
          <w:sz w:val="22"/>
          <w:szCs w:val="22"/>
        </w:rPr>
      </w:pPr>
      <w:hyperlink w:anchor="_Toc50641188" w:history="1">
        <w:r w:rsidR="00102661" w:rsidRPr="00102661">
          <w:rPr>
            <w:rStyle w:val="Hiperveza"/>
            <w:noProof/>
            <w:sz w:val="22"/>
            <w:szCs w:val="22"/>
          </w:rPr>
          <w:t>Б. Непорески приходи</w:t>
        </w:r>
        <w:r w:rsidR="00102661" w:rsidRPr="00102661">
          <w:rPr>
            <w:noProof/>
            <w:webHidden/>
            <w:sz w:val="22"/>
            <w:szCs w:val="22"/>
          </w:rPr>
          <w:tab/>
        </w:r>
        <w:r w:rsidR="00886AA5" w:rsidRPr="00102661">
          <w:rPr>
            <w:noProof/>
            <w:webHidden/>
            <w:sz w:val="22"/>
            <w:szCs w:val="22"/>
          </w:rPr>
          <w:fldChar w:fldCharType="begin"/>
        </w:r>
        <w:r w:rsidR="00102661" w:rsidRPr="00102661">
          <w:rPr>
            <w:noProof/>
            <w:webHidden/>
            <w:sz w:val="22"/>
            <w:szCs w:val="22"/>
          </w:rPr>
          <w:instrText xml:space="preserve"> PAGEREF _Toc50641188 \h </w:instrText>
        </w:r>
        <w:r w:rsidR="00886AA5" w:rsidRPr="00102661">
          <w:rPr>
            <w:noProof/>
            <w:webHidden/>
            <w:sz w:val="22"/>
            <w:szCs w:val="22"/>
          </w:rPr>
        </w:r>
        <w:r w:rsidR="00886AA5" w:rsidRPr="00102661">
          <w:rPr>
            <w:noProof/>
            <w:webHidden/>
            <w:sz w:val="22"/>
            <w:szCs w:val="22"/>
          </w:rPr>
          <w:fldChar w:fldCharType="separate"/>
        </w:r>
        <w:r w:rsidR="00C06EF3">
          <w:rPr>
            <w:noProof/>
            <w:webHidden/>
            <w:sz w:val="22"/>
            <w:szCs w:val="22"/>
          </w:rPr>
          <w:t>11</w:t>
        </w:r>
        <w:r w:rsidR="00886AA5" w:rsidRPr="00102661">
          <w:rPr>
            <w:noProof/>
            <w:webHidden/>
            <w:sz w:val="22"/>
            <w:szCs w:val="22"/>
          </w:rPr>
          <w:fldChar w:fldCharType="end"/>
        </w:r>
      </w:hyperlink>
    </w:p>
    <w:p w14:paraId="4088D182" w14:textId="77777777" w:rsidR="00102661" w:rsidRPr="00102661" w:rsidRDefault="00B0349C">
      <w:pPr>
        <w:pStyle w:val="SADRAJ4"/>
        <w:rPr>
          <w:rFonts w:asciiTheme="minorHAnsi" w:eastAsiaTheme="minorEastAsia" w:hAnsiTheme="minorHAnsi" w:cstheme="minorBidi"/>
          <w:noProof/>
          <w:sz w:val="22"/>
          <w:szCs w:val="22"/>
        </w:rPr>
      </w:pPr>
      <w:hyperlink w:anchor="_Toc50641189" w:history="1">
        <w:r w:rsidR="00102661" w:rsidRPr="00102661">
          <w:rPr>
            <w:rStyle w:val="Hiperveza"/>
            <w:noProof/>
            <w:sz w:val="22"/>
            <w:szCs w:val="22"/>
          </w:rPr>
          <w:t>В. Грантови</w:t>
        </w:r>
        <w:r w:rsidR="00102661" w:rsidRPr="00102661">
          <w:rPr>
            <w:noProof/>
            <w:webHidden/>
            <w:sz w:val="22"/>
            <w:szCs w:val="22"/>
          </w:rPr>
          <w:tab/>
        </w:r>
        <w:r w:rsidR="00886AA5" w:rsidRPr="00102661">
          <w:rPr>
            <w:noProof/>
            <w:webHidden/>
            <w:sz w:val="22"/>
            <w:szCs w:val="22"/>
          </w:rPr>
          <w:fldChar w:fldCharType="begin"/>
        </w:r>
        <w:r w:rsidR="00102661" w:rsidRPr="00102661">
          <w:rPr>
            <w:noProof/>
            <w:webHidden/>
            <w:sz w:val="22"/>
            <w:szCs w:val="22"/>
          </w:rPr>
          <w:instrText xml:space="preserve"> PAGEREF _Toc50641189 \h </w:instrText>
        </w:r>
        <w:r w:rsidR="00886AA5" w:rsidRPr="00102661">
          <w:rPr>
            <w:noProof/>
            <w:webHidden/>
            <w:sz w:val="22"/>
            <w:szCs w:val="22"/>
          </w:rPr>
        </w:r>
        <w:r w:rsidR="00886AA5" w:rsidRPr="00102661">
          <w:rPr>
            <w:noProof/>
            <w:webHidden/>
            <w:sz w:val="22"/>
            <w:szCs w:val="22"/>
          </w:rPr>
          <w:fldChar w:fldCharType="separate"/>
        </w:r>
        <w:r w:rsidR="00C06EF3">
          <w:rPr>
            <w:noProof/>
            <w:webHidden/>
            <w:sz w:val="22"/>
            <w:szCs w:val="22"/>
          </w:rPr>
          <w:t>18</w:t>
        </w:r>
        <w:r w:rsidR="00886AA5" w:rsidRPr="00102661">
          <w:rPr>
            <w:noProof/>
            <w:webHidden/>
            <w:sz w:val="22"/>
            <w:szCs w:val="22"/>
          </w:rPr>
          <w:fldChar w:fldCharType="end"/>
        </w:r>
      </w:hyperlink>
    </w:p>
    <w:p w14:paraId="5BDA4FDA" w14:textId="77777777" w:rsidR="00102661" w:rsidRPr="00102661" w:rsidRDefault="00B0349C">
      <w:pPr>
        <w:pStyle w:val="SADRAJ4"/>
        <w:rPr>
          <w:rFonts w:asciiTheme="minorHAnsi" w:eastAsiaTheme="minorEastAsia" w:hAnsiTheme="minorHAnsi" w:cstheme="minorBidi"/>
          <w:noProof/>
          <w:sz w:val="22"/>
          <w:szCs w:val="22"/>
        </w:rPr>
      </w:pPr>
      <w:hyperlink w:anchor="_Toc50641190" w:history="1">
        <w:r w:rsidR="00681406">
          <w:rPr>
            <w:rStyle w:val="Hiperveza"/>
            <w:noProof/>
            <w:sz w:val="22"/>
            <w:szCs w:val="22"/>
          </w:rPr>
          <w:t>Г</w:t>
        </w:r>
        <w:r w:rsidR="00102661" w:rsidRPr="00102661">
          <w:rPr>
            <w:rStyle w:val="Hiperveza"/>
            <w:noProof/>
            <w:sz w:val="22"/>
            <w:szCs w:val="22"/>
          </w:rPr>
          <w:t>. Трансфери између или унутар јединица власти</w:t>
        </w:r>
        <w:r w:rsidR="00102661" w:rsidRPr="00102661">
          <w:rPr>
            <w:noProof/>
            <w:webHidden/>
            <w:sz w:val="22"/>
            <w:szCs w:val="22"/>
          </w:rPr>
          <w:tab/>
        </w:r>
        <w:r w:rsidR="00886AA5" w:rsidRPr="00102661">
          <w:rPr>
            <w:noProof/>
            <w:webHidden/>
            <w:sz w:val="22"/>
            <w:szCs w:val="22"/>
          </w:rPr>
          <w:fldChar w:fldCharType="begin"/>
        </w:r>
        <w:r w:rsidR="00102661" w:rsidRPr="00102661">
          <w:rPr>
            <w:noProof/>
            <w:webHidden/>
            <w:sz w:val="22"/>
            <w:szCs w:val="22"/>
          </w:rPr>
          <w:instrText xml:space="preserve"> PAGEREF _Toc50641190 \h </w:instrText>
        </w:r>
        <w:r w:rsidR="00886AA5" w:rsidRPr="00102661">
          <w:rPr>
            <w:noProof/>
            <w:webHidden/>
            <w:sz w:val="22"/>
            <w:szCs w:val="22"/>
          </w:rPr>
        </w:r>
        <w:r w:rsidR="00886AA5" w:rsidRPr="00102661">
          <w:rPr>
            <w:noProof/>
            <w:webHidden/>
            <w:sz w:val="22"/>
            <w:szCs w:val="22"/>
          </w:rPr>
          <w:fldChar w:fldCharType="separate"/>
        </w:r>
        <w:r w:rsidR="00C06EF3">
          <w:rPr>
            <w:noProof/>
            <w:webHidden/>
            <w:sz w:val="22"/>
            <w:szCs w:val="22"/>
          </w:rPr>
          <w:t>19</w:t>
        </w:r>
        <w:r w:rsidR="00886AA5" w:rsidRPr="00102661">
          <w:rPr>
            <w:noProof/>
            <w:webHidden/>
            <w:sz w:val="22"/>
            <w:szCs w:val="22"/>
          </w:rPr>
          <w:fldChar w:fldCharType="end"/>
        </w:r>
      </w:hyperlink>
    </w:p>
    <w:p w14:paraId="6136400D" w14:textId="77777777" w:rsidR="00102661" w:rsidRPr="00102661" w:rsidRDefault="00B0349C">
      <w:pPr>
        <w:pStyle w:val="SADRAJ4"/>
        <w:rPr>
          <w:rFonts w:asciiTheme="minorHAnsi" w:eastAsiaTheme="minorEastAsia" w:hAnsiTheme="minorHAnsi" w:cstheme="minorBidi"/>
          <w:noProof/>
          <w:sz w:val="22"/>
          <w:szCs w:val="22"/>
        </w:rPr>
      </w:pPr>
      <w:hyperlink w:anchor="_Toc50641191" w:history="1">
        <w:r w:rsidR="00681406">
          <w:rPr>
            <w:rStyle w:val="Hiperveza"/>
            <w:noProof/>
            <w:sz w:val="22"/>
            <w:szCs w:val="22"/>
          </w:rPr>
          <w:t>Д</w:t>
        </w:r>
        <w:r w:rsidR="00102661" w:rsidRPr="00102661">
          <w:rPr>
            <w:rStyle w:val="Hiperveza"/>
            <w:noProof/>
            <w:sz w:val="22"/>
            <w:szCs w:val="22"/>
          </w:rPr>
          <w:t>. Примици за нефинансијску имовину</w:t>
        </w:r>
        <w:r w:rsidR="00102661" w:rsidRPr="00102661">
          <w:rPr>
            <w:noProof/>
            <w:webHidden/>
            <w:sz w:val="22"/>
            <w:szCs w:val="22"/>
          </w:rPr>
          <w:tab/>
        </w:r>
        <w:r w:rsidR="00886AA5" w:rsidRPr="00102661">
          <w:rPr>
            <w:noProof/>
            <w:webHidden/>
            <w:sz w:val="22"/>
            <w:szCs w:val="22"/>
          </w:rPr>
          <w:fldChar w:fldCharType="begin"/>
        </w:r>
        <w:r w:rsidR="00102661" w:rsidRPr="00102661">
          <w:rPr>
            <w:noProof/>
            <w:webHidden/>
            <w:sz w:val="22"/>
            <w:szCs w:val="22"/>
          </w:rPr>
          <w:instrText xml:space="preserve"> PAGEREF _Toc50641191 \h </w:instrText>
        </w:r>
        <w:r w:rsidR="00886AA5" w:rsidRPr="00102661">
          <w:rPr>
            <w:noProof/>
            <w:webHidden/>
            <w:sz w:val="22"/>
            <w:szCs w:val="22"/>
          </w:rPr>
        </w:r>
        <w:r w:rsidR="00886AA5" w:rsidRPr="00102661">
          <w:rPr>
            <w:noProof/>
            <w:webHidden/>
            <w:sz w:val="22"/>
            <w:szCs w:val="22"/>
          </w:rPr>
          <w:fldChar w:fldCharType="separate"/>
        </w:r>
        <w:r w:rsidR="00C06EF3">
          <w:rPr>
            <w:noProof/>
            <w:webHidden/>
            <w:sz w:val="22"/>
            <w:szCs w:val="22"/>
          </w:rPr>
          <w:t>20</w:t>
        </w:r>
        <w:r w:rsidR="00886AA5" w:rsidRPr="00102661">
          <w:rPr>
            <w:noProof/>
            <w:webHidden/>
            <w:sz w:val="22"/>
            <w:szCs w:val="22"/>
          </w:rPr>
          <w:fldChar w:fldCharType="end"/>
        </w:r>
      </w:hyperlink>
    </w:p>
    <w:p w14:paraId="7944151A" w14:textId="77777777" w:rsidR="00102661" w:rsidRPr="00102661" w:rsidRDefault="00B0349C">
      <w:pPr>
        <w:pStyle w:val="SADRAJ3"/>
        <w:rPr>
          <w:rFonts w:asciiTheme="minorHAnsi" w:eastAsiaTheme="minorEastAsia" w:hAnsiTheme="minorHAnsi" w:cstheme="minorBidi"/>
          <w:noProof/>
          <w:sz w:val="22"/>
          <w:szCs w:val="22"/>
        </w:rPr>
      </w:pPr>
      <w:hyperlink w:anchor="_Toc50641192" w:history="1">
        <w:r w:rsidR="00102661" w:rsidRPr="00102661">
          <w:rPr>
            <w:rStyle w:val="Hiperveza"/>
            <w:noProof/>
            <w:sz w:val="22"/>
            <w:szCs w:val="22"/>
          </w:rPr>
          <w:t>3.1.3. БУЏЕТСКИ РАСХОДИ И ИЗДАЦИ ЗА НЕФИНАНСИЈСКУ</w:t>
        </w:r>
        <w:r w:rsidR="00A464AC">
          <w:rPr>
            <w:rStyle w:val="Hiperveza"/>
            <w:noProof/>
            <w:sz w:val="22"/>
            <w:szCs w:val="22"/>
            <w:lang w:val="sr-Cyrl-RS"/>
          </w:rPr>
          <w:t xml:space="preserve"> </w:t>
        </w:r>
        <w:r w:rsidR="00102661" w:rsidRPr="00102661">
          <w:rPr>
            <w:rStyle w:val="Hiperveza"/>
            <w:noProof/>
            <w:sz w:val="22"/>
            <w:szCs w:val="22"/>
          </w:rPr>
          <w:t>ИМОВИНУ</w:t>
        </w:r>
      </w:hyperlink>
    </w:p>
    <w:p w14:paraId="43EA733E" w14:textId="77777777" w:rsidR="00102661" w:rsidRPr="00102661" w:rsidRDefault="00A464AC">
      <w:pPr>
        <w:pStyle w:val="SADRAJ3"/>
        <w:rPr>
          <w:rFonts w:asciiTheme="minorHAnsi" w:eastAsiaTheme="minorEastAsia" w:hAnsiTheme="minorHAnsi" w:cstheme="minorBidi"/>
          <w:noProof/>
          <w:sz w:val="22"/>
          <w:szCs w:val="22"/>
        </w:rPr>
      </w:pPr>
      <w:r>
        <w:rPr>
          <w:noProof/>
          <w:lang w:val="sr-Cyrl-RS"/>
        </w:rPr>
        <w:t xml:space="preserve">         </w:t>
      </w:r>
      <w:hyperlink w:anchor="_Toc50641193" w:history="1">
        <w:r>
          <w:rPr>
            <w:rStyle w:val="Hiperveza"/>
            <w:noProof/>
            <w:sz w:val="22"/>
            <w:szCs w:val="22"/>
          </w:rPr>
          <w:t>ЗА ПЕРИОД 01.01–31.12</w:t>
        </w:r>
        <w:r w:rsidR="00102661" w:rsidRPr="00102661">
          <w:rPr>
            <w:rStyle w:val="Hiperveza"/>
            <w:noProof/>
            <w:sz w:val="22"/>
            <w:szCs w:val="22"/>
          </w:rPr>
          <w:t>.2020. ГОДИНЕ</w:t>
        </w:r>
        <w:r w:rsidR="00102661" w:rsidRPr="00102661">
          <w:rPr>
            <w:noProof/>
            <w:webHidden/>
            <w:sz w:val="22"/>
            <w:szCs w:val="22"/>
          </w:rPr>
          <w:tab/>
        </w:r>
        <w:r w:rsidR="00886AA5" w:rsidRPr="00102661">
          <w:rPr>
            <w:noProof/>
            <w:webHidden/>
            <w:sz w:val="22"/>
            <w:szCs w:val="22"/>
          </w:rPr>
          <w:fldChar w:fldCharType="begin"/>
        </w:r>
        <w:r w:rsidR="00102661" w:rsidRPr="00102661">
          <w:rPr>
            <w:noProof/>
            <w:webHidden/>
            <w:sz w:val="22"/>
            <w:szCs w:val="22"/>
          </w:rPr>
          <w:instrText xml:space="preserve"> PAGEREF _Toc50641193 \h </w:instrText>
        </w:r>
        <w:r w:rsidR="00886AA5" w:rsidRPr="00102661">
          <w:rPr>
            <w:noProof/>
            <w:webHidden/>
            <w:sz w:val="22"/>
            <w:szCs w:val="22"/>
          </w:rPr>
        </w:r>
        <w:r w:rsidR="00886AA5" w:rsidRPr="00102661">
          <w:rPr>
            <w:noProof/>
            <w:webHidden/>
            <w:sz w:val="22"/>
            <w:szCs w:val="22"/>
          </w:rPr>
          <w:fldChar w:fldCharType="separate"/>
        </w:r>
        <w:r w:rsidR="00C06EF3">
          <w:rPr>
            <w:noProof/>
            <w:webHidden/>
            <w:sz w:val="22"/>
            <w:szCs w:val="22"/>
          </w:rPr>
          <w:t>21</w:t>
        </w:r>
        <w:r w:rsidR="00886AA5" w:rsidRPr="00102661">
          <w:rPr>
            <w:noProof/>
            <w:webHidden/>
            <w:sz w:val="22"/>
            <w:szCs w:val="22"/>
          </w:rPr>
          <w:fldChar w:fldCharType="end"/>
        </w:r>
      </w:hyperlink>
    </w:p>
    <w:p w14:paraId="1453E17A" w14:textId="77777777" w:rsidR="00102661" w:rsidRPr="00102661" w:rsidRDefault="00B0349C">
      <w:pPr>
        <w:pStyle w:val="SADRAJ4"/>
        <w:rPr>
          <w:rFonts w:asciiTheme="minorHAnsi" w:eastAsiaTheme="minorEastAsia" w:hAnsiTheme="minorHAnsi" w:cstheme="minorBidi"/>
          <w:noProof/>
          <w:sz w:val="22"/>
          <w:szCs w:val="22"/>
        </w:rPr>
      </w:pPr>
      <w:hyperlink w:anchor="_Toc50641194" w:history="1">
        <w:r w:rsidR="00102661" w:rsidRPr="00102661">
          <w:rPr>
            <w:rStyle w:val="Hiperveza"/>
            <w:noProof/>
            <w:sz w:val="22"/>
            <w:szCs w:val="22"/>
          </w:rPr>
          <w:t>А. Операт</w:t>
        </w:r>
        <w:r w:rsidR="00A464AC">
          <w:rPr>
            <w:rStyle w:val="Hiperveza"/>
            <w:noProof/>
            <w:sz w:val="22"/>
            <w:szCs w:val="22"/>
          </w:rPr>
          <w:t>ивни буџет за период 01.01-31.12</w:t>
        </w:r>
        <w:r w:rsidR="00102661" w:rsidRPr="00102661">
          <w:rPr>
            <w:rStyle w:val="Hiperveza"/>
            <w:noProof/>
            <w:sz w:val="22"/>
            <w:szCs w:val="22"/>
          </w:rPr>
          <w:t>.2020. године</w:t>
        </w:r>
        <w:r w:rsidR="00102661" w:rsidRPr="00102661">
          <w:rPr>
            <w:noProof/>
            <w:webHidden/>
            <w:sz w:val="22"/>
            <w:szCs w:val="22"/>
          </w:rPr>
          <w:tab/>
        </w:r>
        <w:r w:rsidR="00886AA5" w:rsidRPr="00102661">
          <w:rPr>
            <w:noProof/>
            <w:webHidden/>
            <w:sz w:val="22"/>
            <w:szCs w:val="22"/>
          </w:rPr>
          <w:fldChar w:fldCharType="begin"/>
        </w:r>
        <w:r w:rsidR="00102661" w:rsidRPr="00102661">
          <w:rPr>
            <w:noProof/>
            <w:webHidden/>
            <w:sz w:val="22"/>
            <w:szCs w:val="22"/>
          </w:rPr>
          <w:instrText xml:space="preserve"> PAGEREF _Toc50641194 \h </w:instrText>
        </w:r>
        <w:r w:rsidR="00886AA5" w:rsidRPr="00102661">
          <w:rPr>
            <w:noProof/>
            <w:webHidden/>
            <w:sz w:val="22"/>
            <w:szCs w:val="22"/>
          </w:rPr>
        </w:r>
        <w:r w:rsidR="00886AA5" w:rsidRPr="00102661">
          <w:rPr>
            <w:noProof/>
            <w:webHidden/>
            <w:sz w:val="22"/>
            <w:szCs w:val="22"/>
          </w:rPr>
          <w:fldChar w:fldCharType="separate"/>
        </w:r>
        <w:r w:rsidR="00C06EF3">
          <w:rPr>
            <w:noProof/>
            <w:webHidden/>
            <w:sz w:val="22"/>
            <w:szCs w:val="22"/>
          </w:rPr>
          <w:t>21</w:t>
        </w:r>
        <w:r w:rsidR="00886AA5" w:rsidRPr="00102661">
          <w:rPr>
            <w:noProof/>
            <w:webHidden/>
            <w:sz w:val="22"/>
            <w:szCs w:val="22"/>
          </w:rPr>
          <w:fldChar w:fldCharType="end"/>
        </w:r>
      </w:hyperlink>
    </w:p>
    <w:p w14:paraId="70FDB186" w14:textId="77777777" w:rsidR="00102661" w:rsidRPr="00102661" w:rsidRDefault="00B0349C">
      <w:pPr>
        <w:pStyle w:val="SADRAJ4"/>
        <w:rPr>
          <w:rFonts w:asciiTheme="minorHAnsi" w:eastAsiaTheme="minorEastAsia" w:hAnsiTheme="minorHAnsi" w:cstheme="minorBidi"/>
          <w:noProof/>
          <w:sz w:val="22"/>
          <w:szCs w:val="22"/>
        </w:rPr>
      </w:pPr>
      <w:hyperlink w:anchor="_Toc50641195" w:history="1">
        <w:r w:rsidR="00102661" w:rsidRPr="00102661">
          <w:rPr>
            <w:rStyle w:val="Hiperveza"/>
            <w:noProof/>
            <w:sz w:val="22"/>
            <w:szCs w:val="22"/>
          </w:rPr>
          <w:t>Б. Извршење буџетских расхода и издатака за нефинансијску</w:t>
        </w:r>
      </w:hyperlink>
    </w:p>
    <w:p w14:paraId="4F906853" w14:textId="77777777" w:rsidR="00102661" w:rsidRPr="00102661" w:rsidRDefault="00A464AC">
      <w:pPr>
        <w:pStyle w:val="SADRAJ4"/>
        <w:rPr>
          <w:rFonts w:asciiTheme="minorHAnsi" w:eastAsiaTheme="minorEastAsia" w:hAnsiTheme="minorHAnsi" w:cstheme="minorBidi"/>
          <w:noProof/>
          <w:sz w:val="22"/>
          <w:szCs w:val="22"/>
        </w:rPr>
      </w:pPr>
      <w:r>
        <w:rPr>
          <w:noProof/>
          <w:lang w:val="sr-Cyrl-RS"/>
        </w:rPr>
        <w:t xml:space="preserve">    </w:t>
      </w:r>
      <w:hyperlink w:anchor="_Toc50641196" w:history="1">
        <w:r>
          <w:rPr>
            <w:rStyle w:val="Hiperveza"/>
            <w:noProof/>
            <w:sz w:val="22"/>
            <w:szCs w:val="22"/>
          </w:rPr>
          <w:t>имовину у периоду 01.01-31.12</w:t>
        </w:r>
        <w:r w:rsidR="00102661" w:rsidRPr="00102661">
          <w:rPr>
            <w:rStyle w:val="Hiperveza"/>
            <w:noProof/>
            <w:sz w:val="22"/>
            <w:szCs w:val="22"/>
          </w:rPr>
          <w:t>.2020. године</w:t>
        </w:r>
        <w:r w:rsidR="00102661" w:rsidRPr="00102661">
          <w:rPr>
            <w:noProof/>
            <w:webHidden/>
            <w:sz w:val="22"/>
            <w:szCs w:val="22"/>
          </w:rPr>
          <w:tab/>
        </w:r>
        <w:r w:rsidR="00886AA5" w:rsidRPr="00102661">
          <w:rPr>
            <w:noProof/>
            <w:webHidden/>
            <w:sz w:val="22"/>
            <w:szCs w:val="22"/>
          </w:rPr>
          <w:fldChar w:fldCharType="begin"/>
        </w:r>
        <w:r w:rsidR="00102661" w:rsidRPr="00102661">
          <w:rPr>
            <w:noProof/>
            <w:webHidden/>
            <w:sz w:val="22"/>
            <w:szCs w:val="22"/>
          </w:rPr>
          <w:instrText xml:space="preserve"> PAGEREF _Toc50641196 \h </w:instrText>
        </w:r>
        <w:r w:rsidR="00886AA5" w:rsidRPr="00102661">
          <w:rPr>
            <w:noProof/>
            <w:webHidden/>
            <w:sz w:val="22"/>
            <w:szCs w:val="22"/>
          </w:rPr>
        </w:r>
        <w:r w:rsidR="00886AA5" w:rsidRPr="00102661">
          <w:rPr>
            <w:noProof/>
            <w:webHidden/>
            <w:sz w:val="22"/>
            <w:szCs w:val="22"/>
          </w:rPr>
          <w:fldChar w:fldCharType="separate"/>
        </w:r>
        <w:r w:rsidR="00C06EF3">
          <w:rPr>
            <w:noProof/>
            <w:webHidden/>
            <w:sz w:val="22"/>
            <w:szCs w:val="22"/>
          </w:rPr>
          <w:t>22</w:t>
        </w:r>
        <w:r w:rsidR="00886AA5" w:rsidRPr="00102661">
          <w:rPr>
            <w:noProof/>
            <w:webHidden/>
            <w:sz w:val="22"/>
            <w:szCs w:val="22"/>
          </w:rPr>
          <w:fldChar w:fldCharType="end"/>
        </w:r>
      </w:hyperlink>
    </w:p>
    <w:p w14:paraId="71FF21B9" w14:textId="77777777" w:rsidR="00102661" w:rsidRPr="00102661" w:rsidRDefault="00B0349C">
      <w:pPr>
        <w:pStyle w:val="SADRAJ5"/>
        <w:rPr>
          <w:rFonts w:asciiTheme="minorHAnsi" w:eastAsiaTheme="minorEastAsia" w:hAnsiTheme="minorHAnsi" w:cstheme="minorBidi"/>
          <w:noProof/>
          <w:sz w:val="22"/>
          <w:szCs w:val="22"/>
        </w:rPr>
      </w:pPr>
      <w:hyperlink w:anchor="_Toc50641197" w:history="1">
        <w:r w:rsidR="00102661" w:rsidRPr="00102661">
          <w:rPr>
            <w:rStyle w:val="Hiperveza"/>
            <w:noProof/>
            <w:sz w:val="22"/>
            <w:szCs w:val="22"/>
          </w:rPr>
          <w:t>Б</w:t>
        </w:r>
        <w:r w:rsidR="00102661" w:rsidRPr="00102661">
          <w:rPr>
            <w:rStyle w:val="Hiperveza"/>
            <w:i/>
            <w:noProof/>
            <w:sz w:val="22"/>
            <w:szCs w:val="22"/>
          </w:rPr>
          <w:t>.</w:t>
        </w:r>
        <w:r w:rsidR="00102661" w:rsidRPr="00102661">
          <w:rPr>
            <w:rStyle w:val="Hiperveza"/>
            <w:noProof/>
            <w:sz w:val="22"/>
            <w:szCs w:val="22"/>
          </w:rPr>
          <w:t>1.Расходи за лична примања запослених</w:t>
        </w:r>
        <w:r w:rsidR="00102661" w:rsidRPr="00102661">
          <w:rPr>
            <w:noProof/>
            <w:webHidden/>
            <w:sz w:val="22"/>
            <w:szCs w:val="22"/>
          </w:rPr>
          <w:tab/>
        </w:r>
        <w:r w:rsidR="00886AA5" w:rsidRPr="00102661">
          <w:rPr>
            <w:noProof/>
            <w:webHidden/>
            <w:sz w:val="22"/>
            <w:szCs w:val="22"/>
          </w:rPr>
          <w:fldChar w:fldCharType="begin"/>
        </w:r>
        <w:r w:rsidR="00102661" w:rsidRPr="00102661">
          <w:rPr>
            <w:noProof/>
            <w:webHidden/>
            <w:sz w:val="22"/>
            <w:szCs w:val="22"/>
          </w:rPr>
          <w:instrText xml:space="preserve"> PAGEREF _Toc50641197 \h </w:instrText>
        </w:r>
        <w:r w:rsidR="00886AA5" w:rsidRPr="00102661">
          <w:rPr>
            <w:noProof/>
            <w:webHidden/>
            <w:sz w:val="22"/>
            <w:szCs w:val="22"/>
          </w:rPr>
        </w:r>
        <w:r w:rsidR="00886AA5" w:rsidRPr="00102661">
          <w:rPr>
            <w:noProof/>
            <w:webHidden/>
            <w:sz w:val="22"/>
            <w:szCs w:val="22"/>
          </w:rPr>
          <w:fldChar w:fldCharType="separate"/>
        </w:r>
        <w:r w:rsidR="00C06EF3">
          <w:rPr>
            <w:noProof/>
            <w:webHidden/>
            <w:sz w:val="22"/>
            <w:szCs w:val="22"/>
          </w:rPr>
          <w:t>24</w:t>
        </w:r>
        <w:r w:rsidR="00886AA5" w:rsidRPr="00102661">
          <w:rPr>
            <w:noProof/>
            <w:webHidden/>
            <w:sz w:val="22"/>
            <w:szCs w:val="22"/>
          </w:rPr>
          <w:fldChar w:fldCharType="end"/>
        </w:r>
      </w:hyperlink>
    </w:p>
    <w:p w14:paraId="63BDB3C9" w14:textId="77777777" w:rsidR="00102661" w:rsidRPr="00102661" w:rsidRDefault="00B0349C">
      <w:pPr>
        <w:pStyle w:val="SADRAJ5"/>
        <w:rPr>
          <w:rFonts w:asciiTheme="minorHAnsi" w:eastAsiaTheme="minorEastAsia" w:hAnsiTheme="minorHAnsi" w:cstheme="minorBidi"/>
          <w:noProof/>
          <w:sz w:val="22"/>
          <w:szCs w:val="22"/>
        </w:rPr>
      </w:pPr>
      <w:hyperlink w:anchor="_Toc50641198" w:history="1">
        <w:r w:rsidR="00102661" w:rsidRPr="00102661">
          <w:rPr>
            <w:rStyle w:val="Hiperveza"/>
            <w:noProof/>
            <w:sz w:val="22"/>
            <w:szCs w:val="22"/>
          </w:rPr>
          <w:t>Б.2. Расходи по основу коришћења роба и услуга</w:t>
        </w:r>
        <w:r w:rsidR="00102661" w:rsidRPr="00102661">
          <w:rPr>
            <w:noProof/>
            <w:webHidden/>
            <w:sz w:val="22"/>
            <w:szCs w:val="22"/>
          </w:rPr>
          <w:tab/>
        </w:r>
        <w:r w:rsidR="00886AA5" w:rsidRPr="00102661">
          <w:rPr>
            <w:noProof/>
            <w:webHidden/>
            <w:sz w:val="22"/>
            <w:szCs w:val="22"/>
          </w:rPr>
          <w:fldChar w:fldCharType="begin"/>
        </w:r>
        <w:r w:rsidR="00102661" w:rsidRPr="00102661">
          <w:rPr>
            <w:noProof/>
            <w:webHidden/>
            <w:sz w:val="22"/>
            <w:szCs w:val="22"/>
          </w:rPr>
          <w:instrText xml:space="preserve"> PAGEREF _Toc50641198 \h </w:instrText>
        </w:r>
        <w:r w:rsidR="00886AA5" w:rsidRPr="00102661">
          <w:rPr>
            <w:noProof/>
            <w:webHidden/>
            <w:sz w:val="22"/>
            <w:szCs w:val="22"/>
          </w:rPr>
        </w:r>
        <w:r w:rsidR="00886AA5" w:rsidRPr="00102661">
          <w:rPr>
            <w:noProof/>
            <w:webHidden/>
            <w:sz w:val="22"/>
            <w:szCs w:val="22"/>
          </w:rPr>
          <w:fldChar w:fldCharType="separate"/>
        </w:r>
        <w:r w:rsidR="00C06EF3">
          <w:rPr>
            <w:noProof/>
            <w:webHidden/>
            <w:sz w:val="22"/>
            <w:szCs w:val="22"/>
          </w:rPr>
          <w:t>26</w:t>
        </w:r>
        <w:r w:rsidR="00886AA5" w:rsidRPr="00102661">
          <w:rPr>
            <w:noProof/>
            <w:webHidden/>
            <w:sz w:val="22"/>
            <w:szCs w:val="22"/>
          </w:rPr>
          <w:fldChar w:fldCharType="end"/>
        </w:r>
      </w:hyperlink>
    </w:p>
    <w:p w14:paraId="7FA71057" w14:textId="77777777" w:rsidR="00102661" w:rsidRPr="00102661" w:rsidRDefault="00B0349C">
      <w:pPr>
        <w:pStyle w:val="SADRAJ5"/>
        <w:rPr>
          <w:rFonts w:asciiTheme="minorHAnsi" w:eastAsiaTheme="minorEastAsia" w:hAnsiTheme="minorHAnsi" w:cstheme="minorBidi"/>
          <w:noProof/>
          <w:sz w:val="22"/>
          <w:szCs w:val="22"/>
        </w:rPr>
      </w:pPr>
      <w:hyperlink w:anchor="_Toc50641199" w:history="1">
        <w:r w:rsidR="00102661" w:rsidRPr="00102661">
          <w:rPr>
            <w:rStyle w:val="Hiperveza"/>
            <w:noProof/>
            <w:sz w:val="22"/>
            <w:szCs w:val="22"/>
          </w:rPr>
          <w:t>Б.3. Расходи финансирања и други финансијски трошкови</w:t>
        </w:r>
        <w:r w:rsidR="00102661" w:rsidRPr="00102661">
          <w:rPr>
            <w:noProof/>
            <w:webHidden/>
            <w:sz w:val="22"/>
            <w:szCs w:val="22"/>
          </w:rPr>
          <w:tab/>
        </w:r>
        <w:r w:rsidR="00886AA5" w:rsidRPr="00102661">
          <w:rPr>
            <w:noProof/>
            <w:webHidden/>
            <w:sz w:val="22"/>
            <w:szCs w:val="22"/>
          </w:rPr>
          <w:fldChar w:fldCharType="begin"/>
        </w:r>
        <w:r w:rsidR="00102661" w:rsidRPr="00102661">
          <w:rPr>
            <w:noProof/>
            <w:webHidden/>
            <w:sz w:val="22"/>
            <w:szCs w:val="22"/>
          </w:rPr>
          <w:instrText xml:space="preserve"> PAGEREF _Toc50641199 \h </w:instrText>
        </w:r>
        <w:r w:rsidR="00886AA5" w:rsidRPr="00102661">
          <w:rPr>
            <w:noProof/>
            <w:webHidden/>
            <w:sz w:val="22"/>
            <w:szCs w:val="22"/>
          </w:rPr>
        </w:r>
        <w:r w:rsidR="00886AA5" w:rsidRPr="00102661">
          <w:rPr>
            <w:noProof/>
            <w:webHidden/>
            <w:sz w:val="22"/>
            <w:szCs w:val="22"/>
          </w:rPr>
          <w:fldChar w:fldCharType="separate"/>
        </w:r>
        <w:r w:rsidR="00C06EF3">
          <w:rPr>
            <w:noProof/>
            <w:webHidden/>
            <w:sz w:val="22"/>
            <w:szCs w:val="22"/>
          </w:rPr>
          <w:t>30</w:t>
        </w:r>
        <w:r w:rsidR="00886AA5" w:rsidRPr="00102661">
          <w:rPr>
            <w:noProof/>
            <w:webHidden/>
            <w:sz w:val="22"/>
            <w:szCs w:val="22"/>
          </w:rPr>
          <w:fldChar w:fldCharType="end"/>
        </w:r>
      </w:hyperlink>
    </w:p>
    <w:p w14:paraId="472AD024" w14:textId="77777777" w:rsidR="00102661" w:rsidRPr="00102661" w:rsidRDefault="00B0349C">
      <w:pPr>
        <w:pStyle w:val="SADRAJ5"/>
        <w:rPr>
          <w:rFonts w:asciiTheme="minorHAnsi" w:eastAsiaTheme="minorEastAsia" w:hAnsiTheme="minorHAnsi" w:cstheme="minorBidi"/>
          <w:noProof/>
          <w:sz w:val="22"/>
          <w:szCs w:val="22"/>
        </w:rPr>
      </w:pPr>
      <w:hyperlink w:anchor="_Toc50641200" w:history="1">
        <w:r w:rsidR="00102661" w:rsidRPr="00102661">
          <w:rPr>
            <w:rStyle w:val="Hiperveza"/>
            <w:noProof/>
            <w:sz w:val="22"/>
            <w:szCs w:val="22"/>
          </w:rPr>
          <w:t>Б.4. Субвенције</w:t>
        </w:r>
        <w:r w:rsidR="00102661" w:rsidRPr="00102661">
          <w:rPr>
            <w:noProof/>
            <w:webHidden/>
            <w:sz w:val="22"/>
            <w:szCs w:val="22"/>
          </w:rPr>
          <w:tab/>
        </w:r>
        <w:r w:rsidR="00886AA5" w:rsidRPr="00102661">
          <w:rPr>
            <w:noProof/>
            <w:webHidden/>
            <w:sz w:val="22"/>
            <w:szCs w:val="22"/>
          </w:rPr>
          <w:fldChar w:fldCharType="begin"/>
        </w:r>
        <w:r w:rsidR="00102661" w:rsidRPr="00102661">
          <w:rPr>
            <w:noProof/>
            <w:webHidden/>
            <w:sz w:val="22"/>
            <w:szCs w:val="22"/>
          </w:rPr>
          <w:instrText xml:space="preserve"> PAGEREF _Toc50641200 \h </w:instrText>
        </w:r>
        <w:r w:rsidR="00886AA5" w:rsidRPr="00102661">
          <w:rPr>
            <w:noProof/>
            <w:webHidden/>
            <w:sz w:val="22"/>
            <w:szCs w:val="22"/>
          </w:rPr>
        </w:r>
        <w:r w:rsidR="00886AA5" w:rsidRPr="00102661">
          <w:rPr>
            <w:noProof/>
            <w:webHidden/>
            <w:sz w:val="22"/>
            <w:szCs w:val="22"/>
          </w:rPr>
          <w:fldChar w:fldCharType="separate"/>
        </w:r>
        <w:r w:rsidR="00C06EF3">
          <w:rPr>
            <w:noProof/>
            <w:webHidden/>
            <w:sz w:val="22"/>
            <w:szCs w:val="22"/>
          </w:rPr>
          <w:t>30</w:t>
        </w:r>
        <w:r w:rsidR="00886AA5" w:rsidRPr="00102661">
          <w:rPr>
            <w:noProof/>
            <w:webHidden/>
            <w:sz w:val="22"/>
            <w:szCs w:val="22"/>
          </w:rPr>
          <w:fldChar w:fldCharType="end"/>
        </w:r>
      </w:hyperlink>
    </w:p>
    <w:p w14:paraId="507FDCB4" w14:textId="77777777" w:rsidR="00102661" w:rsidRPr="00102661" w:rsidRDefault="00B0349C">
      <w:pPr>
        <w:pStyle w:val="SADRAJ5"/>
        <w:rPr>
          <w:rFonts w:asciiTheme="minorHAnsi" w:eastAsiaTheme="minorEastAsia" w:hAnsiTheme="minorHAnsi" w:cstheme="minorBidi"/>
          <w:noProof/>
          <w:sz w:val="22"/>
          <w:szCs w:val="22"/>
        </w:rPr>
      </w:pPr>
      <w:hyperlink w:anchor="_Toc50641201" w:history="1">
        <w:r w:rsidR="00102661" w:rsidRPr="00102661">
          <w:rPr>
            <w:rStyle w:val="Hiperveza"/>
            <w:noProof/>
            <w:sz w:val="22"/>
            <w:szCs w:val="22"/>
          </w:rPr>
          <w:t>Б.5. Грантови</w:t>
        </w:r>
        <w:r w:rsidR="00102661" w:rsidRPr="00102661">
          <w:rPr>
            <w:noProof/>
            <w:webHidden/>
            <w:sz w:val="22"/>
            <w:szCs w:val="22"/>
          </w:rPr>
          <w:tab/>
        </w:r>
        <w:r w:rsidR="00886AA5" w:rsidRPr="00102661">
          <w:rPr>
            <w:noProof/>
            <w:webHidden/>
            <w:sz w:val="22"/>
            <w:szCs w:val="22"/>
          </w:rPr>
          <w:fldChar w:fldCharType="begin"/>
        </w:r>
        <w:r w:rsidR="00102661" w:rsidRPr="00102661">
          <w:rPr>
            <w:noProof/>
            <w:webHidden/>
            <w:sz w:val="22"/>
            <w:szCs w:val="22"/>
          </w:rPr>
          <w:instrText xml:space="preserve"> PAGEREF _Toc50641201 \h </w:instrText>
        </w:r>
        <w:r w:rsidR="00886AA5" w:rsidRPr="00102661">
          <w:rPr>
            <w:noProof/>
            <w:webHidden/>
            <w:sz w:val="22"/>
            <w:szCs w:val="22"/>
          </w:rPr>
        </w:r>
        <w:r w:rsidR="00886AA5" w:rsidRPr="00102661">
          <w:rPr>
            <w:noProof/>
            <w:webHidden/>
            <w:sz w:val="22"/>
            <w:szCs w:val="22"/>
          </w:rPr>
          <w:fldChar w:fldCharType="separate"/>
        </w:r>
        <w:r w:rsidR="00C06EF3">
          <w:rPr>
            <w:noProof/>
            <w:webHidden/>
            <w:sz w:val="22"/>
            <w:szCs w:val="22"/>
          </w:rPr>
          <w:t>31</w:t>
        </w:r>
        <w:r w:rsidR="00886AA5" w:rsidRPr="00102661">
          <w:rPr>
            <w:noProof/>
            <w:webHidden/>
            <w:sz w:val="22"/>
            <w:szCs w:val="22"/>
          </w:rPr>
          <w:fldChar w:fldCharType="end"/>
        </w:r>
      </w:hyperlink>
    </w:p>
    <w:p w14:paraId="5442C73F" w14:textId="77777777" w:rsidR="00102661" w:rsidRPr="00102661" w:rsidRDefault="00B0349C">
      <w:pPr>
        <w:pStyle w:val="SADRAJ5"/>
        <w:rPr>
          <w:rFonts w:asciiTheme="minorHAnsi" w:eastAsiaTheme="minorEastAsia" w:hAnsiTheme="minorHAnsi" w:cstheme="minorBidi"/>
          <w:noProof/>
          <w:sz w:val="22"/>
          <w:szCs w:val="22"/>
        </w:rPr>
      </w:pPr>
      <w:hyperlink w:anchor="_Toc50641202" w:history="1">
        <w:r w:rsidR="00102661" w:rsidRPr="00102661">
          <w:rPr>
            <w:rStyle w:val="Hiperveza"/>
            <w:noProof/>
            <w:sz w:val="22"/>
            <w:szCs w:val="22"/>
          </w:rPr>
          <w:t>Б.6. Дознаке на име социјалне заштите које се исплаћују</w:t>
        </w:r>
      </w:hyperlink>
    </w:p>
    <w:p w14:paraId="20E29E45" w14:textId="77777777" w:rsidR="00102661" w:rsidRPr="00102661" w:rsidRDefault="00A464AC">
      <w:pPr>
        <w:pStyle w:val="SADRAJ5"/>
        <w:rPr>
          <w:rFonts w:asciiTheme="minorHAnsi" w:eastAsiaTheme="minorEastAsia" w:hAnsiTheme="minorHAnsi" w:cstheme="minorBidi"/>
          <w:noProof/>
          <w:sz w:val="22"/>
          <w:szCs w:val="22"/>
        </w:rPr>
      </w:pPr>
      <w:r>
        <w:rPr>
          <w:noProof/>
          <w:lang w:val="sr-Cyrl-RS"/>
        </w:rPr>
        <w:t xml:space="preserve">      </w:t>
      </w:r>
      <w:hyperlink w:anchor="_Toc50641203" w:history="1">
        <w:r w:rsidR="00102661" w:rsidRPr="00102661">
          <w:rPr>
            <w:rStyle w:val="Hiperveza"/>
            <w:noProof/>
            <w:sz w:val="22"/>
            <w:szCs w:val="22"/>
          </w:rPr>
          <w:t>из буџета општине</w:t>
        </w:r>
        <w:r w:rsidR="00102661" w:rsidRPr="00102661">
          <w:rPr>
            <w:noProof/>
            <w:webHidden/>
            <w:sz w:val="22"/>
            <w:szCs w:val="22"/>
          </w:rPr>
          <w:tab/>
        </w:r>
        <w:r w:rsidR="00886AA5" w:rsidRPr="00102661">
          <w:rPr>
            <w:noProof/>
            <w:webHidden/>
            <w:sz w:val="22"/>
            <w:szCs w:val="22"/>
          </w:rPr>
          <w:fldChar w:fldCharType="begin"/>
        </w:r>
        <w:r w:rsidR="00102661" w:rsidRPr="00102661">
          <w:rPr>
            <w:noProof/>
            <w:webHidden/>
            <w:sz w:val="22"/>
            <w:szCs w:val="22"/>
          </w:rPr>
          <w:instrText xml:space="preserve"> PAGEREF _Toc50641203 \h </w:instrText>
        </w:r>
        <w:r w:rsidR="00886AA5" w:rsidRPr="00102661">
          <w:rPr>
            <w:noProof/>
            <w:webHidden/>
            <w:sz w:val="22"/>
            <w:szCs w:val="22"/>
          </w:rPr>
        </w:r>
        <w:r w:rsidR="00886AA5" w:rsidRPr="00102661">
          <w:rPr>
            <w:noProof/>
            <w:webHidden/>
            <w:sz w:val="22"/>
            <w:szCs w:val="22"/>
          </w:rPr>
          <w:fldChar w:fldCharType="separate"/>
        </w:r>
        <w:r w:rsidR="00C06EF3">
          <w:rPr>
            <w:noProof/>
            <w:webHidden/>
            <w:sz w:val="22"/>
            <w:szCs w:val="22"/>
          </w:rPr>
          <w:t>35</w:t>
        </w:r>
        <w:r w:rsidR="00886AA5" w:rsidRPr="00102661">
          <w:rPr>
            <w:noProof/>
            <w:webHidden/>
            <w:sz w:val="22"/>
            <w:szCs w:val="22"/>
          </w:rPr>
          <w:fldChar w:fldCharType="end"/>
        </w:r>
      </w:hyperlink>
    </w:p>
    <w:p w14:paraId="30DE8380" w14:textId="77777777" w:rsidR="00102661" w:rsidRPr="00102661" w:rsidRDefault="00B0349C">
      <w:pPr>
        <w:pStyle w:val="SADRAJ5"/>
        <w:rPr>
          <w:rFonts w:asciiTheme="minorHAnsi" w:eastAsiaTheme="minorEastAsia" w:hAnsiTheme="minorHAnsi" w:cstheme="minorBidi"/>
          <w:noProof/>
          <w:sz w:val="22"/>
          <w:szCs w:val="22"/>
        </w:rPr>
      </w:pPr>
      <w:hyperlink w:anchor="_Toc50641204" w:history="1">
        <w:r w:rsidR="00102661" w:rsidRPr="00102661">
          <w:rPr>
            <w:rStyle w:val="Hiperveza"/>
            <w:noProof/>
            <w:sz w:val="22"/>
            <w:szCs w:val="22"/>
          </w:rPr>
          <w:t>Б.7. Расходи финансирања, други финансијски трошкови и расходи</w:t>
        </w:r>
      </w:hyperlink>
    </w:p>
    <w:p w14:paraId="63679572" w14:textId="77777777" w:rsidR="00102661" w:rsidRPr="00102661" w:rsidRDefault="00A464AC">
      <w:pPr>
        <w:pStyle w:val="SADRAJ5"/>
        <w:rPr>
          <w:rFonts w:asciiTheme="minorHAnsi" w:eastAsiaTheme="minorEastAsia" w:hAnsiTheme="minorHAnsi" w:cstheme="minorBidi"/>
          <w:noProof/>
          <w:sz w:val="22"/>
          <w:szCs w:val="22"/>
        </w:rPr>
      </w:pPr>
      <w:r>
        <w:rPr>
          <w:noProof/>
          <w:lang w:val="sr-Cyrl-RS"/>
        </w:rPr>
        <w:t xml:space="preserve">      </w:t>
      </w:r>
      <w:hyperlink w:anchor="_Toc50641205" w:history="1">
        <w:r w:rsidR="00102661" w:rsidRPr="00102661">
          <w:rPr>
            <w:rStyle w:val="Hiperveza"/>
            <w:noProof/>
            <w:sz w:val="22"/>
            <w:szCs w:val="22"/>
          </w:rPr>
          <w:t>трансакција размјене између јединица власти</w:t>
        </w:r>
        <w:r w:rsidR="00102661" w:rsidRPr="00102661">
          <w:rPr>
            <w:noProof/>
            <w:webHidden/>
            <w:sz w:val="22"/>
            <w:szCs w:val="22"/>
          </w:rPr>
          <w:tab/>
        </w:r>
        <w:r w:rsidR="00886AA5" w:rsidRPr="00102661">
          <w:rPr>
            <w:noProof/>
            <w:webHidden/>
            <w:sz w:val="22"/>
            <w:szCs w:val="22"/>
          </w:rPr>
          <w:fldChar w:fldCharType="begin"/>
        </w:r>
        <w:r w:rsidR="00102661" w:rsidRPr="00102661">
          <w:rPr>
            <w:noProof/>
            <w:webHidden/>
            <w:sz w:val="22"/>
            <w:szCs w:val="22"/>
          </w:rPr>
          <w:instrText xml:space="preserve"> PAGEREF _Toc50641205 \h </w:instrText>
        </w:r>
        <w:r w:rsidR="00886AA5" w:rsidRPr="00102661">
          <w:rPr>
            <w:noProof/>
            <w:webHidden/>
            <w:sz w:val="22"/>
            <w:szCs w:val="22"/>
          </w:rPr>
        </w:r>
        <w:r w:rsidR="00886AA5" w:rsidRPr="00102661">
          <w:rPr>
            <w:noProof/>
            <w:webHidden/>
            <w:sz w:val="22"/>
            <w:szCs w:val="22"/>
          </w:rPr>
          <w:fldChar w:fldCharType="separate"/>
        </w:r>
        <w:r w:rsidR="00C06EF3">
          <w:rPr>
            <w:noProof/>
            <w:webHidden/>
            <w:sz w:val="22"/>
            <w:szCs w:val="22"/>
          </w:rPr>
          <w:t>38</w:t>
        </w:r>
        <w:r w:rsidR="00886AA5" w:rsidRPr="00102661">
          <w:rPr>
            <w:noProof/>
            <w:webHidden/>
            <w:sz w:val="22"/>
            <w:szCs w:val="22"/>
          </w:rPr>
          <w:fldChar w:fldCharType="end"/>
        </w:r>
      </w:hyperlink>
    </w:p>
    <w:p w14:paraId="17DD2F5A" w14:textId="77777777" w:rsidR="00102661" w:rsidRPr="00102661" w:rsidRDefault="00B0349C">
      <w:pPr>
        <w:pStyle w:val="SADRAJ5"/>
        <w:rPr>
          <w:rFonts w:asciiTheme="minorHAnsi" w:eastAsiaTheme="minorEastAsia" w:hAnsiTheme="minorHAnsi" w:cstheme="minorBidi"/>
          <w:noProof/>
          <w:sz w:val="22"/>
          <w:szCs w:val="22"/>
        </w:rPr>
      </w:pPr>
      <w:hyperlink w:anchor="_Toc50641206" w:history="1">
        <w:r w:rsidR="00102661" w:rsidRPr="00102661">
          <w:rPr>
            <w:rStyle w:val="Hiperveza"/>
            <w:noProof/>
            <w:sz w:val="22"/>
            <w:szCs w:val="22"/>
          </w:rPr>
          <w:t>Б.8. Расходи по судским рјешењима</w:t>
        </w:r>
        <w:r w:rsidR="00102661" w:rsidRPr="00102661">
          <w:rPr>
            <w:noProof/>
            <w:webHidden/>
            <w:sz w:val="22"/>
            <w:szCs w:val="22"/>
          </w:rPr>
          <w:tab/>
        </w:r>
        <w:r w:rsidR="00886AA5" w:rsidRPr="00102661">
          <w:rPr>
            <w:noProof/>
            <w:webHidden/>
            <w:sz w:val="22"/>
            <w:szCs w:val="22"/>
          </w:rPr>
          <w:fldChar w:fldCharType="begin"/>
        </w:r>
        <w:r w:rsidR="00102661" w:rsidRPr="00102661">
          <w:rPr>
            <w:noProof/>
            <w:webHidden/>
            <w:sz w:val="22"/>
            <w:szCs w:val="22"/>
          </w:rPr>
          <w:instrText xml:space="preserve"> PAGEREF _Toc50641206 \h </w:instrText>
        </w:r>
        <w:r w:rsidR="00886AA5" w:rsidRPr="00102661">
          <w:rPr>
            <w:noProof/>
            <w:webHidden/>
            <w:sz w:val="22"/>
            <w:szCs w:val="22"/>
          </w:rPr>
        </w:r>
        <w:r w:rsidR="00886AA5" w:rsidRPr="00102661">
          <w:rPr>
            <w:noProof/>
            <w:webHidden/>
            <w:sz w:val="22"/>
            <w:szCs w:val="22"/>
          </w:rPr>
          <w:fldChar w:fldCharType="separate"/>
        </w:r>
        <w:r w:rsidR="00C06EF3">
          <w:rPr>
            <w:noProof/>
            <w:webHidden/>
            <w:sz w:val="22"/>
            <w:szCs w:val="22"/>
          </w:rPr>
          <w:t>38</w:t>
        </w:r>
        <w:r w:rsidR="00886AA5" w:rsidRPr="00102661">
          <w:rPr>
            <w:noProof/>
            <w:webHidden/>
            <w:sz w:val="22"/>
            <w:szCs w:val="22"/>
          </w:rPr>
          <w:fldChar w:fldCharType="end"/>
        </w:r>
      </w:hyperlink>
    </w:p>
    <w:p w14:paraId="1B6E499E" w14:textId="77777777" w:rsidR="00102661" w:rsidRPr="00102661" w:rsidRDefault="00B0349C">
      <w:pPr>
        <w:pStyle w:val="SADRAJ5"/>
        <w:rPr>
          <w:rFonts w:asciiTheme="minorHAnsi" w:eastAsiaTheme="minorEastAsia" w:hAnsiTheme="minorHAnsi" w:cstheme="minorBidi"/>
          <w:noProof/>
          <w:sz w:val="22"/>
          <w:szCs w:val="22"/>
        </w:rPr>
      </w:pPr>
      <w:hyperlink w:anchor="_Toc50641207" w:history="1">
        <w:r w:rsidR="00102661" w:rsidRPr="00102661">
          <w:rPr>
            <w:rStyle w:val="Hiperveza"/>
            <w:noProof/>
            <w:sz w:val="22"/>
            <w:szCs w:val="22"/>
          </w:rPr>
          <w:t>Б.9. Трансфери између и унутар јединица власти</w:t>
        </w:r>
        <w:r w:rsidR="00102661" w:rsidRPr="00102661">
          <w:rPr>
            <w:noProof/>
            <w:webHidden/>
            <w:sz w:val="22"/>
            <w:szCs w:val="22"/>
          </w:rPr>
          <w:tab/>
        </w:r>
        <w:r w:rsidR="00886AA5" w:rsidRPr="00102661">
          <w:rPr>
            <w:noProof/>
            <w:webHidden/>
            <w:sz w:val="22"/>
            <w:szCs w:val="22"/>
          </w:rPr>
          <w:fldChar w:fldCharType="begin"/>
        </w:r>
        <w:r w:rsidR="00102661" w:rsidRPr="00102661">
          <w:rPr>
            <w:noProof/>
            <w:webHidden/>
            <w:sz w:val="22"/>
            <w:szCs w:val="22"/>
          </w:rPr>
          <w:instrText xml:space="preserve"> PAGEREF _Toc50641207 \h </w:instrText>
        </w:r>
        <w:r w:rsidR="00886AA5" w:rsidRPr="00102661">
          <w:rPr>
            <w:noProof/>
            <w:webHidden/>
            <w:sz w:val="22"/>
            <w:szCs w:val="22"/>
          </w:rPr>
        </w:r>
        <w:r w:rsidR="00886AA5" w:rsidRPr="00102661">
          <w:rPr>
            <w:noProof/>
            <w:webHidden/>
            <w:sz w:val="22"/>
            <w:szCs w:val="22"/>
          </w:rPr>
          <w:fldChar w:fldCharType="separate"/>
        </w:r>
        <w:r w:rsidR="00C06EF3">
          <w:rPr>
            <w:noProof/>
            <w:webHidden/>
            <w:sz w:val="22"/>
            <w:szCs w:val="22"/>
          </w:rPr>
          <w:t>38</w:t>
        </w:r>
        <w:r w:rsidR="00886AA5" w:rsidRPr="00102661">
          <w:rPr>
            <w:noProof/>
            <w:webHidden/>
            <w:sz w:val="22"/>
            <w:szCs w:val="22"/>
          </w:rPr>
          <w:fldChar w:fldCharType="end"/>
        </w:r>
      </w:hyperlink>
    </w:p>
    <w:p w14:paraId="710AF588" w14:textId="77777777" w:rsidR="00102661" w:rsidRPr="00102661" w:rsidRDefault="00B0349C" w:rsidP="00C41EC6">
      <w:pPr>
        <w:pStyle w:val="SADRAJ5"/>
        <w:ind w:left="958" w:firstLine="1452"/>
        <w:rPr>
          <w:rFonts w:asciiTheme="minorHAnsi" w:eastAsiaTheme="minorEastAsia" w:hAnsiTheme="minorHAnsi" w:cstheme="minorBidi"/>
          <w:noProof/>
          <w:sz w:val="22"/>
          <w:szCs w:val="22"/>
        </w:rPr>
      </w:pPr>
      <w:hyperlink w:anchor="_Toc50641208" w:history="1">
        <w:r w:rsidR="00102661" w:rsidRPr="00102661">
          <w:rPr>
            <w:rStyle w:val="Hiperveza"/>
            <w:noProof/>
            <w:sz w:val="22"/>
            <w:szCs w:val="22"/>
          </w:rPr>
          <w:t>Б.10. Издаци за нефинансијску имовину</w:t>
        </w:r>
        <w:r w:rsidR="00102661" w:rsidRPr="00102661">
          <w:rPr>
            <w:noProof/>
            <w:webHidden/>
            <w:sz w:val="22"/>
            <w:szCs w:val="22"/>
          </w:rPr>
          <w:tab/>
        </w:r>
        <w:r w:rsidR="00886AA5" w:rsidRPr="00102661">
          <w:rPr>
            <w:noProof/>
            <w:webHidden/>
            <w:sz w:val="22"/>
            <w:szCs w:val="22"/>
          </w:rPr>
          <w:fldChar w:fldCharType="begin"/>
        </w:r>
        <w:r w:rsidR="00102661" w:rsidRPr="00102661">
          <w:rPr>
            <w:noProof/>
            <w:webHidden/>
            <w:sz w:val="22"/>
            <w:szCs w:val="22"/>
          </w:rPr>
          <w:instrText xml:space="preserve"> PAGEREF _Toc50641208 \h </w:instrText>
        </w:r>
        <w:r w:rsidR="00886AA5" w:rsidRPr="00102661">
          <w:rPr>
            <w:noProof/>
            <w:webHidden/>
            <w:sz w:val="22"/>
            <w:szCs w:val="22"/>
          </w:rPr>
        </w:r>
        <w:r w:rsidR="00886AA5" w:rsidRPr="00102661">
          <w:rPr>
            <w:noProof/>
            <w:webHidden/>
            <w:sz w:val="22"/>
            <w:szCs w:val="22"/>
          </w:rPr>
          <w:fldChar w:fldCharType="separate"/>
        </w:r>
        <w:r w:rsidR="00C06EF3">
          <w:rPr>
            <w:noProof/>
            <w:webHidden/>
            <w:sz w:val="22"/>
            <w:szCs w:val="22"/>
          </w:rPr>
          <w:t>39</w:t>
        </w:r>
        <w:r w:rsidR="00886AA5" w:rsidRPr="00102661">
          <w:rPr>
            <w:noProof/>
            <w:webHidden/>
            <w:sz w:val="22"/>
            <w:szCs w:val="22"/>
          </w:rPr>
          <w:fldChar w:fldCharType="end"/>
        </w:r>
      </w:hyperlink>
    </w:p>
    <w:p w14:paraId="4C7A5904" w14:textId="77777777" w:rsidR="00102661" w:rsidRPr="00102661" w:rsidRDefault="00B0349C">
      <w:pPr>
        <w:pStyle w:val="SADRAJ3"/>
        <w:rPr>
          <w:rFonts w:asciiTheme="minorHAnsi" w:eastAsiaTheme="minorEastAsia" w:hAnsiTheme="minorHAnsi" w:cstheme="minorBidi"/>
          <w:noProof/>
          <w:sz w:val="22"/>
          <w:szCs w:val="22"/>
        </w:rPr>
      </w:pPr>
      <w:hyperlink w:anchor="_Toc50641209" w:history="1">
        <w:r w:rsidR="00102661" w:rsidRPr="00102661">
          <w:rPr>
            <w:rStyle w:val="Hiperveza"/>
            <w:noProof/>
            <w:sz w:val="22"/>
            <w:szCs w:val="22"/>
          </w:rPr>
          <w:t>3.1.4. РАЧУ</w:t>
        </w:r>
        <w:r w:rsidR="00A464AC">
          <w:rPr>
            <w:rStyle w:val="Hiperveza"/>
            <w:noProof/>
            <w:sz w:val="22"/>
            <w:szCs w:val="22"/>
          </w:rPr>
          <w:t>Н ФИНАНСИРАЊА ЗА ПЕРИОД 01.01-31.12</w:t>
        </w:r>
        <w:r w:rsidR="00102661" w:rsidRPr="00102661">
          <w:rPr>
            <w:rStyle w:val="Hiperveza"/>
            <w:noProof/>
            <w:sz w:val="22"/>
            <w:szCs w:val="22"/>
          </w:rPr>
          <w:t>.2020. ГОДИНЕ</w:t>
        </w:r>
        <w:r w:rsidR="00102661" w:rsidRPr="00102661">
          <w:rPr>
            <w:noProof/>
            <w:webHidden/>
            <w:sz w:val="22"/>
            <w:szCs w:val="22"/>
          </w:rPr>
          <w:tab/>
        </w:r>
        <w:r w:rsidR="00886AA5" w:rsidRPr="00102661">
          <w:rPr>
            <w:noProof/>
            <w:webHidden/>
            <w:sz w:val="22"/>
            <w:szCs w:val="22"/>
          </w:rPr>
          <w:fldChar w:fldCharType="begin"/>
        </w:r>
        <w:r w:rsidR="00102661" w:rsidRPr="00102661">
          <w:rPr>
            <w:noProof/>
            <w:webHidden/>
            <w:sz w:val="22"/>
            <w:szCs w:val="22"/>
          </w:rPr>
          <w:instrText xml:space="preserve"> PAGEREF _Toc50641209 \h </w:instrText>
        </w:r>
        <w:r w:rsidR="00886AA5" w:rsidRPr="00102661">
          <w:rPr>
            <w:noProof/>
            <w:webHidden/>
            <w:sz w:val="22"/>
            <w:szCs w:val="22"/>
          </w:rPr>
        </w:r>
        <w:r w:rsidR="00886AA5" w:rsidRPr="00102661">
          <w:rPr>
            <w:noProof/>
            <w:webHidden/>
            <w:sz w:val="22"/>
            <w:szCs w:val="22"/>
          </w:rPr>
          <w:fldChar w:fldCharType="separate"/>
        </w:r>
        <w:r w:rsidR="00C06EF3">
          <w:rPr>
            <w:noProof/>
            <w:webHidden/>
            <w:sz w:val="22"/>
            <w:szCs w:val="22"/>
          </w:rPr>
          <w:t>40</w:t>
        </w:r>
        <w:r w:rsidR="00886AA5" w:rsidRPr="00102661">
          <w:rPr>
            <w:noProof/>
            <w:webHidden/>
            <w:sz w:val="22"/>
            <w:szCs w:val="22"/>
          </w:rPr>
          <w:fldChar w:fldCharType="end"/>
        </w:r>
      </w:hyperlink>
    </w:p>
    <w:p w14:paraId="0CB5DCFA" w14:textId="77777777" w:rsidR="00102661" w:rsidRPr="00102661" w:rsidRDefault="00B0349C">
      <w:pPr>
        <w:pStyle w:val="SADRAJ3"/>
        <w:rPr>
          <w:rFonts w:asciiTheme="minorHAnsi" w:eastAsiaTheme="minorEastAsia" w:hAnsiTheme="minorHAnsi" w:cstheme="minorBidi"/>
          <w:noProof/>
          <w:sz w:val="22"/>
          <w:szCs w:val="22"/>
        </w:rPr>
      </w:pPr>
      <w:hyperlink w:anchor="_Toc50641210" w:history="1">
        <w:r w:rsidR="00102661" w:rsidRPr="00102661">
          <w:rPr>
            <w:rStyle w:val="Hiperveza"/>
            <w:noProof/>
            <w:sz w:val="22"/>
            <w:szCs w:val="22"/>
          </w:rPr>
          <w:t>3.1.5. БУЏЕТСКИ ИЗДАЦИ ПО КОРИСНИЦИМА</w:t>
        </w:r>
      </w:hyperlink>
    </w:p>
    <w:p w14:paraId="37EB133A" w14:textId="77777777" w:rsidR="00102661" w:rsidRDefault="00C41EC6">
      <w:pPr>
        <w:pStyle w:val="SADRAJ3"/>
        <w:rPr>
          <w:noProof/>
          <w:sz w:val="22"/>
          <w:szCs w:val="22"/>
        </w:rPr>
      </w:pPr>
      <w:r>
        <w:rPr>
          <w:noProof/>
          <w:lang w:val="sr-Latn-RS"/>
        </w:rPr>
        <w:t xml:space="preserve">         </w:t>
      </w:r>
      <w:hyperlink w:anchor="_Toc50641211" w:history="1">
        <w:r w:rsidR="00102661" w:rsidRPr="00102661">
          <w:rPr>
            <w:rStyle w:val="Hiperveza"/>
            <w:noProof/>
            <w:sz w:val="22"/>
            <w:szCs w:val="22"/>
          </w:rPr>
          <w:t>– ОРГАНИЗАЦИОНА КЛАСИФИКАЦИЈА</w:t>
        </w:r>
        <w:r w:rsidR="00102661" w:rsidRPr="00102661">
          <w:rPr>
            <w:noProof/>
            <w:webHidden/>
            <w:sz w:val="22"/>
            <w:szCs w:val="22"/>
          </w:rPr>
          <w:tab/>
        </w:r>
        <w:r w:rsidR="00886AA5" w:rsidRPr="00102661">
          <w:rPr>
            <w:noProof/>
            <w:webHidden/>
            <w:sz w:val="22"/>
            <w:szCs w:val="22"/>
          </w:rPr>
          <w:fldChar w:fldCharType="begin"/>
        </w:r>
        <w:r w:rsidR="00102661" w:rsidRPr="00102661">
          <w:rPr>
            <w:noProof/>
            <w:webHidden/>
            <w:sz w:val="22"/>
            <w:szCs w:val="22"/>
          </w:rPr>
          <w:instrText xml:space="preserve"> PAGEREF _Toc50641211 \h </w:instrText>
        </w:r>
        <w:r w:rsidR="00886AA5" w:rsidRPr="00102661">
          <w:rPr>
            <w:noProof/>
            <w:webHidden/>
            <w:sz w:val="22"/>
            <w:szCs w:val="22"/>
          </w:rPr>
        </w:r>
        <w:r w:rsidR="00886AA5" w:rsidRPr="00102661">
          <w:rPr>
            <w:noProof/>
            <w:webHidden/>
            <w:sz w:val="22"/>
            <w:szCs w:val="22"/>
          </w:rPr>
          <w:fldChar w:fldCharType="separate"/>
        </w:r>
        <w:r w:rsidR="00C06EF3">
          <w:rPr>
            <w:noProof/>
            <w:webHidden/>
            <w:sz w:val="22"/>
            <w:szCs w:val="22"/>
          </w:rPr>
          <w:t>42</w:t>
        </w:r>
        <w:r w:rsidR="00886AA5" w:rsidRPr="00102661">
          <w:rPr>
            <w:noProof/>
            <w:webHidden/>
            <w:sz w:val="22"/>
            <w:szCs w:val="22"/>
          </w:rPr>
          <w:fldChar w:fldCharType="end"/>
        </w:r>
      </w:hyperlink>
    </w:p>
    <w:p w14:paraId="504D5895" w14:textId="77777777" w:rsidR="00C41EC6" w:rsidRDefault="00C41EC6" w:rsidP="00C41EC6">
      <w:pPr>
        <w:rPr>
          <w:rFonts w:eastAsiaTheme="minorEastAsia"/>
          <w:noProof/>
          <w:sz w:val="22"/>
          <w:szCs w:val="22"/>
          <w:lang w:val="sr-Cyrl-RS"/>
        </w:rPr>
      </w:pPr>
      <w:r>
        <w:rPr>
          <w:rFonts w:eastAsiaTheme="minorEastAsia"/>
          <w:noProof/>
          <w:lang w:val="sr-Latn-RS"/>
        </w:rPr>
        <w:t xml:space="preserve">              </w:t>
      </w:r>
      <w:r w:rsidRPr="00C41EC6">
        <w:rPr>
          <w:rFonts w:eastAsiaTheme="minorEastAsia"/>
          <w:noProof/>
          <w:sz w:val="22"/>
          <w:szCs w:val="22"/>
          <w:lang w:val="sr-Latn-RS"/>
        </w:rPr>
        <w:t xml:space="preserve">3.1.6. </w:t>
      </w:r>
      <w:r>
        <w:rPr>
          <w:rFonts w:eastAsiaTheme="minorEastAsia"/>
          <w:noProof/>
          <w:sz w:val="22"/>
          <w:szCs w:val="22"/>
          <w:lang w:val="sr-Cyrl-RS"/>
        </w:rPr>
        <w:t>ФУНКЦИОНАЛНА КЛАСИФИКАЦИЈА БУЏЕТСКИХ РАСХОДА И НЕТО</w:t>
      </w:r>
    </w:p>
    <w:p w14:paraId="424C3507" w14:textId="77777777" w:rsidR="00C41EC6" w:rsidRDefault="00C41EC6" w:rsidP="00C41EC6">
      <w:pPr>
        <w:rPr>
          <w:rFonts w:eastAsiaTheme="minorEastAsia"/>
          <w:noProof/>
          <w:sz w:val="22"/>
          <w:szCs w:val="22"/>
          <w:lang w:val="sr-Cyrl-RS"/>
        </w:rPr>
      </w:pPr>
      <w:r>
        <w:rPr>
          <w:rFonts w:eastAsiaTheme="minorEastAsia"/>
          <w:noProof/>
          <w:sz w:val="22"/>
          <w:szCs w:val="22"/>
          <w:lang w:val="sr-Cyrl-RS"/>
        </w:rPr>
        <w:t xml:space="preserve">                         ИЗДАТАКА  ЗА НЕФИНАНСИЈСКУ ИМОВИНУ ЗА ПЕРИОД</w:t>
      </w:r>
    </w:p>
    <w:p w14:paraId="009B32C6" w14:textId="77777777" w:rsidR="00C41EC6" w:rsidRPr="00C41EC6" w:rsidRDefault="00C41EC6" w:rsidP="00A464AC">
      <w:pPr>
        <w:tabs>
          <w:tab w:val="right" w:leader="dot" w:pos="9055"/>
        </w:tabs>
        <w:rPr>
          <w:rFonts w:eastAsiaTheme="minorEastAsia"/>
          <w:noProof/>
          <w:sz w:val="22"/>
          <w:szCs w:val="22"/>
          <w:lang w:val="sr-Cyrl-RS"/>
        </w:rPr>
      </w:pPr>
      <w:r>
        <w:rPr>
          <w:rFonts w:eastAsiaTheme="minorEastAsia"/>
          <w:noProof/>
          <w:sz w:val="22"/>
          <w:szCs w:val="22"/>
          <w:lang w:val="sr-Cyrl-RS"/>
        </w:rPr>
        <w:t xml:space="preserve">                         01.01-31.12.2020. ГОДИНЕ</w:t>
      </w:r>
      <w:r>
        <w:rPr>
          <w:rFonts w:eastAsiaTheme="minorEastAsia"/>
          <w:noProof/>
          <w:sz w:val="22"/>
          <w:szCs w:val="22"/>
          <w:lang w:val="sr-Cyrl-RS"/>
        </w:rPr>
        <w:tab/>
      </w:r>
      <w:r w:rsidR="00D3423F">
        <w:rPr>
          <w:rFonts w:eastAsiaTheme="minorEastAsia"/>
          <w:noProof/>
          <w:sz w:val="22"/>
          <w:szCs w:val="22"/>
          <w:lang w:val="sr-Cyrl-RS"/>
        </w:rPr>
        <w:t>43</w:t>
      </w:r>
      <w:r>
        <w:rPr>
          <w:rFonts w:eastAsiaTheme="minorEastAsia"/>
          <w:noProof/>
          <w:sz w:val="22"/>
          <w:szCs w:val="22"/>
          <w:lang w:val="sr-Cyrl-RS"/>
        </w:rPr>
        <w:t xml:space="preserve">                                         </w:t>
      </w:r>
    </w:p>
    <w:p w14:paraId="5CF7989D" w14:textId="77777777" w:rsidR="00102661" w:rsidRPr="00102661" w:rsidRDefault="00B0349C" w:rsidP="00A464AC">
      <w:pPr>
        <w:pStyle w:val="SADRAJ2"/>
        <w:rPr>
          <w:rFonts w:asciiTheme="minorHAnsi" w:eastAsiaTheme="minorEastAsia" w:hAnsiTheme="minorHAnsi" w:cstheme="minorBidi"/>
          <w:noProof/>
        </w:rPr>
      </w:pPr>
      <w:hyperlink w:anchor="_Toc50641213" w:history="1">
        <w:r w:rsidR="00102661" w:rsidRPr="00102661">
          <w:rPr>
            <w:rStyle w:val="Hiperveza"/>
            <w:noProof/>
            <w:sz w:val="22"/>
            <w:szCs w:val="22"/>
          </w:rPr>
          <w:t>3.2. ИЗВРШЕЊЕ БУЏЕТА НА ОСТАЛИМ ФОНДОВИМА</w:t>
        </w:r>
      </w:hyperlink>
      <w:hyperlink w:anchor="_Toc50641214" w:history="1">
        <w:r w:rsidR="00102661" w:rsidRPr="00102661">
          <w:rPr>
            <w:rStyle w:val="Hiperveza"/>
            <w:noProof/>
            <w:sz w:val="22"/>
            <w:szCs w:val="22"/>
          </w:rPr>
          <w:t>(ФОНД 03)</w:t>
        </w:r>
        <w:r w:rsidR="00102661" w:rsidRPr="00102661">
          <w:rPr>
            <w:noProof/>
            <w:webHidden/>
          </w:rPr>
          <w:tab/>
        </w:r>
        <w:r w:rsidR="00886AA5" w:rsidRPr="00102661">
          <w:rPr>
            <w:noProof/>
            <w:webHidden/>
          </w:rPr>
          <w:fldChar w:fldCharType="begin"/>
        </w:r>
        <w:r w:rsidR="00102661" w:rsidRPr="00102661">
          <w:rPr>
            <w:noProof/>
            <w:webHidden/>
          </w:rPr>
          <w:instrText xml:space="preserve"> PAGEREF _Toc50641214 \h </w:instrText>
        </w:r>
        <w:r w:rsidR="00886AA5" w:rsidRPr="00102661">
          <w:rPr>
            <w:noProof/>
            <w:webHidden/>
          </w:rPr>
        </w:r>
        <w:r w:rsidR="00886AA5" w:rsidRPr="00102661">
          <w:rPr>
            <w:noProof/>
            <w:webHidden/>
          </w:rPr>
          <w:fldChar w:fldCharType="separate"/>
        </w:r>
        <w:r w:rsidR="00C06EF3">
          <w:rPr>
            <w:noProof/>
            <w:webHidden/>
          </w:rPr>
          <w:t>43</w:t>
        </w:r>
        <w:r w:rsidR="00886AA5" w:rsidRPr="00102661">
          <w:rPr>
            <w:noProof/>
            <w:webHidden/>
          </w:rPr>
          <w:fldChar w:fldCharType="end"/>
        </w:r>
      </w:hyperlink>
    </w:p>
    <w:p w14:paraId="21A6B234" w14:textId="77777777" w:rsidR="00102661" w:rsidRPr="00102661" w:rsidRDefault="00B0349C" w:rsidP="00A464AC">
      <w:pPr>
        <w:pStyle w:val="SADRAJ2"/>
        <w:rPr>
          <w:rFonts w:asciiTheme="minorHAnsi" w:eastAsiaTheme="minorEastAsia" w:hAnsiTheme="minorHAnsi" w:cstheme="minorBidi"/>
          <w:noProof/>
        </w:rPr>
      </w:pPr>
      <w:hyperlink w:anchor="_Toc50641215" w:history="1">
        <w:r w:rsidR="00102661" w:rsidRPr="00102661">
          <w:rPr>
            <w:rStyle w:val="Hiperveza"/>
            <w:noProof/>
            <w:sz w:val="22"/>
            <w:szCs w:val="22"/>
          </w:rPr>
          <w:t>3.3. РЕКАПИТУЛАЦИЈА ИЗВРШЕЊА БУЏЕТА ОПШТИНЕ</w:t>
        </w:r>
      </w:hyperlink>
      <w:r w:rsidR="00A464AC">
        <w:rPr>
          <w:rStyle w:val="Hiperveza"/>
          <w:noProof/>
          <w:sz w:val="22"/>
          <w:szCs w:val="22"/>
          <w:lang w:val="sr-Cyrl-RS"/>
        </w:rPr>
        <w:t xml:space="preserve"> </w:t>
      </w:r>
      <w:hyperlink w:anchor="_Toc50641216" w:history="1">
        <w:r w:rsidR="00102661" w:rsidRPr="00102661">
          <w:rPr>
            <w:rStyle w:val="Hiperveza"/>
            <w:noProof/>
            <w:sz w:val="22"/>
            <w:szCs w:val="22"/>
          </w:rPr>
          <w:t>ПРЊАВОР ЗА ПЕРИОД</w:t>
        </w:r>
        <w:r w:rsidR="00A464AC">
          <w:rPr>
            <w:rStyle w:val="Hiperveza"/>
            <w:noProof/>
            <w:sz w:val="22"/>
            <w:szCs w:val="22"/>
            <w:lang w:val="sr-Cyrl-RS"/>
          </w:rPr>
          <w:t xml:space="preserve">             </w:t>
        </w:r>
        <w:r w:rsidR="00A464AC">
          <w:rPr>
            <w:rStyle w:val="Hiperveza"/>
            <w:noProof/>
            <w:sz w:val="22"/>
            <w:szCs w:val="22"/>
          </w:rPr>
          <w:t xml:space="preserve"> 01.01-31.12</w:t>
        </w:r>
        <w:r w:rsidR="00102661" w:rsidRPr="00102661">
          <w:rPr>
            <w:rStyle w:val="Hiperveza"/>
            <w:noProof/>
            <w:sz w:val="22"/>
            <w:szCs w:val="22"/>
          </w:rPr>
          <w:t>.2020. ГОДИНЕ</w:t>
        </w:r>
        <w:r w:rsidR="00102661" w:rsidRPr="00102661">
          <w:rPr>
            <w:noProof/>
            <w:webHidden/>
          </w:rPr>
          <w:tab/>
        </w:r>
        <w:r w:rsidR="00886AA5" w:rsidRPr="00102661">
          <w:rPr>
            <w:noProof/>
            <w:webHidden/>
          </w:rPr>
          <w:fldChar w:fldCharType="begin"/>
        </w:r>
        <w:r w:rsidR="00102661" w:rsidRPr="00102661">
          <w:rPr>
            <w:noProof/>
            <w:webHidden/>
          </w:rPr>
          <w:instrText xml:space="preserve"> PAGEREF _Toc50641216 \h </w:instrText>
        </w:r>
        <w:r w:rsidR="00886AA5" w:rsidRPr="00102661">
          <w:rPr>
            <w:noProof/>
            <w:webHidden/>
          </w:rPr>
        </w:r>
        <w:r w:rsidR="00886AA5" w:rsidRPr="00102661">
          <w:rPr>
            <w:noProof/>
            <w:webHidden/>
          </w:rPr>
          <w:fldChar w:fldCharType="separate"/>
        </w:r>
        <w:r w:rsidR="00C06EF3">
          <w:rPr>
            <w:noProof/>
            <w:webHidden/>
          </w:rPr>
          <w:t>44</w:t>
        </w:r>
        <w:r w:rsidR="00886AA5" w:rsidRPr="00102661">
          <w:rPr>
            <w:noProof/>
            <w:webHidden/>
          </w:rPr>
          <w:fldChar w:fldCharType="end"/>
        </w:r>
      </w:hyperlink>
    </w:p>
    <w:p w14:paraId="130F3ACD" w14:textId="77777777" w:rsidR="00102661" w:rsidRPr="00102661" w:rsidRDefault="00B0349C" w:rsidP="00A464AC">
      <w:pPr>
        <w:pStyle w:val="SADRAJ1"/>
        <w:rPr>
          <w:rFonts w:asciiTheme="minorHAnsi" w:eastAsiaTheme="minorEastAsia" w:hAnsiTheme="minorHAnsi" w:cstheme="minorBidi"/>
        </w:rPr>
      </w:pPr>
      <w:hyperlink w:anchor="_Toc50641217" w:history="1">
        <w:r w:rsidR="00102661" w:rsidRPr="00102661">
          <w:rPr>
            <w:rStyle w:val="Hiperveza"/>
          </w:rPr>
          <w:t>4. РЕАЛОКАЦИЈЕ БУЏЕТСКИХ СРЕДСТАВА</w:t>
        </w:r>
        <w:r w:rsidR="00102661" w:rsidRPr="00102661">
          <w:rPr>
            <w:webHidden/>
          </w:rPr>
          <w:tab/>
        </w:r>
        <w:r w:rsidR="00886AA5" w:rsidRPr="00102661">
          <w:rPr>
            <w:webHidden/>
          </w:rPr>
          <w:fldChar w:fldCharType="begin"/>
        </w:r>
        <w:r w:rsidR="00102661" w:rsidRPr="00102661">
          <w:rPr>
            <w:webHidden/>
          </w:rPr>
          <w:instrText xml:space="preserve"> PAGEREF _Toc50641217 \h </w:instrText>
        </w:r>
        <w:r w:rsidR="00886AA5" w:rsidRPr="00102661">
          <w:rPr>
            <w:webHidden/>
          </w:rPr>
        </w:r>
        <w:r w:rsidR="00886AA5" w:rsidRPr="00102661">
          <w:rPr>
            <w:webHidden/>
          </w:rPr>
          <w:fldChar w:fldCharType="separate"/>
        </w:r>
        <w:r w:rsidR="00C06EF3">
          <w:rPr>
            <w:webHidden/>
          </w:rPr>
          <w:t>45</w:t>
        </w:r>
        <w:r w:rsidR="00886AA5" w:rsidRPr="00102661">
          <w:rPr>
            <w:webHidden/>
          </w:rPr>
          <w:fldChar w:fldCharType="end"/>
        </w:r>
      </w:hyperlink>
    </w:p>
    <w:p w14:paraId="4A4F9001" w14:textId="77777777" w:rsidR="00102661" w:rsidRPr="00102661" w:rsidRDefault="00B0349C" w:rsidP="00A464AC">
      <w:pPr>
        <w:pStyle w:val="SADRAJ1"/>
        <w:rPr>
          <w:rFonts w:asciiTheme="minorHAnsi" w:eastAsiaTheme="minorEastAsia" w:hAnsiTheme="minorHAnsi" w:cstheme="minorBidi"/>
        </w:rPr>
      </w:pPr>
      <w:hyperlink w:anchor="_Toc50641218" w:history="1">
        <w:r w:rsidR="00102661" w:rsidRPr="00102661">
          <w:rPr>
            <w:rStyle w:val="Hiperveza"/>
          </w:rPr>
          <w:t>5. РЕАЛОКАЦИЈЕ СРЕДСТАВА БУЏЕТСКЕ РЕЗЕРВЕ</w:t>
        </w:r>
        <w:r w:rsidR="00102661" w:rsidRPr="00102661">
          <w:rPr>
            <w:webHidden/>
          </w:rPr>
          <w:tab/>
        </w:r>
        <w:r w:rsidR="00886AA5" w:rsidRPr="00102661">
          <w:rPr>
            <w:webHidden/>
          </w:rPr>
          <w:fldChar w:fldCharType="begin"/>
        </w:r>
        <w:r w:rsidR="00102661" w:rsidRPr="00102661">
          <w:rPr>
            <w:webHidden/>
          </w:rPr>
          <w:instrText xml:space="preserve"> PAGEREF _Toc50641218 \h </w:instrText>
        </w:r>
        <w:r w:rsidR="00886AA5" w:rsidRPr="00102661">
          <w:rPr>
            <w:webHidden/>
          </w:rPr>
        </w:r>
        <w:r w:rsidR="00886AA5" w:rsidRPr="00102661">
          <w:rPr>
            <w:webHidden/>
          </w:rPr>
          <w:fldChar w:fldCharType="separate"/>
        </w:r>
        <w:r w:rsidR="00C06EF3">
          <w:rPr>
            <w:webHidden/>
          </w:rPr>
          <w:t>45</w:t>
        </w:r>
        <w:r w:rsidR="00886AA5" w:rsidRPr="00102661">
          <w:rPr>
            <w:webHidden/>
          </w:rPr>
          <w:fldChar w:fldCharType="end"/>
        </w:r>
      </w:hyperlink>
    </w:p>
    <w:p w14:paraId="695465C8" w14:textId="77777777" w:rsidR="00102661" w:rsidRPr="00102661" w:rsidRDefault="00B0349C" w:rsidP="00A464AC">
      <w:pPr>
        <w:pStyle w:val="SADRAJ1"/>
        <w:rPr>
          <w:rFonts w:asciiTheme="minorHAnsi" w:eastAsiaTheme="minorEastAsia" w:hAnsiTheme="minorHAnsi" w:cstheme="minorBidi"/>
        </w:rPr>
      </w:pPr>
      <w:hyperlink w:anchor="_Toc50641219" w:history="1">
        <w:r w:rsidR="00102661" w:rsidRPr="00102661">
          <w:rPr>
            <w:rStyle w:val="Hiperveza"/>
          </w:rPr>
          <w:t>6. СТАЊЕ НОВЧАНИХ СРЕДСТАВА НА</w:t>
        </w:r>
      </w:hyperlink>
      <w:r w:rsidR="00A464AC">
        <w:rPr>
          <w:rStyle w:val="Hiperveza"/>
          <w:lang w:val="sr-Cyrl-RS"/>
        </w:rPr>
        <w:t xml:space="preserve"> </w:t>
      </w:r>
      <w:hyperlink w:anchor="_Toc50641220" w:history="1">
        <w:r w:rsidR="00102661" w:rsidRPr="00102661">
          <w:rPr>
            <w:rStyle w:val="Hiperveza"/>
          </w:rPr>
          <w:t>РАЧУНИМА ОПШТИНЕ ПРЊАВОР</w:t>
        </w:r>
        <w:r w:rsidR="00102661" w:rsidRPr="00102661">
          <w:rPr>
            <w:webHidden/>
          </w:rPr>
          <w:tab/>
        </w:r>
        <w:r w:rsidR="00886AA5" w:rsidRPr="00102661">
          <w:rPr>
            <w:webHidden/>
          </w:rPr>
          <w:fldChar w:fldCharType="begin"/>
        </w:r>
        <w:r w:rsidR="00102661" w:rsidRPr="00102661">
          <w:rPr>
            <w:webHidden/>
          </w:rPr>
          <w:instrText xml:space="preserve"> PAGEREF _Toc50641220 \h </w:instrText>
        </w:r>
        <w:r w:rsidR="00886AA5" w:rsidRPr="00102661">
          <w:rPr>
            <w:webHidden/>
          </w:rPr>
        </w:r>
        <w:r w:rsidR="00886AA5" w:rsidRPr="00102661">
          <w:rPr>
            <w:webHidden/>
          </w:rPr>
          <w:fldChar w:fldCharType="separate"/>
        </w:r>
        <w:r w:rsidR="00C06EF3">
          <w:rPr>
            <w:webHidden/>
          </w:rPr>
          <w:t>46</w:t>
        </w:r>
        <w:r w:rsidR="00886AA5" w:rsidRPr="00102661">
          <w:rPr>
            <w:webHidden/>
          </w:rPr>
          <w:fldChar w:fldCharType="end"/>
        </w:r>
      </w:hyperlink>
    </w:p>
    <w:p w14:paraId="65D18751" w14:textId="77777777" w:rsidR="00102661" w:rsidRDefault="00B0349C" w:rsidP="00A464AC">
      <w:pPr>
        <w:pStyle w:val="SADRAJ1"/>
      </w:pPr>
      <w:hyperlink w:anchor="_Toc50641221" w:history="1">
        <w:r w:rsidR="00102661" w:rsidRPr="00102661">
          <w:rPr>
            <w:rStyle w:val="Hiperveza"/>
          </w:rPr>
          <w:t>7. ИНФОРМАЦИЈА О КРЕДИТНОМ ЗАДУЖЕЊУ ОПШТИНЕ</w:t>
        </w:r>
        <w:r w:rsidR="00102661" w:rsidRPr="00102661">
          <w:rPr>
            <w:webHidden/>
          </w:rPr>
          <w:tab/>
        </w:r>
        <w:r w:rsidR="00886AA5" w:rsidRPr="00102661">
          <w:rPr>
            <w:webHidden/>
          </w:rPr>
          <w:fldChar w:fldCharType="begin"/>
        </w:r>
        <w:r w:rsidR="00102661" w:rsidRPr="00102661">
          <w:rPr>
            <w:webHidden/>
          </w:rPr>
          <w:instrText xml:space="preserve"> PAGEREF _Toc50641221 \h </w:instrText>
        </w:r>
        <w:r w:rsidR="00886AA5" w:rsidRPr="00102661">
          <w:rPr>
            <w:webHidden/>
          </w:rPr>
        </w:r>
        <w:r w:rsidR="00886AA5" w:rsidRPr="00102661">
          <w:rPr>
            <w:webHidden/>
          </w:rPr>
          <w:fldChar w:fldCharType="separate"/>
        </w:r>
        <w:r w:rsidR="00C06EF3">
          <w:rPr>
            <w:webHidden/>
          </w:rPr>
          <w:t>48</w:t>
        </w:r>
        <w:r w:rsidR="00886AA5" w:rsidRPr="00102661">
          <w:rPr>
            <w:webHidden/>
          </w:rPr>
          <w:fldChar w:fldCharType="end"/>
        </w:r>
      </w:hyperlink>
    </w:p>
    <w:p w14:paraId="32410A37" w14:textId="77777777" w:rsidR="00A464AC" w:rsidRPr="00A464AC" w:rsidRDefault="00A464AC" w:rsidP="00A464AC">
      <w:pPr>
        <w:pStyle w:val="SADRAJ1"/>
        <w:rPr>
          <w:rStyle w:val="Hiperveza"/>
          <w:color w:val="auto"/>
          <w:u w:val="none"/>
          <w:lang w:val="sr-Cyrl-RS"/>
        </w:rPr>
      </w:pPr>
      <w:r w:rsidRPr="00A464AC">
        <w:rPr>
          <w:rStyle w:val="Hiperveza"/>
          <w:color w:val="auto"/>
          <w:u w:val="none"/>
        </w:rPr>
        <w:t>8.</w:t>
      </w:r>
      <w:r>
        <w:rPr>
          <w:rStyle w:val="Hiperveza"/>
          <w:color w:val="auto"/>
          <w:u w:val="none"/>
          <w:lang w:val="sr-Cyrl-RS"/>
        </w:rPr>
        <w:t xml:space="preserve"> ИНФОРМАЦИЈА О СТАЊУ ИМОВИН</w:t>
      </w:r>
      <w:r w:rsidR="00D3423F">
        <w:rPr>
          <w:rStyle w:val="Hiperveza"/>
          <w:color w:val="auto"/>
          <w:u w:val="none"/>
          <w:lang w:val="sr-Cyrl-RS"/>
        </w:rPr>
        <w:t>Е, ОБАВЕЗА И ИЗВОРА СРЕДСТАВА</w:t>
      </w:r>
      <w:r w:rsidR="00D3423F">
        <w:rPr>
          <w:rStyle w:val="Hiperveza"/>
          <w:color w:val="auto"/>
          <w:u w:val="none"/>
          <w:lang w:val="sr-Cyrl-RS"/>
        </w:rPr>
        <w:tab/>
        <w:t>49</w:t>
      </w:r>
    </w:p>
    <w:p w14:paraId="0431A704" w14:textId="77777777" w:rsidR="00236ED3" w:rsidRDefault="00886AA5" w:rsidP="00951FF7">
      <w:pPr>
        <w:tabs>
          <w:tab w:val="left" w:pos="5103"/>
        </w:tabs>
        <w:ind w:left="0" w:firstLine="0"/>
        <w:jc w:val="left"/>
        <w:rPr>
          <w:b/>
          <w:lang w:val="sr-Latn-CS"/>
        </w:rPr>
      </w:pPr>
      <w:r w:rsidRPr="00CA45AA">
        <w:rPr>
          <w:b/>
          <w:sz w:val="20"/>
          <w:szCs w:val="20"/>
          <w:lang w:val="sr-Latn-CS"/>
        </w:rPr>
        <w:fldChar w:fldCharType="end"/>
      </w:r>
    </w:p>
    <w:p w14:paraId="7FE0FF6B" w14:textId="77777777" w:rsidR="0089056E" w:rsidRDefault="0089056E" w:rsidP="00951FF7">
      <w:pPr>
        <w:tabs>
          <w:tab w:val="left" w:pos="5103"/>
        </w:tabs>
        <w:ind w:left="0" w:firstLine="0"/>
        <w:jc w:val="left"/>
        <w:rPr>
          <w:b/>
          <w:lang w:val="sr-Latn-CS"/>
        </w:rPr>
      </w:pPr>
    </w:p>
    <w:p w14:paraId="75B3AA32" w14:textId="77777777" w:rsidR="00383D4F" w:rsidRDefault="00383D4F" w:rsidP="00951FF7">
      <w:pPr>
        <w:tabs>
          <w:tab w:val="left" w:pos="5103"/>
        </w:tabs>
        <w:ind w:left="0" w:firstLine="0"/>
        <w:jc w:val="left"/>
        <w:rPr>
          <w:b/>
          <w:lang w:val="sr-Latn-CS"/>
        </w:rPr>
      </w:pPr>
    </w:p>
    <w:p w14:paraId="089549F6" w14:textId="77777777" w:rsidR="00EB0600" w:rsidRDefault="00EB0600" w:rsidP="00951FF7">
      <w:pPr>
        <w:tabs>
          <w:tab w:val="left" w:pos="5103"/>
        </w:tabs>
        <w:ind w:left="0" w:firstLine="0"/>
        <w:jc w:val="left"/>
        <w:rPr>
          <w:b/>
          <w:lang w:val="sr-Latn-CS"/>
        </w:rPr>
      </w:pPr>
    </w:p>
    <w:p w14:paraId="62431757" w14:textId="77777777" w:rsidR="00EB0600" w:rsidRDefault="00EB0600" w:rsidP="00951FF7">
      <w:pPr>
        <w:tabs>
          <w:tab w:val="left" w:pos="5103"/>
        </w:tabs>
        <w:ind w:left="0" w:firstLine="0"/>
        <w:jc w:val="left"/>
        <w:rPr>
          <w:b/>
          <w:lang w:val="sr-Latn-CS"/>
        </w:rPr>
      </w:pPr>
    </w:p>
    <w:p w14:paraId="42E34E8E" w14:textId="77777777" w:rsidR="00EB0600" w:rsidRPr="00B45CB2" w:rsidRDefault="00EB0600" w:rsidP="00951FF7">
      <w:pPr>
        <w:tabs>
          <w:tab w:val="left" w:pos="5103"/>
        </w:tabs>
        <w:ind w:left="0" w:firstLine="0"/>
        <w:jc w:val="left"/>
        <w:rPr>
          <w:b/>
          <w:lang w:val="sr-Latn-RS"/>
        </w:rPr>
      </w:pPr>
    </w:p>
    <w:p w14:paraId="25497148" w14:textId="77777777" w:rsidR="00E20184" w:rsidRPr="00383D4F" w:rsidRDefault="00E20184" w:rsidP="006D3FBA">
      <w:pPr>
        <w:pStyle w:val="Glavninaslovi"/>
        <w:ind w:left="720" w:hanging="720"/>
        <w:rPr>
          <w:sz w:val="24"/>
          <w:szCs w:val="24"/>
        </w:rPr>
      </w:pPr>
      <w:bookmarkStart w:id="0" w:name="_Toc530745860"/>
      <w:bookmarkStart w:id="1" w:name="_Toc50641177"/>
      <w:r w:rsidRPr="00383D4F">
        <w:rPr>
          <w:sz w:val="24"/>
          <w:szCs w:val="24"/>
        </w:rPr>
        <w:lastRenderedPageBreak/>
        <w:t>УВОД</w:t>
      </w:r>
      <w:bookmarkEnd w:id="0"/>
      <w:bookmarkEnd w:id="1"/>
    </w:p>
    <w:p w14:paraId="0D8BACE1" w14:textId="77777777" w:rsidR="00E20184" w:rsidRPr="00F8793B" w:rsidRDefault="00E20184" w:rsidP="00E20184">
      <w:pPr>
        <w:ind w:left="0" w:firstLine="0"/>
        <w:jc w:val="center"/>
        <w:rPr>
          <w:color w:val="FF0000"/>
        </w:rPr>
      </w:pPr>
    </w:p>
    <w:p w14:paraId="4273DF6C" w14:textId="77777777" w:rsidR="00E20184" w:rsidRPr="00044FDF" w:rsidRDefault="00E20184" w:rsidP="00E20184">
      <w:pPr>
        <w:ind w:left="0" w:firstLine="0"/>
      </w:pPr>
      <w:r>
        <w:tab/>
      </w:r>
      <w:r w:rsidRPr="00A71808">
        <w:t xml:space="preserve">Законом о буџетском систему Републике Српске </w:t>
      </w:r>
      <w:r w:rsidRPr="009B2CF3">
        <w:t>(„Службени гласник Републике Српске“, број 121/12</w:t>
      </w:r>
      <w:r w:rsidR="007B1F5B">
        <w:rPr>
          <w:lang w:val="sr-Latn-CS"/>
        </w:rPr>
        <w:t>,</w:t>
      </w:r>
      <w:r w:rsidR="0094734D">
        <w:t xml:space="preserve"> 52/14</w:t>
      </w:r>
      <w:r w:rsidR="007B1F5B">
        <w:rPr>
          <w:lang w:val="sr-Latn-CS"/>
        </w:rPr>
        <w:t xml:space="preserve">, 103/15 </w:t>
      </w:r>
      <w:r w:rsidR="007B1F5B">
        <w:t>и 15/16</w:t>
      </w:r>
      <w:r w:rsidRPr="009B2CF3">
        <w:t>)</w:t>
      </w:r>
      <w:r w:rsidRPr="00A71808">
        <w:t xml:space="preserve"> утврђени су рокови за </w:t>
      </w:r>
      <w:proofErr w:type="spellStart"/>
      <w:r w:rsidRPr="00A71808">
        <w:t>тромјесечно</w:t>
      </w:r>
      <w:proofErr w:type="spellEnd"/>
      <w:r w:rsidRPr="00A71808">
        <w:t xml:space="preserve">, полугодишње и годишње </w:t>
      </w:r>
      <w:proofErr w:type="spellStart"/>
      <w:r w:rsidRPr="00A71808">
        <w:t>извјештавање</w:t>
      </w:r>
      <w:proofErr w:type="spellEnd"/>
      <w:r w:rsidRPr="00A71808">
        <w:t xml:space="preserve"> </w:t>
      </w:r>
      <w:proofErr w:type="spellStart"/>
      <w:r w:rsidRPr="0079032C">
        <w:t>M</w:t>
      </w:r>
      <w:r w:rsidRPr="00A71808">
        <w:t>инистарства</w:t>
      </w:r>
      <w:proofErr w:type="spellEnd"/>
      <w:r w:rsidRPr="00A71808">
        <w:t xml:space="preserve"> финансија о извршењу буџета</w:t>
      </w:r>
      <w:r w:rsidRPr="0079032C">
        <w:t xml:space="preserve">, </w:t>
      </w:r>
      <w:r w:rsidRPr="000F5716">
        <w:t xml:space="preserve">као и рокови за </w:t>
      </w:r>
      <w:proofErr w:type="spellStart"/>
      <w:r w:rsidRPr="000F5716">
        <w:t>извјештавање</w:t>
      </w:r>
      <w:proofErr w:type="spellEnd"/>
      <w:r w:rsidRPr="000F5716">
        <w:t xml:space="preserve"> Скупштине општине о извршењу буџета</w:t>
      </w:r>
      <w:r w:rsidRPr="000F5716">
        <w:rPr>
          <w:lang w:val="sr-Cyrl-BA"/>
        </w:rPr>
        <w:t xml:space="preserve">. </w:t>
      </w:r>
      <w:r w:rsidR="00044FDF">
        <w:rPr>
          <w:lang w:val="sr-Cyrl-BA"/>
        </w:rPr>
        <w:t>У складу са Законом, извјештаје о извршењу буџета Одјељење за финансије подноси начелнику тромјесечно, док начелник општине Скупш</w:t>
      </w:r>
      <w:r w:rsidR="00CE516D">
        <w:rPr>
          <w:lang w:val="sr-Cyrl-BA"/>
        </w:rPr>
        <w:t>тини општине подноси полугодишњи и годишњи извјештај</w:t>
      </w:r>
      <w:r w:rsidR="00044FDF">
        <w:rPr>
          <w:lang w:val="sr-Cyrl-BA"/>
        </w:rPr>
        <w:t xml:space="preserve"> о извршењу буџета. </w:t>
      </w:r>
      <w:r w:rsidR="006E487C">
        <w:t xml:space="preserve">Начелник је обавезан да </w:t>
      </w:r>
      <w:proofErr w:type="spellStart"/>
      <w:r w:rsidR="006E487C">
        <w:t>извјештај</w:t>
      </w:r>
      <w:proofErr w:type="spellEnd"/>
      <w:r w:rsidR="006E487C">
        <w:t xml:space="preserve"> о извршењу буџета за претходну фискалну годину поднесе Скупштини општине до 31. маја текуће фискалне године.</w:t>
      </w:r>
      <w:r w:rsidR="00B45CB2">
        <w:rPr>
          <w:lang w:val="sr-Latn-RS"/>
        </w:rPr>
        <w:t xml:space="preserve"> </w:t>
      </w:r>
      <w:proofErr w:type="spellStart"/>
      <w:r w:rsidR="00F5749E">
        <w:t>Извјештаји</w:t>
      </w:r>
      <w:proofErr w:type="spellEnd"/>
      <w:r w:rsidR="00F5749E">
        <w:t xml:space="preserve"> о извршењу буџета општина и градова достављају се Министарству финансија у року од 15 дана од дана њиховог доношења.</w:t>
      </w:r>
    </w:p>
    <w:p w14:paraId="724F0819" w14:textId="77777777" w:rsidR="00834D5D" w:rsidRDefault="00834D5D" w:rsidP="00E20184">
      <w:pPr>
        <w:ind w:left="0" w:firstLine="0"/>
      </w:pPr>
    </w:p>
    <w:p w14:paraId="5CF6AD6D" w14:textId="77777777" w:rsidR="006D3FBA" w:rsidRPr="00383D4F" w:rsidRDefault="006D3FBA" w:rsidP="006D3FBA">
      <w:pPr>
        <w:pStyle w:val="Glavninaslovi"/>
        <w:numPr>
          <w:ilvl w:val="0"/>
          <w:numId w:val="16"/>
        </w:numPr>
        <w:rPr>
          <w:sz w:val="24"/>
          <w:szCs w:val="24"/>
        </w:rPr>
      </w:pPr>
      <w:bookmarkStart w:id="2" w:name="_Toc50641178"/>
      <w:r w:rsidRPr="00383D4F">
        <w:rPr>
          <w:sz w:val="24"/>
          <w:szCs w:val="24"/>
        </w:rPr>
        <w:t>ЗАКОНОДАВНО-ПРАВНИ ОКВИР</w:t>
      </w:r>
      <w:bookmarkEnd w:id="2"/>
    </w:p>
    <w:p w14:paraId="7E6822A8" w14:textId="77777777" w:rsidR="006D3FBA" w:rsidRDefault="006D3FBA" w:rsidP="00E20184">
      <w:pPr>
        <w:ind w:left="0" w:firstLine="0"/>
      </w:pPr>
    </w:p>
    <w:p w14:paraId="7C069518" w14:textId="77777777" w:rsidR="00834D5D" w:rsidRDefault="00834D5D" w:rsidP="00834D5D">
      <w:pPr>
        <w:ind w:left="0" w:firstLine="709"/>
      </w:pPr>
      <w:r>
        <w:t xml:space="preserve">Законодавно-правни оквир за припрему и доношење буџета, рачуноводствено евидентирање и финансијско </w:t>
      </w:r>
      <w:proofErr w:type="spellStart"/>
      <w:r>
        <w:t>извјештавање</w:t>
      </w:r>
      <w:proofErr w:type="spellEnd"/>
      <w:r>
        <w:t xml:space="preserve"> о </w:t>
      </w:r>
      <w:r w:rsidR="00681406">
        <w:t>извршењу буџета о</w:t>
      </w:r>
      <w:r>
        <w:t>пштине Прњавор, чине:</w:t>
      </w:r>
    </w:p>
    <w:p w14:paraId="2392A28C" w14:textId="77777777" w:rsidR="00834D5D" w:rsidRDefault="00834D5D" w:rsidP="005F7FCF">
      <w:pPr>
        <w:numPr>
          <w:ilvl w:val="0"/>
          <w:numId w:val="4"/>
        </w:numPr>
        <w:spacing w:before="120"/>
        <w:ind w:right="-149"/>
      </w:pPr>
      <w:r>
        <w:t>Закон о буџетском систему Републике Српске („Службени гласник Републике Српске“, број 121/12, 52/14, 103/15 и 15/16),</w:t>
      </w:r>
    </w:p>
    <w:p w14:paraId="4B728CD5" w14:textId="77777777" w:rsidR="00834D5D" w:rsidRDefault="00815788" w:rsidP="005F7FCF">
      <w:pPr>
        <w:numPr>
          <w:ilvl w:val="0"/>
          <w:numId w:val="4"/>
        </w:numPr>
        <w:ind w:right="-149"/>
      </w:pPr>
      <w:r>
        <w:t>Одлука о усвајању Буџета о</w:t>
      </w:r>
      <w:r w:rsidR="003919AC">
        <w:t>пштине Прњавор за 2020</w:t>
      </w:r>
      <w:r w:rsidR="00834D5D">
        <w:t xml:space="preserve">. годину („Службени гласник општине Прњавор“, број </w:t>
      </w:r>
      <w:r w:rsidR="003919AC">
        <w:t>19/19</w:t>
      </w:r>
      <w:r w:rsidR="006E487C">
        <w:t xml:space="preserve"> и 51/20</w:t>
      </w:r>
      <w:r w:rsidR="00834D5D">
        <w:t>),</w:t>
      </w:r>
    </w:p>
    <w:p w14:paraId="04919529" w14:textId="77777777" w:rsidR="003919AC" w:rsidRPr="00FF7418" w:rsidRDefault="003919AC" w:rsidP="005F7FCF">
      <w:pPr>
        <w:numPr>
          <w:ilvl w:val="0"/>
          <w:numId w:val="4"/>
        </w:numPr>
        <w:ind w:right="-149"/>
      </w:pPr>
      <w:r>
        <w:t>Одлука о извршењу Б</w:t>
      </w:r>
      <w:r w:rsidRPr="00FF7418">
        <w:t>уџета општине Прњавор за 2020. годину („Службени гласник општине Прњавор“, број 19/19</w:t>
      </w:r>
      <w:r w:rsidR="006E487C">
        <w:t xml:space="preserve"> и 51/20</w:t>
      </w:r>
      <w:r w:rsidRPr="00FF7418">
        <w:t>),</w:t>
      </w:r>
    </w:p>
    <w:p w14:paraId="6013E7D6" w14:textId="77777777" w:rsidR="00834D5D" w:rsidRDefault="00834D5D" w:rsidP="005F7FCF">
      <w:pPr>
        <w:numPr>
          <w:ilvl w:val="0"/>
          <w:numId w:val="4"/>
        </w:numPr>
        <w:ind w:right="-149"/>
      </w:pPr>
      <w:r>
        <w:t>Закон о трезору („Службени гласник Републике Српске“, број 28/13 и 103/15),</w:t>
      </w:r>
    </w:p>
    <w:p w14:paraId="76B1E171" w14:textId="77777777" w:rsidR="00834D5D" w:rsidRDefault="00834D5D" w:rsidP="005F7FCF">
      <w:pPr>
        <w:numPr>
          <w:ilvl w:val="0"/>
          <w:numId w:val="4"/>
        </w:numPr>
        <w:ind w:right="-149"/>
      </w:pPr>
      <w:r>
        <w:t>Закон о рачуноводству и ревизији Републике Српске („Службени гласник Републике Српске“, број 94/15</w:t>
      </w:r>
      <w:r w:rsidR="00404F38">
        <w:t xml:space="preserve"> и 78/20</w:t>
      </w:r>
      <w:r>
        <w:t>),</w:t>
      </w:r>
    </w:p>
    <w:p w14:paraId="2122B10D" w14:textId="77777777" w:rsidR="00834D5D" w:rsidRDefault="00834D5D" w:rsidP="005F7FCF">
      <w:pPr>
        <w:numPr>
          <w:ilvl w:val="0"/>
          <w:numId w:val="4"/>
        </w:numPr>
        <w:ind w:right="-149"/>
      </w:pPr>
      <w:r>
        <w:t>Закон о задуживању, дугу и гаранцијама Републике Српске („Службени гласник Републ</w:t>
      </w:r>
      <w:r w:rsidR="00376F8F">
        <w:t>ике Српске“, број 71/12, 52/14,</w:t>
      </w:r>
      <w:r>
        <w:t xml:space="preserve"> 114/17</w:t>
      </w:r>
      <w:r w:rsidR="00376F8F">
        <w:rPr>
          <w:lang w:val="sr-Cyrl-RS"/>
        </w:rPr>
        <w:t xml:space="preserve"> и 131/20</w:t>
      </w:r>
      <w:r>
        <w:t>),</w:t>
      </w:r>
    </w:p>
    <w:p w14:paraId="4AEF0315" w14:textId="77777777" w:rsidR="00834D5D" w:rsidRDefault="00834D5D" w:rsidP="005F7FCF">
      <w:pPr>
        <w:numPr>
          <w:ilvl w:val="0"/>
          <w:numId w:val="4"/>
        </w:numPr>
        <w:ind w:right="-149"/>
      </w:pPr>
      <w:r>
        <w:t>Упутство о прикупљању података и вођењу евиденција о укупном дугу и гаранцијама Републике Српске („Службени гласник Републике Српске“, број 113/13),</w:t>
      </w:r>
    </w:p>
    <w:p w14:paraId="4E5621C8" w14:textId="77777777" w:rsidR="00834D5D" w:rsidRDefault="00834D5D" w:rsidP="005F7FCF">
      <w:pPr>
        <w:numPr>
          <w:ilvl w:val="0"/>
          <w:numId w:val="4"/>
        </w:numPr>
        <w:ind w:right="-149"/>
      </w:pPr>
      <w:r>
        <w:t xml:space="preserve">Наредба о </w:t>
      </w:r>
      <w:proofErr w:type="spellStart"/>
      <w:r>
        <w:t>уплаћивању</w:t>
      </w:r>
      <w:proofErr w:type="spellEnd"/>
      <w:r>
        <w:t xml:space="preserve"> одређених прихода буџета Републике, општина и градова, буџетских фондова и фондова („Службени гласник Републике Српске“, број </w:t>
      </w:r>
      <w:r w:rsidR="006E487C">
        <w:t xml:space="preserve">5/20, </w:t>
      </w:r>
      <w:r w:rsidR="003919AC" w:rsidRPr="00FF7418">
        <w:t>13/20</w:t>
      </w:r>
      <w:r w:rsidR="005F7FCF">
        <w:rPr>
          <w:lang w:val="sr-Latn-RS"/>
        </w:rPr>
        <w:t xml:space="preserve"> </w:t>
      </w:r>
      <w:r w:rsidR="006E487C">
        <w:t>и 139/20</w:t>
      </w:r>
      <w:r>
        <w:t>),</w:t>
      </w:r>
    </w:p>
    <w:p w14:paraId="595AD7BC" w14:textId="77777777" w:rsidR="00834D5D" w:rsidRDefault="00834D5D" w:rsidP="005F7FCF">
      <w:pPr>
        <w:numPr>
          <w:ilvl w:val="0"/>
          <w:numId w:val="4"/>
        </w:numPr>
        <w:ind w:right="-149"/>
      </w:pPr>
      <w:r>
        <w:t xml:space="preserve">Правилник о форми и садржају буџета и </w:t>
      </w:r>
      <w:proofErr w:type="spellStart"/>
      <w:r>
        <w:t>извјештаја</w:t>
      </w:r>
      <w:proofErr w:type="spellEnd"/>
      <w:r>
        <w:t xml:space="preserve"> о извршењу буџета („Службени гласник Републике Српске“, број 100/13 и 102/16),</w:t>
      </w:r>
    </w:p>
    <w:p w14:paraId="0D133E96" w14:textId="77777777" w:rsidR="00834D5D" w:rsidRDefault="00834D5D" w:rsidP="005F7FCF">
      <w:pPr>
        <w:numPr>
          <w:ilvl w:val="0"/>
          <w:numId w:val="4"/>
        </w:numPr>
        <w:ind w:right="-149"/>
      </w:pPr>
      <w:r>
        <w:t xml:space="preserve">Правилник о финансијском </w:t>
      </w:r>
      <w:proofErr w:type="spellStart"/>
      <w:r>
        <w:t>извјештавању</w:t>
      </w:r>
      <w:proofErr w:type="spellEnd"/>
      <w:r>
        <w:t xml:space="preserve"> буџетских корисника („Службени гласник Републике Српске“, број 15/17),</w:t>
      </w:r>
    </w:p>
    <w:p w14:paraId="3654BA90" w14:textId="77777777" w:rsidR="00834D5D" w:rsidRDefault="00834D5D" w:rsidP="005F7FCF">
      <w:pPr>
        <w:numPr>
          <w:ilvl w:val="0"/>
          <w:numId w:val="4"/>
        </w:numPr>
        <w:ind w:right="-149"/>
      </w:pPr>
      <w:r>
        <w:t xml:space="preserve">Правилник о буџетским класификацијама, садржини рачуна и </w:t>
      </w:r>
      <w:proofErr w:type="spellStart"/>
      <w:r>
        <w:t>примјени</w:t>
      </w:r>
      <w:proofErr w:type="spellEnd"/>
      <w:r>
        <w:t xml:space="preserve"> контног плана за буџетске кориснике („Службени гласник Републике Српске“, број 98/16</w:t>
      </w:r>
      <w:r w:rsidR="005F7FCF">
        <w:rPr>
          <w:lang w:val="sr-Latn-RS"/>
        </w:rPr>
        <w:t>,</w:t>
      </w:r>
      <w:r>
        <w:t xml:space="preserve"> 115/17</w:t>
      </w:r>
      <w:r w:rsidR="005F7FCF">
        <w:rPr>
          <w:lang w:val="sr-Latn-RS"/>
        </w:rPr>
        <w:t xml:space="preserve"> </w:t>
      </w:r>
      <w:r w:rsidR="003919AC">
        <w:t>и 118/18</w:t>
      </w:r>
      <w:r>
        <w:t>),</w:t>
      </w:r>
    </w:p>
    <w:p w14:paraId="6B85F762" w14:textId="77777777" w:rsidR="00834D5D" w:rsidRDefault="00834D5D" w:rsidP="005F7FCF">
      <w:pPr>
        <w:numPr>
          <w:ilvl w:val="0"/>
          <w:numId w:val="4"/>
        </w:numPr>
        <w:ind w:right="-149"/>
      </w:pPr>
      <w:r>
        <w:t xml:space="preserve">Правилник о рачуноводству, рачуноводственим политикама и рачуноводственим </w:t>
      </w:r>
      <w:proofErr w:type="spellStart"/>
      <w:r>
        <w:t>процјенама</w:t>
      </w:r>
      <w:proofErr w:type="spellEnd"/>
      <w:r>
        <w:t xml:space="preserve"> за буџетске кориснике („Службени гласник Републике Српске“, број 115/17</w:t>
      </w:r>
      <w:r w:rsidR="003919AC">
        <w:t xml:space="preserve"> и 118/18</w:t>
      </w:r>
      <w:r>
        <w:t>),</w:t>
      </w:r>
    </w:p>
    <w:p w14:paraId="0D7058F9" w14:textId="77777777" w:rsidR="00834D5D" w:rsidRDefault="00834D5D" w:rsidP="005F7FCF">
      <w:pPr>
        <w:numPr>
          <w:ilvl w:val="0"/>
          <w:numId w:val="4"/>
        </w:numPr>
        <w:ind w:right="-149"/>
      </w:pPr>
      <w:r>
        <w:t xml:space="preserve">Правилник о </w:t>
      </w:r>
      <w:proofErr w:type="spellStart"/>
      <w:r>
        <w:t>примјени</w:t>
      </w:r>
      <w:proofErr w:type="spellEnd"/>
      <w:r>
        <w:t xml:space="preserve"> Међународних рачуноводствених стандарда за јавни сектор (МРС-ЈС) („Службени гласник Републике Српске“, број 128/11),</w:t>
      </w:r>
    </w:p>
    <w:p w14:paraId="2A12115D" w14:textId="77777777" w:rsidR="00834D5D" w:rsidRPr="00D126B1" w:rsidRDefault="00834D5D" w:rsidP="005F7FCF">
      <w:pPr>
        <w:numPr>
          <w:ilvl w:val="0"/>
          <w:numId w:val="4"/>
        </w:numPr>
        <w:ind w:right="-149"/>
        <w:rPr>
          <w:b/>
          <w:lang w:val="sr-Latn-CS"/>
        </w:rPr>
      </w:pPr>
      <w:r>
        <w:t>остали важећи подзаконски акти као и инструкције Министарства финансија Републике Српске.</w:t>
      </w:r>
    </w:p>
    <w:p w14:paraId="1230EC83" w14:textId="77777777" w:rsidR="00834D5D" w:rsidRDefault="00834D5D" w:rsidP="00E20184">
      <w:pPr>
        <w:ind w:left="0" w:firstLine="0"/>
      </w:pPr>
    </w:p>
    <w:p w14:paraId="79EE1B41" w14:textId="77777777" w:rsidR="0027147E" w:rsidRDefault="0027147E" w:rsidP="00737EEF">
      <w:pPr>
        <w:ind w:firstLine="785"/>
      </w:pPr>
      <w:proofErr w:type="spellStart"/>
      <w:r w:rsidRPr="0027147E">
        <w:lastRenderedPageBreak/>
        <w:t>Извјештај</w:t>
      </w:r>
      <w:proofErr w:type="spellEnd"/>
      <w:r w:rsidRPr="0027147E">
        <w:t xml:space="preserve"> о извршењу буџета општине </w:t>
      </w:r>
      <w:r>
        <w:t>Прњавор</w:t>
      </w:r>
      <w:r w:rsidRPr="0027147E">
        <w:t xml:space="preserve"> за </w:t>
      </w:r>
      <w:r w:rsidR="008E320B">
        <w:t>период 01.01-31</w:t>
      </w:r>
      <w:r w:rsidR="008E320B">
        <w:rPr>
          <w:lang w:val="sr-Latn-RS"/>
        </w:rPr>
        <w:t>.</w:t>
      </w:r>
      <w:r w:rsidR="008E320B">
        <w:t>12</w:t>
      </w:r>
      <w:r w:rsidR="003919AC">
        <w:t>.2020</w:t>
      </w:r>
      <w:r>
        <w:t>. године</w:t>
      </w:r>
      <w:r w:rsidRPr="0027147E">
        <w:t xml:space="preserve"> обухвата извршење буџетских средстава и буџетских издатака буџетских корисника који се налазе у саставу </w:t>
      </w:r>
      <w:r w:rsidR="00AA5CB3">
        <w:t>општинског/локалног трезора о</w:t>
      </w:r>
      <w:r>
        <w:t>пштине Прњавор</w:t>
      </w:r>
      <w:r w:rsidRPr="0027147E">
        <w:t>,</w:t>
      </w:r>
      <w:r w:rsidR="00DD1796">
        <w:t xml:space="preserve"> у складу са Одлуком о начину организова</w:t>
      </w:r>
      <w:r w:rsidR="00AA5CB3">
        <w:t>ња општинског/локалног трезора о</w:t>
      </w:r>
      <w:r w:rsidR="00DD1796">
        <w:t>пштине Прњавор („Службени гласник општине Прњавор“, број 32/17</w:t>
      </w:r>
      <w:r w:rsidR="003919AC">
        <w:t xml:space="preserve"> и 18/19</w:t>
      </w:r>
      <w:r w:rsidR="00DD1796">
        <w:t>),</w:t>
      </w:r>
      <w:r w:rsidRPr="0027147E">
        <w:t xml:space="preserve"> а</w:t>
      </w:r>
      <w:r>
        <w:t xml:space="preserve"> то су:</w:t>
      </w:r>
    </w:p>
    <w:p w14:paraId="3E987942" w14:textId="77777777" w:rsidR="0027147E" w:rsidRDefault="0027147E" w:rsidP="0027147E"/>
    <w:p w14:paraId="7A70C180" w14:textId="77777777" w:rsidR="0027147E" w:rsidRDefault="00DD1796" w:rsidP="0027147E">
      <w:pPr>
        <w:numPr>
          <w:ilvl w:val="0"/>
          <w:numId w:val="10"/>
        </w:numPr>
        <w:ind w:right="0"/>
      </w:pPr>
      <w:r>
        <w:t>Скупштина општине и стручна служба Скупштине општине,</w:t>
      </w:r>
    </w:p>
    <w:p w14:paraId="52BC3440" w14:textId="77777777" w:rsidR="0027147E" w:rsidRPr="00DD1796" w:rsidRDefault="00DD1796" w:rsidP="0027147E">
      <w:pPr>
        <w:numPr>
          <w:ilvl w:val="0"/>
          <w:numId w:val="10"/>
        </w:numPr>
        <w:ind w:right="0"/>
      </w:pPr>
      <w:r>
        <w:t>Кабинет начелника општине,</w:t>
      </w:r>
    </w:p>
    <w:p w14:paraId="192D52B2" w14:textId="77777777" w:rsidR="00D94FCB" w:rsidRPr="00FF7418" w:rsidRDefault="00D94FCB" w:rsidP="00D94FCB">
      <w:pPr>
        <w:numPr>
          <w:ilvl w:val="0"/>
          <w:numId w:val="10"/>
        </w:numPr>
        <w:ind w:right="0"/>
      </w:pPr>
      <w:bookmarkStart w:id="3" w:name="_Toc530745861"/>
      <w:r w:rsidRPr="00FF7418">
        <w:t>Територијална ватрогасна јединица Прњавор,</w:t>
      </w:r>
    </w:p>
    <w:p w14:paraId="7ACA292A" w14:textId="77777777" w:rsidR="00D94FCB" w:rsidRPr="00FF7418" w:rsidRDefault="00D94FCB" w:rsidP="00D94FCB">
      <w:pPr>
        <w:numPr>
          <w:ilvl w:val="0"/>
          <w:numId w:val="10"/>
        </w:numPr>
        <w:ind w:right="0"/>
      </w:pPr>
      <w:proofErr w:type="spellStart"/>
      <w:r w:rsidRPr="00FF7418">
        <w:t>Одсјек</w:t>
      </w:r>
      <w:proofErr w:type="spellEnd"/>
      <w:r w:rsidRPr="00FF7418">
        <w:t xml:space="preserve"> за цивилну заштиту,</w:t>
      </w:r>
    </w:p>
    <w:p w14:paraId="389A1A6F" w14:textId="77777777" w:rsidR="00D94FCB" w:rsidRPr="00FF7418" w:rsidRDefault="00D94FCB" w:rsidP="00D94FCB">
      <w:pPr>
        <w:numPr>
          <w:ilvl w:val="0"/>
          <w:numId w:val="10"/>
        </w:numPr>
        <w:ind w:right="0"/>
      </w:pPr>
      <w:proofErr w:type="spellStart"/>
      <w:r w:rsidRPr="00FF7418">
        <w:t>Одјељење</w:t>
      </w:r>
      <w:proofErr w:type="spellEnd"/>
      <w:r w:rsidRPr="00FF7418">
        <w:t xml:space="preserve"> за општу управу,</w:t>
      </w:r>
    </w:p>
    <w:p w14:paraId="0AF4D6A4" w14:textId="77777777" w:rsidR="00D94FCB" w:rsidRPr="00FF7418" w:rsidRDefault="00D94FCB" w:rsidP="00D94FCB">
      <w:pPr>
        <w:numPr>
          <w:ilvl w:val="0"/>
          <w:numId w:val="10"/>
        </w:numPr>
        <w:ind w:right="0"/>
      </w:pPr>
      <w:proofErr w:type="spellStart"/>
      <w:r w:rsidRPr="00FF7418">
        <w:t>Одјељење</w:t>
      </w:r>
      <w:proofErr w:type="spellEnd"/>
      <w:r w:rsidRPr="00FF7418">
        <w:t xml:space="preserve"> за финансије,</w:t>
      </w:r>
    </w:p>
    <w:p w14:paraId="6DDAFB89" w14:textId="77777777" w:rsidR="00D94FCB" w:rsidRPr="00FF7418" w:rsidRDefault="00D94FCB" w:rsidP="00D94FCB">
      <w:pPr>
        <w:numPr>
          <w:ilvl w:val="0"/>
          <w:numId w:val="10"/>
        </w:numPr>
        <w:ind w:right="0"/>
      </w:pPr>
      <w:proofErr w:type="spellStart"/>
      <w:r w:rsidRPr="00FF7418">
        <w:t>Одјељење</w:t>
      </w:r>
      <w:proofErr w:type="spellEnd"/>
      <w:r w:rsidRPr="00FF7418">
        <w:t xml:space="preserve"> за локални економски развој и друштвене </w:t>
      </w:r>
      <w:proofErr w:type="spellStart"/>
      <w:r w:rsidRPr="00FF7418">
        <w:t>дјелатности</w:t>
      </w:r>
      <w:proofErr w:type="spellEnd"/>
      <w:r w:rsidRPr="00FF7418">
        <w:t>,</w:t>
      </w:r>
    </w:p>
    <w:p w14:paraId="04F0AC30" w14:textId="77777777" w:rsidR="00D94FCB" w:rsidRPr="00FF7418" w:rsidRDefault="00D94FCB" w:rsidP="00D94FCB">
      <w:pPr>
        <w:numPr>
          <w:ilvl w:val="0"/>
          <w:numId w:val="10"/>
        </w:numPr>
        <w:ind w:right="0"/>
      </w:pPr>
      <w:proofErr w:type="spellStart"/>
      <w:r w:rsidRPr="00FF7418">
        <w:t>Одјељење</w:t>
      </w:r>
      <w:proofErr w:type="spellEnd"/>
      <w:r w:rsidRPr="00FF7418">
        <w:t xml:space="preserve"> за просторно уређење,</w:t>
      </w:r>
    </w:p>
    <w:p w14:paraId="200A52D4" w14:textId="77777777" w:rsidR="00D94FCB" w:rsidRPr="00FF7418" w:rsidRDefault="00D94FCB" w:rsidP="00D94FCB">
      <w:pPr>
        <w:numPr>
          <w:ilvl w:val="0"/>
          <w:numId w:val="10"/>
        </w:numPr>
        <w:ind w:right="0"/>
      </w:pPr>
      <w:proofErr w:type="spellStart"/>
      <w:r w:rsidRPr="00FF7418">
        <w:t>Одјељење</w:t>
      </w:r>
      <w:proofErr w:type="spellEnd"/>
      <w:r w:rsidRPr="00FF7418">
        <w:t xml:space="preserve"> за стамбено-комуналне послове и инвестиције,</w:t>
      </w:r>
    </w:p>
    <w:p w14:paraId="47185AFE" w14:textId="77777777" w:rsidR="00D94FCB" w:rsidRPr="00FF7418" w:rsidRDefault="00D94FCB" w:rsidP="00D94FCB">
      <w:pPr>
        <w:numPr>
          <w:ilvl w:val="0"/>
          <w:numId w:val="10"/>
        </w:numPr>
        <w:ind w:right="0"/>
      </w:pPr>
      <w:proofErr w:type="spellStart"/>
      <w:r w:rsidRPr="00FF7418">
        <w:t>Одјељење</w:t>
      </w:r>
      <w:proofErr w:type="spellEnd"/>
      <w:r w:rsidRPr="00FF7418">
        <w:t xml:space="preserve"> за борачко-инвалидску заштиту,</w:t>
      </w:r>
    </w:p>
    <w:p w14:paraId="0C67A329" w14:textId="77777777" w:rsidR="00D94FCB" w:rsidRPr="00FF7418" w:rsidRDefault="00D94FCB" w:rsidP="00D94FCB">
      <w:pPr>
        <w:numPr>
          <w:ilvl w:val="0"/>
          <w:numId w:val="10"/>
        </w:numPr>
        <w:ind w:right="0"/>
      </w:pPr>
      <w:r w:rsidRPr="00FF7418">
        <w:t>Остала буџетска потрошња,</w:t>
      </w:r>
    </w:p>
    <w:p w14:paraId="7EEB0A0C" w14:textId="77777777" w:rsidR="00D94FCB" w:rsidRPr="00FF7418" w:rsidRDefault="00D94FCB" w:rsidP="00D94FCB">
      <w:pPr>
        <w:numPr>
          <w:ilvl w:val="0"/>
          <w:numId w:val="10"/>
        </w:numPr>
        <w:ind w:right="0"/>
      </w:pPr>
      <w:proofErr w:type="spellStart"/>
      <w:r w:rsidRPr="00FF7418">
        <w:t>Одјељење</w:t>
      </w:r>
      <w:proofErr w:type="spellEnd"/>
      <w:r w:rsidRPr="00FF7418">
        <w:t xml:space="preserve"> за инспекцијске послове,</w:t>
      </w:r>
    </w:p>
    <w:p w14:paraId="19ED6A5E" w14:textId="77777777" w:rsidR="00D94FCB" w:rsidRPr="00FF7418" w:rsidRDefault="00D94FCB" w:rsidP="00D94FCB">
      <w:pPr>
        <w:numPr>
          <w:ilvl w:val="0"/>
          <w:numId w:val="10"/>
        </w:numPr>
        <w:ind w:right="0"/>
      </w:pPr>
      <w:proofErr w:type="spellStart"/>
      <w:r w:rsidRPr="00FF7418">
        <w:t>Одсјек</w:t>
      </w:r>
      <w:proofErr w:type="spellEnd"/>
      <w:r w:rsidRPr="00FF7418">
        <w:t xml:space="preserve"> за заједничке послове,</w:t>
      </w:r>
    </w:p>
    <w:p w14:paraId="4416634D" w14:textId="77777777" w:rsidR="00D94FCB" w:rsidRPr="00FF7418" w:rsidRDefault="00D94FCB" w:rsidP="00D94FCB">
      <w:pPr>
        <w:numPr>
          <w:ilvl w:val="0"/>
          <w:numId w:val="10"/>
        </w:numPr>
        <w:ind w:right="0"/>
      </w:pPr>
      <w:proofErr w:type="spellStart"/>
      <w:r w:rsidRPr="00FF7418">
        <w:t>Одсјек</w:t>
      </w:r>
      <w:proofErr w:type="spellEnd"/>
      <w:r w:rsidRPr="00FF7418">
        <w:t xml:space="preserve"> за јавне набавке, правна питања и прописе,</w:t>
      </w:r>
    </w:p>
    <w:p w14:paraId="29EC61EE" w14:textId="77777777" w:rsidR="00D94FCB" w:rsidRPr="00FF7418" w:rsidRDefault="00D94FCB" w:rsidP="00D94FCB">
      <w:pPr>
        <w:numPr>
          <w:ilvl w:val="0"/>
          <w:numId w:val="10"/>
        </w:numPr>
        <w:ind w:right="0"/>
      </w:pPr>
      <w:proofErr w:type="spellStart"/>
      <w:r w:rsidRPr="00FF7418">
        <w:t>Одјељење</w:t>
      </w:r>
      <w:proofErr w:type="spellEnd"/>
      <w:r w:rsidRPr="00FF7418">
        <w:t xml:space="preserve"> за пољопривреду, водопривреду и шумарство,</w:t>
      </w:r>
    </w:p>
    <w:p w14:paraId="6C75C2F2" w14:textId="77777777" w:rsidR="00D94FCB" w:rsidRPr="00FF7418" w:rsidRDefault="00D94FCB" w:rsidP="00D94FCB">
      <w:pPr>
        <w:numPr>
          <w:ilvl w:val="0"/>
          <w:numId w:val="10"/>
        </w:numPr>
        <w:ind w:right="0"/>
      </w:pPr>
      <w:r w:rsidRPr="00FF7418">
        <w:t>ЈУ Центар за социјални рад Прњавор,</w:t>
      </w:r>
    </w:p>
    <w:p w14:paraId="7CC4B5CC" w14:textId="77777777" w:rsidR="00D94FCB" w:rsidRPr="00FF7418" w:rsidRDefault="00D94FCB" w:rsidP="00D94FCB">
      <w:pPr>
        <w:numPr>
          <w:ilvl w:val="0"/>
          <w:numId w:val="10"/>
        </w:numPr>
        <w:ind w:right="0"/>
      </w:pPr>
      <w:r w:rsidRPr="00FF7418">
        <w:t>ЈУ Дјечији вртић „Наша радост“ Прњавор,</w:t>
      </w:r>
    </w:p>
    <w:p w14:paraId="217F44ED" w14:textId="77777777" w:rsidR="00D94FCB" w:rsidRPr="00FF7418" w:rsidRDefault="00D94FCB" w:rsidP="00D94FCB">
      <w:pPr>
        <w:numPr>
          <w:ilvl w:val="0"/>
          <w:numId w:val="10"/>
        </w:numPr>
        <w:ind w:right="0"/>
      </w:pPr>
      <w:r w:rsidRPr="00FF7418">
        <w:t>ЈУ Гимназија Прњавор,</w:t>
      </w:r>
    </w:p>
    <w:p w14:paraId="2A840EA4" w14:textId="77777777" w:rsidR="00D94FCB" w:rsidRPr="00FF7418" w:rsidRDefault="00D94FCB" w:rsidP="00D94FCB">
      <w:pPr>
        <w:numPr>
          <w:ilvl w:val="0"/>
          <w:numId w:val="10"/>
        </w:numPr>
        <w:ind w:right="0"/>
      </w:pPr>
      <w:r w:rsidRPr="00FF7418">
        <w:t>ЈУ Центар средњих школа „Иво Андрић“ Прњавор,</w:t>
      </w:r>
    </w:p>
    <w:p w14:paraId="27327B8D" w14:textId="77777777" w:rsidR="00D94FCB" w:rsidRPr="00FF7418" w:rsidRDefault="00D94FCB" w:rsidP="00D94FCB">
      <w:pPr>
        <w:numPr>
          <w:ilvl w:val="0"/>
          <w:numId w:val="10"/>
        </w:numPr>
        <w:ind w:right="0"/>
      </w:pPr>
      <w:r w:rsidRPr="00FF7418">
        <w:t>ЈУ Центар за културу Прњавор,</w:t>
      </w:r>
    </w:p>
    <w:p w14:paraId="56BA9F1F" w14:textId="77777777" w:rsidR="00D94FCB" w:rsidRPr="00FF7418" w:rsidRDefault="00D94FCB" w:rsidP="00D94FCB">
      <w:pPr>
        <w:numPr>
          <w:ilvl w:val="0"/>
          <w:numId w:val="10"/>
        </w:numPr>
        <w:ind w:right="0"/>
      </w:pPr>
      <w:r w:rsidRPr="00FF7418">
        <w:t>ЈУ Народна библиотека Прњавор и</w:t>
      </w:r>
    </w:p>
    <w:p w14:paraId="50774C5E" w14:textId="77777777" w:rsidR="00D94FCB" w:rsidRPr="00D94FCB" w:rsidRDefault="00D94FCB" w:rsidP="00D94FCB">
      <w:pPr>
        <w:numPr>
          <w:ilvl w:val="0"/>
          <w:numId w:val="10"/>
        </w:numPr>
        <w:ind w:right="0"/>
      </w:pPr>
      <w:r w:rsidRPr="00FF7418">
        <w:t>ЈУ Музичка школа „Константин Бабић“ Прњавор.</w:t>
      </w:r>
    </w:p>
    <w:p w14:paraId="0BB97F67" w14:textId="77777777" w:rsidR="00D94FCB" w:rsidRPr="00FF7418" w:rsidRDefault="00D94FCB" w:rsidP="00D94FCB">
      <w:pPr>
        <w:ind w:left="720" w:right="0" w:firstLine="0"/>
      </w:pPr>
    </w:p>
    <w:p w14:paraId="6659504F" w14:textId="77777777" w:rsidR="00F52EFC" w:rsidRPr="00383D4F" w:rsidRDefault="00D94FCB" w:rsidP="006D3FBA">
      <w:pPr>
        <w:pStyle w:val="Glavninaslovi"/>
        <w:numPr>
          <w:ilvl w:val="0"/>
          <w:numId w:val="16"/>
        </w:numPr>
        <w:rPr>
          <w:sz w:val="24"/>
          <w:szCs w:val="24"/>
        </w:rPr>
      </w:pPr>
      <w:bookmarkStart w:id="4" w:name="_Toc50641179"/>
      <w:r w:rsidRPr="00383D4F">
        <w:rPr>
          <w:sz w:val="24"/>
          <w:szCs w:val="24"/>
        </w:rPr>
        <w:t>БУЏЕТ ОПШТИНЕ ПРЊАВОР ЗА 2020</w:t>
      </w:r>
      <w:r w:rsidR="00F52EFC" w:rsidRPr="00383D4F">
        <w:rPr>
          <w:sz w:val="24"/>
          <w:szCs w:val="24"/>
        </w:rPr>
        <w:t>. ГОДИНУ</w:t>
      </w:r>
      <w:bookmarkEnd w:id="3"/>
      <w:bookmarkEnd w:id="4"/>
    </w:p>
    <w:p w14:paraId="0B6AC1E4" w14:textId="77777777" w:rsidR="00F52EFC" w:rsidRDefault="00F52EFC" w:rsidP="00F52EFC">
      <w:pPr>
        <w:ind w:left="0" w:firstLine="0"/>
      </w:pPr>
    </w:p>
    <w:p w14:paraId="199CFD7B" w14:textId="77777777" w:rsidR="00D94FCB" w:rsidRDefault="00D94FCB" w:rsidP="00D94FCB">
      <w:pPr>
        <w:ind w:left="0" w:firstLine="720"/>
      </w:pPr>
      <w:r w:rsidRPr="00D94FCB">
        <w:t xml:space="preserve">Скупштина општине Прњавор је на </w:t>
      </w:r>
      <w:proofErr w:type="spellStart"/>
      <w:r w:rsidRPr="00D94FCB">
        <w:t>сједници</w:t>
      </w:r>
      <w:proofErr w:type="spellEnd"/>
      <w:r w:rsidRPr="00D94FCB">
        <w:t xml:space="preserve"> одржаној дана 23.12.2019. године </w:t>
      </w:r>
      <w:proofErr w:type="spellStart"/>
      <w:r w:rsidRPr="00D94FCB">
        <w:t>донијела</w:t>
      </w:r>
      <w:proofErr w:type="spellEnd"/>
      <w:r w:rsidRPr="00D94FCB">
        <w:t xml:space="preserve"> Одлуку о усвајању буџета општине Прњавор за 2020. годину (Одлука бр. 01-022-155/19), као и Одлуку о извршењу буџета општине Прњавор за 2020. годину (Одлука бр. 01-022-156/19), објављене у Службеном гласнику општине Прњавор број 19/19. Усвојеним буџетом утврђен је укупан буџетски оквир у износу од 15.900.000,00 КМ, а чине га порески приходи у износу од 11.568.700,00 КМ, </w:t>
      </w:r>
      <w:proofErr w:type="spellStart"/>
      <w:r w:rsidRPr="00D94FCB">
        <w:t>непорески</w:t>
      </w:r>
      <w:proofErr w:type="spellEnd"/>
      <w:r w:rsidRPr="00D94FCB">
        <w:t xml:space="preserve"> приходи у износу од 2.462.800,00 КМ, грантови у износу од 30.000,00 КМ, трансфери између и унутар јединица власти у износу од 1.155.000,00 КМ, примици за </w:t>
      </w:r>
      <w:proofErr w:type="spellStart"/>
      <w:r w:rsidRPr="00D94FCB">
        <w:t>нефинансијску</w:t>
      </w:r>
      <w:proofErr w:type="spellEnd"/>
      <w:r w:rsidRPr="00D94FCB">
        <w:t xml:space="preserve"> имовину у износу од 405.500,00 КМ,</w:t>
      </w:r>
      <w:r w:rsidR="00AA7B15">
        <w:rPr>
          <w:lang w:val="sr-Latn-RS"/>
        </w:rPr>
        <w:t xml:space="preserve"> </w:t>
      </w:r>
      <w:r w:rsidRPr="00D94FCB">
        <w:t xml:space="preserve">остали примици у износу од 139.000,00 КМ и неутрошена </w:t>
      </w:r>
      <w:proofErr w:type="spellStart"/>
      <w:r w:rsidRPr="00D94FCB">
        <w:t>намјенска</w:t>
      </w:r>
      <w:proofErr w:type="spellEnd"/>
      <w:r w:rsidRPr="00D94FCB">
        <w:t xml:space="preserve"> средства из ранијих година у износу од</w:t>
      </w:r>
      <w:r w:rsidR="00AA7B15">
        <w:rPr>
          <w:lang w:val="sr-Latn-RS"/>
        </w:rPr>
        <w:t xml:space="preserve"> </w:t>
      </w:r>
      <w:r w:rsidRPr="00D94FCB">
        <w:t>139.000,00 КМ.</w:t>
      </w:r>
    </w:p>
    <w:p w14:paraId="36B50D42" w14:textId="77777777" w:rsidR="006F716F" w:rsidRPr="00D94FCB" w:rsidRDefault="00FB31E3" w:rsidP="00D94FCB">
      <w:pPr>
        <w:ind w:left="0" w:firstLine="720"/>
      </w:pPr>
      <w:r>
        <w:t>По</w:t>
      </w:r>
      <w:r w:rsidR="00AA7B15">
        <w:rPr>
          <w:lang w:val="sr-Latn-RS"/>
        </w:rPr>
        <w:t xml:space="preserve"> </w:t>
      </w:r>
      <w:r>
        <w:t xml:space="preserve">процедури коју прописује Закон о буџетском систему Републике Српске Скупштина општине Прњавор је, на </w:t>
      </w:r>
      <w:proofErr w:type="spellStart"/>
      <w:r>
        <w:t>сједници</w:t>
      </w:r>
      <w:proofErr w:type="spellEnd"/>
      <w:r>
        <w:t xml:space="preserve"> одржаној 31.10.2020. године, </w:t>
      </w:r>
      <w:proofErr w:type="spellStart"/>
      <w:r>
        <w:t>донијела</w:t>
      </w:r>
      <w:proofErr w:type="spellEnd"/>
      <w:r>
        <w:t xml:space="preserve"> Одлуку о усвајању Ребаланса буџета општине Прњавор за 2020. годину (Одлука бр. 01-022-163/20), и Одлуку о </w:t>
      </w:r>
      <w:proofErr w:type="spellStart"/>
      <w:r>
        <w:t>измјени</w:t>
      </w:r>
      <w:proofErr w:type="spellEnd"/>
      <w:r>
        <w:t xml:space="preserve"> Одлуке о извршењу буџета општине Прњавор за 2020. годину (Одлука бр. 01-022-164/20), објављене у Службеном гласнику општине Прњавор бр. 51/20. Усвојеним ребалансом буџета буџетски оквир је повећан за 1.993.300,00 КМ у односу на основни буџет, и износи 17.893.300,00 КМ. </w:t>
      </w:r>
      <w:r w:rsidR="006F716F">
        <w:t>Разлог за усвајање ребаланса буџета био је усклађивање</w:t>
      </w:r>
      <w:r w:rsidR="006F716F" w:rsidRPr="00026F6F">
        <w:t xml:space="preserve"> буџетских средстава и из</w:t>
      </w:r>
      <w:r w:rsidR="006F716F">
        <w:t xml:space="preserve">датака на нивоу вишем од плана, највише због укључивања у ребаланс буџета </w:t>
      </w:r>
      <w:r w:rsidR="007E2A55">
        <w:t xml:space="preserve">средстава која је Фонд солидарности за обнову Републике Српске дозначио ради сузбијања посљедица </w:t>
      </w:r>
      <w:r w:rsidR="007E2A55">
        <w:lastRenderedPageBreak/>
        <w:t xml:space="preserve">изазваних пандемијом вируса корона, </w:t>
      </w:r>
      <w:r w:rsidR="004B6F9D">
        <w:t xml:space="preserve">затим </w:t>
      </w:r>
      <w:r w:rsidR="006F716F" w:rsidRPr="00026F6F">
        <w:t xml:space="preserve">грантова и трансфера за </w:t>
      </w:r>
      <w:proofErr w:type="spellStart"/>
      <w:r w:rsidR="006F716F" w:rsidRPr="00026F6F">
        <w:t>намјенске</w:t>
      </w:r>
      <w:proofErr w:type="spellEnd"/>
      <w:r w:rsidR="006F716F" w:rsidRPr="00026F6F">
        <w:t xml:space="preserve"> пројекте који нису били планирани основним буџетом, </w:t>
      </w:r>
      <w:r w:rsidR="004B6F9D">
        <w:t>и очекиваних значајних средстава по основу примитака од продаје земљишта</w:t>
      </w:r>
      <w:r w:rsidR="006F716F">
        <w:t xml:space="preserve">. У ребаланс буџета укључене су и све до тада одобрене редовне </w:t>
      </w:r>
      <w:proofErr w:type="spellStart"/>
      <w:r w:rsidR="006F716F">
        <w:t>реалокације</w:t>
      </w:r>
      <w:proofErr w:type="spellEnd"/>
      <w:r w:rsidR="006F716F">
        <w:t xml:space="preserve"> и </w:t>
      </w:r>
      <w:proofErr w:type="spellStart"/>
      <w:r w:rsidR="006F716F">
        <w:t>реалокације</w:t>
      </w:r>
      <w:proofErr w:type="spellEnd"/>
      <w:r w:rsidR="006F716F">
        <w:t xml:space="preserve"> текуће буџетске резерве. Порески приходи планирани су у износу од </w:t>
      </w:r>
      <w:r w:rsidR="004B6F9D">
        <w:t>11.019.900</w:t>
      </w:r>
      <w:r w:rsidR="006F716F">
        <w:t xml:space="preserve">,00 КМ, </w:t>
      </w:r>
      <w:proofErr w:type="spellStart"/>
      <w:r w:rsidR="006F716F">
        <w:t>непорески</w:t>
      </w:r>
      <w:proofErr w:type="spellEnd"/>
      <w:r w:rsidR="006F716F">
        <w:t xml:space="preserve"> приходи у износу од 2.</w:t>
      </w:r>
      <w:r w:rsidR="004B6F9D">
        <w:t>251.056</w:t>
      </w:r>
      <w:r w:rsidR="006F716F">
        <w:t xml:space="preserve">,00 КМ, грантови у износу од </w:t>
      </w:r>
      <w:r w:rsidR="004B6F9D">
        <w:t>208.856</w:t>
      </w:r>
      <w:r w:rsidR="006F716F">
        <w:t xml:space="preserve">,00 КМ, трансфери између или унутар јединица власти у износу од </w:t>
      </w:r>
      <w:r w:rsidR="004B6F9D">
        <w:t>2.402.246</w:t>
      </w:r>
      <w:r w:rsidR="006F716F">
        <w:t xml:space="preserve">,00 КМ, примици за </w:t>
      </w:r>
      <w:proofErr w:type="spellStart"/>
      <w:r w:rsidR="006F716F">
        <w:t>нефинансијску</w:t>
      </w:r>
      <w:proofErr w:type="spellEnd"/>
      <w:r w:rsidR="006F716F">
        <w:t xml:space="preserve"> имовину у износу од </w:t>
      </w:r>
      <w:r w:rsidR="004B6F9D">
        <w:t>1.576.500</w:t>
      </w:r>
      <w:r w:rsidR="006F716F">
        <w:t xml:space="preserve">,00 КМ, </w:t>
      </w:r>
      <w:r w:rsidR="004B6F9D">
        <w:t xml:space="preserve">примици од финансијске имовине у износу од 70.396,00 КМ, </w:t>
      </w:r>
      <w:r w:rsidR="006F716F">
        <w:t xml:space="preserve">остали примици у износу од </w:t>
      </w:r>
      <w:r w:rsidR="004B6F9D">
        <w:t>161.264,00</w:t>
      </w:r>
      <w:r w:rsidR="006F716F">
        <w:t xml:space="preserve"> КМ и </w:t>
      </w:r>
      <w:proofErr w:type="spellStart"/>
      <w:r w:rsidR="006F716F">
        <w:t>расподјела</w:t>
      </w:r>
      <w:proofErr w:type="spellEnd"/>
      <w:r w:rsidR="006F716F">
        <w:t xml:space="preserve"> суфицита из ранијих периода у износу од </w:t>
      </w:r>
      <w:r w:rsidR="004B6F9D">
        <w:t>203.082,00</w:t>
      </w:r>
      <w:r w:rsidR="006F716F">
        <w:t xml:space="preserve"> КМ.</w:t>
      </w:r>
    </w:p>
    <w:p w14:paraId="5ACA71F2" w14:textId="77777777" w:rsidR="00F52EFC" w:rsidRDefault="00F52EFC" w:rsidP="00F52EFC">
      <w:pPr>
        <w:ind w:left="0" w:firstLine="720"/>
      </w:pPr>
    </w:p>
    <w:p w14:paraId="23822A02" w14:textId="77777777" w:rsidR="00F52EFC" w:rsidRPr="00383D4F" w:rsidRDefault="00F52EFC" w:rsidP="006D3FBA">
      <w:pPr>
        <w:pStyle w:val="Glavninaslovi"/>
        <w:numPr>
          <w:ilvl w:val="0"/>
          <w:numId w:val="16"/>
        </w:numPr>
        <w:ind w:left="714" w:hanging="357"/>
        <w:rPr>
          <w:sz w:val="24"/>
          <w:szCs w:val="24"/>
        </w:rPr>
      </w:pPr>
      <w:bookmarkStart w:id="5" w:name="_Toc530745862"/>
      <w:bookmarkStart w:id="6" w:name="_Toc50641180"/>
      <w:r w:rsidRPr="00383D4F">
        <w:rPr>
          <w:sz w:val="24"/>
          <w:szCs w:val="24"/>
        </w:rPr>
        <w:t>ИЗВРШЕЊЕ БУЏЕТА ОПШТИНЕ ПРЊАВОР</w:t>
      </w:r>
      <w:bookmarkEnd w:id="5"/>
      <w:bookmarkEnd w:id="6"/>
    </w:p>
    <w:p w14:paraId="53924114" w14:textId="77777777" w:rsidR="00F52EFC" w:rsidRPr="00383D4F" w:rsidRDefault="00767747" w:rsidP="006D3FBA">
      <w:pPr>
        <w:pStyle w:val="Glavninaslovi"/>
        <w:spacing w:before="0"/>
        <w:ind w:firstLine="924"/>
        <w:rPr>
          <w:sz w:val="24"/>
          <w:szCs w:val="24"/>
        </w:rPr>
      </w:pPr>
      <w:bookmarkStart w:id="7" w:name="_Toc530745863"/>
      <w:bookmarkStart w:id="8" w:name="_Toc50641181"/>
      <w:r w:rsidRPr="00383D4F">
        <w:rPr>
          <w:sz w:val="24"/>
          <w:szCs w:val="24"/>
        </w:rPr>
        <w:t>ЗА ПЕРИОД 01.01-3</w:t>
      </w:r>
      <w:r w:rsidR="00593F70">
        <w:rPr>
          <w:sz w:val="24"/>
          <w:szCs w:val="24"/>
        </w:rPr>
        <w:t>1.12</w:t>
      </w:r>
      <w:r w:rsidR="00D94FCB" w:rsidRPr="00383D4F">
        <w:rPr>
          <w:sz w:val="24"/>
          <w:szCs w:val="24"/>
        </w:rPr>
        <w:t>.2020</w:t>
      </w:r>
      <w:r w:rsidR="00F52EFC" w:rsidRPr="00383D4F">
        <w:rPr>
          <w:sz w:val="24"/>
          <w:szCs w:val="24"/>
        </w:rPr>
        <w:t>. ГОДИНЕ</w:t>
      </w:r>
      <w:bookmarkEnd w:id="7"/>
      <w:bookmarkEnd w:id="8"/>
    </w:p>
    <w:p w14:paraId="2CD77881" w14:textId="77777777" w:rsidR="00F52EFC" w:rsidRDefault="00F52EFC" w:rsidP="00F52EFC">
      <w:pPr>
        <w:ind w:left="0" w:firstLine="720"/>
      </w:pPr>
    </w:p>
    <w:p w14:paraId="6136B757" w14:textId="77777777" w:rsidR="00F52EFC" w:rsidRDefault="00F52EFC" w:rsidP="00F52EFC">
      <w:pPr>
        <w:tabs>
          <w:tab w:val="left" w:pos="0"/>
        </w:tabs>
        <w:ind w:left="0" w:right="-792" w:firstLine="720"/>
      </w:pPr>
      <w:proofErr w:type="spellStart"/>
      <w:r>
        <w:t>Извјештај</w:t>
      </w:r>
      <w:proofErr w:type="spellEnd"/>
      <w:r>
        <w:t xml:space="preserve"> о извршењу буџета оп</w:t>
      </w:r>
      <w:r w:rsidR="00593F70">
        <w:t>штине Прњавор за период 01.01-31</w:t>
      </w:r>
      <w:r>
        <w:t>.</w:t>
      </w:r>
      <w:r w:rsidR="00593F70">
        <w:t>12</w:t>
      </w:r>
      <w:r w:rsidR="00F93F97">
        <w:t>.2020</w:t>
      </w:r>
      <w:r>
        <w:t xml:space="preserve">. године сачињен је у складу са одредбама члана 47. Закона о буџетском систему Републике Српске и члана 22. Правилника о форми и садржају буџета и </w:t>
      </w:r>
      <w:proofErr w:type="spellStart"/>
      <w:r>
        <w:t>извјештаја</w:t>
      </w:r>
      <w:proofErr w:type="spellEnd"/>
      <w:r>
        <w:t xml:space="preserve"> о извршењу буџета („Службени гласник Републике Српске“, број 100/13 и 102/16), и садржи:</w:t>
      </w:r>
    </w:p>
    <w:p w14:paraId="0B247394" w14:textId="77777777" w:rsidR="00F52EFC" w:rsidRDefault="00F52EFC" w:rsidP="00F52EFC">
      <w:pPr>
        <w:numPr>
          <w:ilvl w:val="0"/>
          <w:numId w:val="4"/>
        </w:numPr>
        <w:spacing w:before="120"/>
      </w:pPr>
      <w:r>
        <w:t xml:space="preserve">табеларни преглед који приказује буџетска средства и издатке које је Скупштина општине Прњавор одобрила </w:t>
      </w:r>
      <w:r w:rsidR="00D94FCB">
        <w:t>за 2020</w:t>
      </w:r>
      <w:r w:rsidR="00737EEF">
        <w:t xml:space="preserve">. годину </w:t>
      </w:r>
      <w:r>
        <w:t>(</w:t>
      </w:r>
      <w:r w:rsidR="00593F70">
        <w:t>Ребаланс</w:t>
      </w:r>
      <w:r w:rsidR="00D94FCB" w:rsidRPr="00FF7418">
        <w:t xml:space="preserve"> буџет</w:t>
      </w:r>
      <w:r w:rsidR="00593F70">
        <w:t>а</w:t>
      </w:r>
      <w:r>
        <w:t xml:space="preserve">), и остварена буџетска средства и издатке у </w:t>
      </w:r>
      <w:r w:rsidR="00593F70">
        <w:t>периоду 01.01-31.12</w:t>
      </w:r>
      <w:r w:rsidR="00D94FCB">
        <w:t>.2020</w:t>
      </w:r>
      <w:r w:rsidR="006319AE">
        <w:t>. године</w:t>
      </w:r>
      <w:r>
        <w:t>, приказано на начин да се јасно може уочити разлика између одобреног и извршеног буџета,</w:t>
      </w:r>
    </w:p>
    <w:p w14:paraId="1072A89F" w14:textId="77777777" w:rsidR="00F52EFC" w:rsidRDefault="00F52EFC" w:rsidP="00F52EFC">
      <w:pPr>
        <w:numPr>
          <w:ilvl w:val="0"/>
          <w:numId w:val="4"/>
        </w:numPr>
        <w:ind w:right="-792"/>
      </w:pPr>
      <w:r>
        <w:t>објашњење извршења буџета у наративном облику,</w:t>
      </w:r>
    </w:p>
    <w:p w14:paraId="19BB838D" w14:textId="77777777" w:rsidR="00F52EFC" w:rsidRDefault="00F52EFC" w:rsidP="00F52EFC">
      <w:pPr>
        <w:numPr>
          <w:ilvl w:val="0"/>
          <w:numId w:val="4"/>
        </w:numPr>
        <w:ind w:right="-792"/>
        <w:rPr>
          <w:lang w:val="sr-Latn-CS"/>
        </w:rPr>
      </w:pPr>
      <w:r>
        <w:t>п</w:t>
      </w:r>
      <w:r w:rsidRPr="000F5716">
        <w:t>од</w:t>
      </w:r>
      <w:r>
        <w:t xml:space="preserve">атке о извршеним </w:t>
      </w:r>
      <w:proofErr w:type="spellStart"/>
      <w:r>
        <w:t>реалокацијама</w:t>
      </w:r>
      <w:proofErr w:type="spellEnd"/>
      <w:r>
        <w:t>,</w:t>
      </w:r>
    </w:p>
    <w:p w14:paraId="49B27D02" w14:textId="77777777" w:rsidR="00F52EFC" w:rsidRDefault="00F52EFC" w:rsidP="00F52EFC">
      <w:pPr>
        <w:numPr>
          <w:ilvl w:val="0"/>
          <w:numId w:val="4"/>
        </w:numPr>
        <w:ind w:right="-792"/>
      </w:pPr>
      <w:r>
        <w:t>п</w:t>
      </w:r>
      <w:r w:rsidRPr="000F5716">
        <w:t>одатке о коришћењу сред</w:t>
      </w:r>
      <w:r>
        <w:t>става текуће буџетске резерве,</w:t>
      </w:r>
    </w:p>
    <w:p w14:paraId="5F7285D3" w14:textId="77777777" w:rsidR="00F52EFC" w:rsidRDefault="00F52EFC" w:rsidP="00F52EFC">
      <w:pPr>
        <w:numPr>
          <w:ilvl w:val="0"/>
          <w:numId w:val="4"/>
        </w:numPr>
        <w:ind w:right="-792"/>
      </w:pPr>
      <w:r>
        <w:t>информацију о стању новчаних средстава на рачунима општине Прњаво</w:t>
      </w:r>
      <w:r w:rsidR="00593F70">
        <w:t>р,</w:t>
      </w:r>
    </w:p>
    <w:p w14:paraId="4784D029" w14:textId="77777777" w:rsidR="00F52EFC" w:rsidRDefault="00F52EFC" w:rsidP="00F52EFC">
      <w:pPr>
        <w:numPr>
          <w:ilvl w:val="0"/>
          <w:numId w:val="4"/>
        </w:numPr>
        <w:ind w:right="-792"/>
      </w:pPr>
      <w:r>
        <w:t>информациј</w:t>
      </w:r>
      <w:r w:rsidR="006319AE">
        <w:t>у о кредитном задужењу опш</w:t>
      </w:r>
      <w:r w:rsidR="00593F70">
        <w:t>тине и</w:t>
      </w:r>
    </w:p>
    <w:p w14:paraId="4D328CEF" w14:textId="77777777" w:rsidR="00593F70" w:rsidRDefault="00593F70" w:rsidP="00593F70">
      <w:pPr>
        <w:numPr>
          <w:ilvl w:val="0"/>
          <w:numId w:val="4"/>
        </w:numPr>
        <w:ind w:right="-792"/>
      </w:pPr>
      <w:r>
        <w:t>информацију о стању имовине, обавеза и извора средстава.</w:t>
      </w:r>
    </w:p>
    <w:p w14:paraId="27559713" w14:textId="77777777" w:rsidR="00F52EFC" w:rsidRDefault="00F52EFC" w:rsidP="00F52EFC">
      <w:pPr>
        <w:ind w:left="357" w:right="0" w:firstLine="0"/>
        <w:jc w:val="left"/>
        <w:rPr>
          <w:b/>
        </w:rPr>
      </w:pPr>
    </w:p>
    <w:p w14:paraId="19917D1C" w14:textId="77777777" w:rsidR="00DD0561" w:rsidRDefault="00DD0561" w:rsidP="00DD0561">
      <w:pPr>
        <w:ind w:left="0" w:firstLine="709"/>
      </w:pPr>
      <w:r>
        <w:t xml:space="preserve">Поред економске и организационе класификације, буџетски корисници имају обавезу да воде књиговодство и по </w:t>
      </w:r>
      <w:r w:rsidR="00ED5F8D">
        <w:t xml:space="preserve">начелу </w:t>
      </w:r>
      <w:proofErr w:type="spellStart"/>
      <w:r w:rsidR="00ED5F8D">
        <w:t>фондовског</w:t>
      </w:r>
      <w:proofErr w:type="spellEnd"/>
      <w:r w:rsidR="00AA7B15">
        <w:rPr>
          <w:lang w:val="sr-Latn-RS"/>
        </w:rPr>
        <w:t xml:space="preserve">  </w:t>
      </w:r>
      <w:r w:rsidR="00ED5F8D">
        <w:t>књиговодства</w:t>
      </w:r>
      <w:r>
        <w:t xml:space="preserve">. Правилником о буџетским класификацијама, садржини рачуна и </w:t>
      </w:r>
      <w:proofErr w:type="spellStart"/>
      <w:r>
        <w:t>примјени</w:t>
      </w:r>
      <w:proofErr w:type="spellEnd"/>
      <w:r>
        <w:t xml:space="preserve"> контног плана за буџетске кориснике предвиђена је могућност коришћења 5 фондова за евидентирање свих рачуноводствених трансакција буџетских корисника, и то: Општи фонд (фонд 01), Фонд прихода по посебним прописима (фонд 02), Фонд грантова (фонд 03), Фонд средстава приватизације и сукцесије (фонд 04) и Фонд за посебне пројекте (фонд 05).</w:t>
      </w:r>
    </w:p>
    <w:p w14:paraId="7D796067" w14:textId="77777777" w:rsidR="00A819BE" w:rsidRDefault="00DD0561" w:rsidP="009D2777">
      <w:pPr>
        <w:ind w:left="0" w:firstLine="709"/>
      </w:pPr>
      <w:r>
        <w:t xml:space="preserve">Општи фонд (01) представља буџет у ужем смислу </w:t>
      </w:r>
      <w:proofErr w:type="spellStart"/>
      <w:r>
        <w:t>ријечи</w:t>
      </w:r>
      <w:proofErr w:type="spellEnd"/>
      <w:r>
        <w:t xml:space="preserve"> и користи се за исказивање свих средстава и свих </w:t>
      </w:r>
      <w:r w:rsidR="009D2777">
        <w:t>активности</w:t>
      </w:r>
      <w:r>
        <w:t xml:space="preserve"> у вези са усвојеним буџетом.  Издвајање осталих фондова из општег фонда врши се у сврху обављања специфичних активности или постизања одређених циљева, у складу са посебним прописима и/или ограничењима. У оквиру осталих фондова евидентирају се одређена средства и све активности које се финансирају из тих средстава, а које нису укључене у општи фонд. Према Правилнику о рачуноводству, рачуноводственим политикама и рачуноводственим </w:t>
      </w:r>
      <w:proofErr w:type="spellStart"/>
      <w:r>
        <w:t>процјенама</w:t>
      </w:r>
      <w:proofErr w:type="spellEnd"/>
      <w:r>
        <w:t xml:space="preserve"> за буџетске кориснике, претпоставка за коришћење осталих фондова је да Одлука о извршењу буџета прописује буџетске кориснике и изворе за које се могу користити други рачуноводствени фондови оси</w:t>
      </w:r>
      <w:r w:rsidR="00BE2171">
        <w:t>м општег фонда;</w:t>
      </w:r>
      <w:r>
        <w:t xml:space="preserve"> да позиције прихода, расхода, примитака и </w:t>
      </w:r>
      <w:r w:rsidR="00BE2171">
        <w:t>издатака нису планиране буџетом;</w:t>
      </w:r>
      <w:r>
        <w:t xml:space="preserve"> да</w:t>
      </w:r>
      <w:r w:rsidR="00BE2171">
        <w:t xml:space="preserve"> постоји рачун посебних </w:t>
      </w:r>
      <w:proofErr w:type="spellStart"/>
      <w:r w:rsidR="00BE2171">
        <w:t>намјена</w:t>
      </w:r>
      <w:proofErr w:type="spellEnd"/>
      <w:r w:rsidR="00BE2171">
        <w:t>;</w:t>
      </w:r>
      <w:r>
        <w:t xml:space="preserve"> и да постоји </w:t>
      </w:r>
      <w:proofErr w:type="spellStart"/>
      <w:r>
        <w:t>обезбијеђен</w:t>
      </w:r>
      <w:proofErr w:type="spellEnd"/>
      <w:r>
        <w:t xml:space="preserve"> извор финансирања. </w:t>
      </w:r>
    </w:p>
    <w:p w14:paraId="34744954" w14:textId="77777777" w:rsidR="00BE2171" w:rsidRPr="0024253D" w:rsidRDefault="00A819BE" w:rsidP="0024253D">
      <w:pPr>
        <w:ind w:left="0" w:firstLine="709"/>
      </w:pPr>
      <w:r>
        <w:t>Одлука о извршењ</w:t>
      </w:r>
      <w:r w:rsidR="00AA2CB8">
        <w:t>у буџета општине Прњавор за 2020</w:t>
      </w:r>
      <w:r>
        <w:t xml:space="preserve">. годину није </w:t>
      </w:r>
      <w:proofErr w:type="spellStart"/>
      <w:r>
        <w:t>предвидјела</w:t>
      </w:r>
      <w:proofErr w:type="spellEnd"/>
      <w:r>
        <w:t xml:space="preserve"> коришћење осталих фондова, већ се евидентирање свих рачуноводствених трансакција обавља </w:t>
      </w:r>
      <w:r>
        <w:lastRenderedPageBreak/>
        <w:t xml:space="preserve">преко фонда 01. </w:t>
      </w:r>
      <w:proofErr w:type="spellStart"/>
      <w:r w:rsidRPr="001F21A9">
        <w:t>Намјенски</w:t>
      </w:r>
      <w:proofErr w:type="spellEnd"/>
      <w:r w:rsidRPr="001F21A9">
        <w:t xml:space="preserve"> остварена средства по основу грантова и трансфера од других јединица власти, која нису планирана у буџету, </w:t>
      </w:r>
      <w:r>
        <w:t xml:space="preserve">стављају се на располагање за буџетску потрошњу у складу са утврђеном </w:t>
      </w:r>
      <w:proofErr w:type="spellStart"/>
      <w:r>
        <w:t>намјеном</w:t>
      </w:r>
      <w:proofErr w:type="spellEnd"/>
      <w:r>
        <w:t>, а укључују се у буџет путем ребаланса буџета.</w:t>
      </w:r>
      <w:r w:rsidR="008E320B">
        <w:rPr>
          <w:lang w:val="sr-Latn-RS"/>
        </w:rPr>
        <w:t xml:space="preserve"> </w:t>
      </w:r>
      <w:r>
        <w:t>Коришћење додатних рачуноводствених фондова није предвиђено из разлога што коришћење само једног, општег фонда даје једноставнији и транспарентнији преглед свих остварених буџетских</w:t>
      </w:r>
      <w:r w:rsidR="00AA2CB8">
        <w:t xml:space="preserve"> средстава и буџетских издатака и </w:t>
      </w:r>
      <w:proofErr w:type="spellStart"/>
      <w:r w:rsidR="00AA2CB8">
        <w:t>обезбјеђује</w:t>
      </w:r>
      <w:proofErr w:type="spellEnd"/>
      <w:r w:rsidR="00AA2CB8">
        <w:t xml:space="preserve"> ефикасније управљање буџетом.</w:t>
      </w:r>
      <w:r w:rsidR="00AA7B15">
        <w:rPr>
          <w:lang w:val="sr-Latn-RS"/>
        </w:rPr>
        <w:t xml:space="preserve"> </w:t>
      </w:r>
      <w:r w:rsidR="0024253D">
        <w:t>Ипак, н</w:t>
      </w:r>
      <w:r w:rsidR="00392BB0">
        <w:t xml:space="preserve">а основу </w:t>
      </w:r>
      <w:r w:rsidR="0024253D">
        <w:t>инструкције</w:t>
      </w:r>
      <w:r w:rsidR="00392BB0">
        <w:t xml:space="preserve"> Министарства финансија РС</w:t>
      </w:r>
      <w:r w:rsidR="00FE2ADE">
        <w:t>,</w:t>
      </w:r>
      <w:r w:rsidR="00AA2CB8">
        <w:t xml:space="preserve"> у 2020</w:t>
      </w:r>
      <w:r w:rsidR="00392BB0">
        <w:t>. годи</w:t>
      </w:r>
      <w:r w:rsidR="00AA2CB8">
        <w:t>ни коришћен</w:t>
      </w:r>
      <w:r w:rsidR="008E320B">
        <w:rPr>
          <w:lang w:val="sr-Latn-RS"/>
        </w:rPr>
        <w:t xml:space="preserve"> </w:t>
      </w:r>
      <w:r w:rsidR="00AA2CB8">
        <w:t>је</w:t>
      </w:r>
      <w:r w:rsidR="0024253D">
        <w:t xml:space="preserve"> фонд 03 </w:t>
      </w:r>
      <w:r w:rsidR="00392BB0">
        <w:t xml:space="preserve">за евидентирање </w:t>
      </w:r>
      <w:r w:rsidR="00456439">
        <w:t xml:space="preserve">реализације пројеката који се финансирају из </w:t>
      </w:r>
      <w:r w:rsidR="00392BB0">
        <w:t>донаторских с</w:t>
      </w:r>
      <w:r w:rsidR="00AA2CB8">
        <w:t xml:space="preserve">редстава Владе Републике Србије, </w:t>
      </w:r>
      <w:r w:rsidR="0024253D">
        <w:t xml:space="preserve">јер су на нивоу Републике пројекти финансирани из наведених средстава евидентирани у оквиру фонда 03. </w:t>
      </w:r>
      <w:r w:rsidR="00BE2171">
        <w:t xml:space="preserve">Консолидовани </w:t>
      </w:r>
      <w:proofErr w:type="spellStart"/>
      <w:r w:rsidR="00BE2171">
        <w:t>извјештај</w:t>
      </w:r>
      <w:proofErr w:type="spellEnd"/>
      <w:r w:rsidR="00BE2171">
        <w:t xml:space="preserve"> о извршењу буџета опш</w:t>
      </w:r>
      <w:r w:rsidR="00AA2CB8">
        <w:t>ти</w:t>
      </w:r>
      <w:r w:rsidR="00EE5F20">
        <w:t>не Прњавор за период 01.01-31.12</w:t>
      </w:r>
      <w:r w:rsidR="00AA2CB8">
        <w:t>.2020</w:t>
      </w:r>
      <w:r w:rsidR="00BE2171">
        <w:t xml:space="preserve">. године сачињен је на основу података из Главне књиге трезора општине Прњавор, и обухвата извршење на свим </w:t>
      </w:r>
      <w:proofErr w:type="spellStart"/>
      <w:r w:rsidR="00BE2171">
        <w:t>рачуноводсвеним</w:t>
      </w:r>
      <w:proofErr w:type="spellEnd"/>
      <w:r w:rsidR="00BE2171">
        <w:t xml:space="preserve"> фондовима</w:t>
      </w:r>
      <w:r w:rsidR="00332368">
        <w:t xml:space="preserve"> (фонд 01</w:t>
      </w:r>
      <w:r w:rsidR="00AA2CB8">
        <w:t xml:space="preserve"> и</w:t>
      </w:r>
      <w:r w:rsidR="009D2777">
        <w:t xml:space="preserve"> фонд 03)</w:t>
      </w:r>
      <w:r w:rsidR="00BE2171">
        <w:t>.</w:t>
      </w:r>
    </w:p>
    <w:p w14:paraId="6C2DE35F" w14:textId="77777777" w:rsidR="00383D4F" w:rsidRDefault="00383D4F" w:rsidP="00593F70">
      <w:pPr>
        <w:ind w:left="0" w:firstLine="0"/>
      </w:pPr>
    </w:p>
    <w:p w14:paraId="377894C5" w14:textId="77777777" w:rsidR="00FA7E69" w:rsidRPr="00383D4F" w:rsidRDefault="00BE2171" w:rsidP="00E6589A">
      <w:pPr>
        <w:pStyle w:val="Naslov1"/>
        <w:spacing w:before="120"/>
        <w:ind w:firstLine="1134"/>
        <w:jc w:val="left"/>
      </w:pPr>
      <w:bookmarkStart w:id="9" w:name="_Toc50641182"/>
      <w:r w:rsidRPr="00383D4F">
        <w:t>3.1. ФОНД 01 - ОПШТИ ФОНД</w:t>
      </w:r>
      <w:bookmarkEnd w:id="9"/>
    </w:p>
    <w:p w14:paraId="27F01AB7" w14:textId="77777777" w:rsidR="00BE2171" w:rsidRDefault="00BE2171" w:rsidP="00F52EFC">
      <w:pPr>
        <w:tabs>
          <w:tab w:val="left" w:pos="5103"/>
        </w:tabs>
        <w:ind w:left="0" w:firstLine="0"/>
        <w:rPr>
          <w:b/>
          <w:sz w:val="28"/>
          <w:szCs w:val="28"/>
        </w:rPr>
      </w:pPr>
    </w:p>
    <w:p w14:paraId="413DAD75" w14:textId="77777777" w:rsidR="009D2777" w:rsidRDefault="009D2777" w:rsidP="00BE2171">
      <w:pPr>
        <w:ind w:left="0" w:firstLine="709"/>
      </w:pPr>
      <w:r>
        <w:t xml:space="preserve">Као што је већ наведено, општи фонд представља буџет у ужем смислу </w:t>
      </w:r>
      <w:proofErr w:type="spellStart"/>
      <w:r>
        <w:t>ријечи</w:t>
      </w:r>
      <w:proofErr w:type="spellEnd"/>
      <w:r>
        <w:t xml:space="preserve"> и користи се за исказивање свих средстава и свих активности </w:t>
      </w:r>
      <w:r w:rsidR="00B0595E">
        <w:t xml:space="preserve">буџетских корисника, осим оних који се, према посебним </w:t>
      </w:r>
      <w:proofErr w:type="spellStart"/>
      <w:r w:rsidR="00B0595E">
        <w:t>захтјевима</w:t>
      </w:r>
      <w:proofErr w:type="spellEnd"/>
      <w:r w:rsidR="00B0595E">
        <w:t xml:space="preserve">, исказују на другим фондовима. </w:t>
      </w:r>
      <w:r>
        <w:t xml:space="preserve">Извршење буџетских средстава и буџетских издатака у оквиру фонда 01 приказано је у табеларном прегледу </w:t>
      </w:r>
      <w:proofErr w:type="spellStart"/>
      <w:r>
        <w:t>извјештаја</w:t>
      </w:r>
      <w:proofErr w:type="spellEnd"/>
      <w:r>
        <w:t xml:space="preserve"> о из</w:t>
      </w:r>
      <w:r w:rsidR="0046618E">
        <w:t>врш</w:t>
      </w:r>
      <w:r w:rsidR="004B0A19">
        <w:t>ењу буџета за период 01.01-31.12</w:t>
      </w:r>
      <w:r w:rsidR="0046618E">
        <w:t>.2020</w:t>
      </w:r>
      <w:r>
        <w:t xml:space="preserve">. године, који у складу са Правилником о форми и садржају буџета и </w:t>
      </w:r>
      <w:proofErr w:type="spellStart"/>
      <w:r>
        <w:t>извјештаја</w:t>
      </w:r>
      <w:proofErr w:type="spellEnd"/>
      <w:r>
        <w:t xml:space="preserve"> о извршењу буџета садржи:</w:t>
      </w:r>
    </w:p>
    <w:p w14:paraId="76342636" w14:textId="77777777" w:rsidR="009D2777" w:rsidRDefault="009D2777" w:rsidP="009D2777">
      <w:pPr>
        <w:numPr>
          <w:ilvl w:val="0"/>
          <w:numId w:val="4"/>
        </w:numPr>
        <w:spacing w:before="120"/>
        <w:ind w:left="714" w:right="0" w:hanging="357"/>
      </w:pPr>
      <w:r>
        <w:t xml:space="preserve">Општи </w:t>
      </w:r>
      <w:proofErr w:type="spellStart"/>
      <w:r>
        <w:t>дио</w:t>
      </w:r>
      <w:proofErr w:type="spellEnd"/>
      <w:r>
        <w:t xml:space="preserve"> </w:t>
      </w:r>
      <w:proofErr w:type="spellStart"/>
      <w:r>
        <w:t>извјештаја</w:t>
      </w:r>
      <w:proofErr w:type="spellEnd"/>
      <w:r>
        <w:t xml:space="preserve"> (тачка 3.1.1. </w:t>
      </w:r>
      <w:proofErr w:type="spellStart"/>
      <w:r>
        <w:t>Извјештаја</w:t>
      </w:r>
      <w:proofErr w:type="spellEnd"/>
      <w:r>
        <w:t>)</w:t>
      </w:r>
      <w:r w:rsidR="00ED5F8D">
        <w:t>,</w:t>
      </w:r>
    </w:p>
    <w:p w14:paraId="49AAD51C" w14:textId="77777777" w:rsidR="009D2777" w:rsidRDefault="009D2777" w:rsidP="009D2777">
      <w:pPr>
        <w:numPr>
          <w:ilvl w:val="0"/>
          <w:numId w:val="4"/>
        </w:numPr>
        <w:ind w:right="0"/>
      </w:pPr>
      <w:r>
        <w:t xml:space="preserve">Буџетске приходе и примитке за </w:t>
      </w:r>
      <w:proofErr w:type="spellStart"/>
      <w:r>
        <w:t>неф</w:t>
      </w:r>
      <w:r w:rsidR="00ED5F8D">
        <w:t>инансијску</w:t>
      </w:r>
      <w:proofErr w:type="spellEnd"/>
      <w:r w:rsidR="00ED5F8D">
        <w:t xml:space="preserve"> имовину (тачка 3.1.2.</w:t>
      </w:r>
      <w:r>
        <w:t xml:space="preserve"> </w:t>
      </w:r>
      <w:proofErr w:type="spellStart"/>
      <w:r>
        <w:t>Извјештаја</w:t>
      </w:r>
      <w:proofErr w:type="spellEnd"/>
      <w:r>
        <w:t>)</w:t>
      </w:r>
      <w:r w:rsidR="00ED5F8D">
        <w:t>,</w:t>
      </w:r>
    </w:p>
    <w:p w14:paraId="39BE77CD" w14:textId="77777777" w:rsidR="009D2777" w:rsidRDefault="009D2777" w:rsidP="009D2777">
      <w:pPr>
        <w:numPr>
          <w:ilvl w:val="0"/>
          <w:numId w:val="4"/>
        </w:numPr>
        <w:ind w:right="0"/>
      </w:pPr>
      <w:r>
        <w:t xml:space="preserve">Буџетске </w:t>
      </w:r>
      <w:r w:rsidR="00ED5F8D">
        <w:t>расходе и издатке</w:t>
      </w:r>
      <w:r>
        <w:t xml:space="preserve"> за </w:t>
      </w:r>
      <w:proofErr w:type="spellStart"/>
      <w:r>
        <w:t>нефинансијску</w:t>
      </w:r>
      <w:proofErr w:type="spellEnd"/>
      <w:r>
        <w:t xml:space="preserve"> имовину (тачка 3.1.3. </w:t>
      </w:r>
      <w:proofErr w:type="spellStart"/>
      <w:r>
        <w:t>Извјештаја</w:t>
      </w:r>
      <w:proofErr w:type="spellEnd"/>
      <w:r>
        <w:t>)</w:t>
      </w:r>
      <w:r w:rsidR="00ED5F8D">
        <w:t>,</w:t>
      </w:r>
    </w:p>
    <w:p w14:paraId="5B06CB23" w14:textId="77777777" w:rsidR="00ED5F8D" w:rsidRPr="00ED5F8D" w:rsidRDefault="009D2777" w:rsidP="009D2777">
      <w:pPr>
        <w:numPr>
          <w:ilvl w:val="0"/>
          <w:numId w:val="4"/>
        </w:numPr>
        <w:ind w:right="0"/>
      </w:pPr>
      <w:r>
        <w:t xml:space="preserve">Рачун финансирања (тачка 3.1.4. </w:t>
      </w:r>
      <w:proofErr w:type="spellStart"/>
      <w:r>
        <w:t>Извјештаја</w:t>
      </w:r>
      <w:proofErr w:type="spellEnd"/>
      <w:r>
        <w:t>)</w:t>
      </w:r>
      <w:r w:rsidR="00ED5F8D">
        <w:t>,</w:t>
      </w:r>
    </w:p>
    <w:p w14:paraId="2EABEB7C" w14:textId="77777777" w:rsidR="009D2777" w:rsidRDefault="00ED5F8D" w:rsidP="009D2777">
      <w:pPr>
        <w:numPr>
          <w:ilvl w:val="0"/>
          <w:numId w:val="4"/>
        </w:numPr>
        <w:ind w:right="0"/>
      </w:pPr>
      <w:r>
        <w:t xml:space="preserve">Буџетске издатке по корисницима (организациона класификација) (тачка 3.1.5. </w:t>
      </w:r>
      <w:proofErr w:type="spellStart"/>
      <w:r>
        <w:t>Извјештаја</w:t>
      </w:r>
      <w:proofErr w:type="spellEnd"/>
      <w:r>
        <w:t>) и</w:t>
      </w:r>
    </w:p>
    <w:p w14:paraId="1475D1DC" w14:textId="77777777" w:rsidR="009D2777" w:rsidRDefault="009D2777" w:rsidP="009D2777">
      <w:pPr>
        <w:numPr>
          <w:ilvl w:val="0"/>
          <w:numId w:val="4"/>
        </w:numPr>
        <w:ind w:right="0"/>
      </w:pPr>
      <w:r>
        <w:t xml:space="preserve">Функционалну класификацију </w:t>
      </w:r>
      <w:r w:rsidR="00ED5F8D">
        <w:t xml:space="preserve">расхода и нето издатака за </w:t>
      </w:r>
      <w:proofErr w:type="spellStart"/>
      <w:r w:rsidR="00ED5F8D">
        <w:t>нефинансијску</w:t>
      </w:r>
      <w:proofErr w:type="spellEnd"/>
      <w:r w:rsidR="00ED5F8D">
        <w:t xml:space="preserve"> имовину</w:t>
      </w:r>
      <w:r w:rsidR="00F93F97">
        <w:t>.</w:t>
      </w:r>
    </w:p>
    <w:p w14:paraId="0700A849" w14:textId="77777777" w:rsidR="00BE2171" w:rsidRPr="00BE2171" w:rsidRDefault="00BE2171" w:rsidP="00F52EFC">
      <w:pPr>
        <w:tabs>
          <w:tab w:val="left" w:pos="5103"/>
        </w:tabs>
        <w:ind w:left="0" w:firstLine="0"/>
        <w:rPr>
          <w:b/>
          <w:sz w:val="28"/>
          <w:szCs w:val="28"/>
        </w:rPr>
      </w:pPr>
    </w:p>
    <w:p w14:paraId="3F44B74F" w14:textId="77777777" w:rsidR="00BE2171" w:rsidRDefault="006319AE" w:rsidP="00F01D0D">
      <w:pPr>
        <w:pStyle w:val="Podnaslovi1"/>
        <w:ind w:firstLine="709"/>
        <w:jc w:val="left"/>
        <w:rPr>
          <w:sz w:val="24"/>
          <w:szCs w:val="24"/>
        </w:rPr>
      </w:pPr>
      <w:bookmarkStart w:id="10" w:name="_Toc491329717"/>
      <w:bookmarkStart w:id="11" w:name="_Toc510165750"/>
      <w:bookmarkStart w:id="12" w:name="_Toc530745864"/>
      <w:bookmarkStart w:id="13" w:name="_Toc50641183"/>
      <w:r w:rsidRPr="00BE2171">
        <w:rPr>
          <w:sz w:val="24"/>
          <w:szCs w:val="24"/>
        </w:rPr>
        <w:t>3.1.</w:t>
      </w:r>
      <w:r w:rsidR="00BE2171" w:rsidRPr="00BE2171">
        <w:rPr>
          <w:sz w:val="24"/>
          <w:szCs w:val="24"/>
        </w:rPr>
        <w:t>1.</w:t>
      </w:r>
      <w:r w:rsidRPr="00BE2171">
        <w:rPr>
          <w:sz w:val="24"/>
          <w:szCs w:val="24"/>
        </w:rPr>
        <w:t xml:space="preserve"> ОПШТИ ДИО ИЗВЈЕШТАЈА О ИЗВРШЕЊУ БУЏЕТ</w:t>
      </w:r>
      <w:bookmarkStart w:id="14" w:name="_Toc491329718"/>
      <w:bookmarkEnd w:id="10"/>
      <w:bookmarkEnd w:id="11"/>
      <w:r w:rsidR="00BE2171">
        <w:rPr>
          <w:sz w:val="24"/>
          <w:szCs w:val="24"/>
        </w:rPr>
        <w:t>А</w:t>
      </w:r>
      <w:bookmarkEnd w:id="12"/>
      <w:bookmarkEnd w:id="13"/>
    </w:p>
    <w:p w14:paraId="4A3933C8" w14:textId="77777777" w:rsidR="006319AE" w:rsidRPr="00BE2171" w:rsidRDefault="009D1770" w:rsidP="00BE2171">
      <w:pPr>
        <w:pStyle w:val="Podnaslovi1"/>
        <w:spacing w:before="0"/>
        <w:jc w:val="left"/>
        <w:rPr>
          <w:sz w:val="24"/>
          <w:szCs w:val="24"/>
        </w:rPr>
      </w:pPr>
      <w:bookmarkStart w:id="15" w:name="_Toc530745865"/>
      <w:bookmarkStart w:id="16" w:name="_Toc50641184"/>
      <w:r>
        <w:rPr>
          <w:sz w:val="24"/>
          <w:szCs w:val="24"/>
          <w:lang w:val="sr-Cyrl-RS"/>
        </w:rPr>
        <w:t xml:space="preserve">                      </w:t>
      </w:r>
      <w:r w:rsidR="006319AE" w:rsidRPr="00BE2171">
        <w:rPr>
          <w:sz w:val="24"/>
          <w:szCs w:val="24"/>
        </w:rPr>
        <w:t>ОП</w:t>
      </w:r>
      <w:r w:rsidR="00053086" w:rsidRPr="00BE2171">
        <w:rPr>
          <w:sz w:val="24"/>
          <w:szCs w:val="24"/>
        </w:rPr>
        <w:t>ШТИ</w:t>
      </w:r>
      <w:r w:rsidR="0046618E">
        <w:rPr>
          <w:sz w:val="24"/>
          <w:szCs w:val="24"/>
        </w:rPr>
        <w:t>НЕ П</w:t>
      </w:r>
      <w:r w:rsidR="004B0A19">
        <w:rPr>
          <w:sz w:val="24"/>
          <w:szCs w:val="24"/>
        </w:rPr>
        <w:t>РЊАВОР ЗА ПЕРИОД 01.01-31.12</w:t>
      </w:r>
      <w:r w:rsidR="0046618E">
        <w:rPr>
          <w:sz w:val="24"/>
          <w:szCs w:val="24"/>
        </w:rPr>
        <w:t>.2020</w:t>
      </w:r>
      <w:r w:rsidR="006319AE" w:rsidRPr="00BE2171">
        <w:rPr>
          <w:sz w:val="24"/>
          <w:szCs w:val="24"/>
        </w:rPr>
        <w:t>. ГОДИНЕ</w:t>
      </w:r>
      <w:bookmarkEnd w:id="14"/>
      <w:bookmarkEnd w:id="15"/>
      <w:bookmarkEnd w:id="16"/>
    </w:p>
    <w:p w14:paraId="0F845095" w14:textId="77777777" w:rsidR="00E20184" w:rsidRDefault="00E20184" w:rsidP="009E415C">
      <w:pPr>
        <w:ind w:left="0" w:firstLine="0"/>
        <w:rPr>
          <w:sz w:val="28"/>
          <w:szCs w:val="28"/>
          <w:lang w:val="sr-Cyrl-BA"/>
        </w:rPr>
      </w:pPr>
    </w:p>
    <w:p w14:paraId="62141E32" w14:textId="77777777" w:rsidR="00E20184" w:rsidRPr="006661A9" w:rsidRDefault="00E20184" w:rsidP="00E20184">
      <w:pPr>
        <w:ind w:left="0" w:firstLine="0"/>
      </w:pPr>
      <w:r>
        <w:tab/>
      </w:r>
      <w:proofErr w:type="spellStart"/>
      <w:r w:rsidRPr="00A00EE4">
        <w:rPr>
          <w:lang w:val="en-US"/>
        </w:rPr>
        <w:t>Општи</w:t>
      </w:r>
      <w:proofErr w:type="spellEnd"/>
      <w:r w:rsidRPr="00A00EE4">
        <w:rPr>
          <w:lang w:val="en-US"/>
        </w:rPr>
        <w:t xml:space="preserve"> </w:t>
      </w:r>
      <w:proofErr w:type="spellStart"/>
      <w:r w:rsidRPr="00A00EE4">
        <w:rPr>
          <w:lang w:val="en-US"/>
        </w:rPr>
        <w:t>дио</w:t>
      </w:r>
      <w:proofErr w:type="spellEnd"/>
      <w:r w:rsidRPr="00A00EE4">
        <w:rPr>
          <w:lang w:val="en-US"/>
        </w:rPr>
        <w:t xml:space="preserve"> </w:t>
      </w:r>
      <w:proofErr w:type="spellStart"/>
      <w:r w:rsidRPr="00A00EE4">
        <w:rPr>
          <w:lang w:val="en-US"/>
        </w:rPr>
        <w:t>буџета</w:t>
      </w:r>
      <w:proofErr w:type="spellEnd"/>
      <w:r w:rsidRPr="00A00EE4">
        <w:rPr>
          <w:lang w:val="en-US"/>
        </w:rPr>
        <w:t xml:space="preserve"> </w:t>
      </w:r>
      <w:proofErr w:type="spellStart"/>
      <w:r w:rsidRPr="00A00EE4">
        <w:rPr>
          <w:lang w:val="en-US"/>
        </w:rPr>
        <w:t>представља</w:t>
      </w:r>
      <w:proofErr w:type="spellEnd"/>
      <w:r w:rsidRPr="00A00EE4">
        <w:rPr>
          <w:lang w:val="en-US"/>
        </w:rPr>
        <w:t xml:space="preserve"> </w:t>
      </w:r>
      <w:proofErr w:type="spellStart"/>
      <w:r w:rsidRPr="00A00EE4">
        <w:rPr>
          <w:lang w:val="en-US"/>
        </w:rPr>
        <w:t>агрегирани</w:t>
      </w:r>
      <w:proofErr w:type="spellEnd"/>
      <w:r w:rsidRPr="00A00EE4">
        <w:rPr>
          <w:lang w:val="en-US"/>
        </w:rPr>
        <w:t xml:space="preserve"> </w:t>
      </w:r>
      <w:proofErr w:type="spellStart"/>
      <w:r w:rsidRPr="00A00EE4">
        <w:rPr>
          <w:lang w:val="en-US"/>
        </w:rPr>
        <w:t>приказ</w:t>
      </w:r>
      <w:proofErr w:type="spellEnd"/>
      <w:r w:rsidRPr="00A00EE4">
        <w:rPr>
          <w:lang w:val="en-US"/>
        </w:rPr>
        <w:t xml:space="preserve"> </w:t>
      </w:r>
      <w:proofErr w:type="spellStart"/>
      <w:r w:rsidRPr="00A00EE4">
        <w:rPr>
          <w:lang w:val="en-US"/>
        </w:rPr>
        <w:t>буџетских</w:t>
      </w:r>
      <w:proofErr w:type="spellEnd"/>
      <w:r w:rsidRPr="00A00EE4">
        <w:rPr>
          <w:lang w:val="en-US"/>
        </w:rPr>
        <w:t xml:space="preserve"> </w:t>
      </w:r>
      <w:proofErr w:type="spellStart"/>
      <w:r w:rsidRPr="00A00EE4">
        <w:rPr>
          <w:lang w:val="en-US"/>
        </w:rPr>
        <w:t>категорија</w:t>
      </w:r>
      <w:proofErr w:type="spellEnd"/>
      <w:r w:rsidRPr="00A00EE4">
        <w:rPr>
          <w:lang w:val="en-US"/>
        </w:rPr>
        <w:t xml:space="preserve"> </w:t>
      </w:r>
      <w:proofErr w:type="spellStart"/>
      <w:r w:rsidRPr="00A00EE4">
        <w:rPr>
          <w:lang w:val="en-US"/>
        </w:rPr>
        <w:t>осмишљен</w:t>
      </w:r>
      <w:proofErr w:type="spellEnd"/>
      <w:r w:rsidRPr="00A00EE4">
        <w:rPr>
          <w:lang w:val="en-US"/>
        </w:rPr>
        <w:t xml:space="preserve"> </w:t>
      </w:r>
      <w:proofErr w:type="spellStart"/>
      <w:r w:rsidRPr="00A00EE4">
        <w:rPr>
          <w:lang w:val="en-US"/>
        </w:rPr>
        <w:t>као</w:t>
      </w:r>
      <w:proofErr w:type="spellEnd"/>
      <w:r w:rsidR="008E320B">
        <w:rPr>
          <w:lang w:val="en-US"/>
        </w:rPr>
        <w:t xml:space="preserve"> </w:t>
      </w:r>
      <w:proofErr w:type="spellStart"/>
      <w:r w:rsidRPr="00A00EE4">
        <w:rPr>
          <w:lang w:val="en-US"/>
        </w:rPr>
        <w:t>концизан</w:t>
      </w:r>
      <w:proofErr w:type="spellEnd"/>
      <w:r w:rsidRPr="00A00EE4">
        <w:rPr>
          <w:lang w:val="en-US"/>
        </w:rPr>
        <w:t xml:space="preserve">, </w:t>
      </w:r>
      <w:proofErr w:type="spellStart"/>
      <w:r w:rsidRPr="00A00EE4">
        <w:rPr>
          <w:lang w:val="en-US"/>
        </w:rPr>
        <w:t>кратак</w:t>
      </w:r>
      <w:proofErr w:type="spellEnd"/>
      <w:r w:rsidRPr="00A00EE4">
        <w:rPr>
          <w:lang w:val="en-US"/>
        </w:rPr>
        <w:t xml:space="preserve"> </w:t>
      </w:r>
      <w:proofErr w:type="spellStart"/>
      <w:r w:rsidRPr="00A00EE4">
        <w:rPr>
          <w:lang w:val="en-US"/>
        </w:rPr>
        <w:t>увод</w:t>
      </w:r>
      <w:proofErr w:type="spellEnd"/>
      <w:r w:rsidRPr="00A00EE4">
        <w:rPr>
          <w:lang w:val="en-US"/>
        </w:rPr>
        <w:t xml:space="preserve"> у </w:t>
      </w:r>
      <w:proofErr w:type="spellStart"/>
      <w:r w:rsidRPr="00A00EE4">
        <w:rPr>
          <w:lang w:val="en-US"/>
        </w:rPr>
        <w:t>економску</w:t>
      </w:r>
      <w:proofErr w:type="spellEnd"/>
      <w:r w:rsidRPr="00A00EE4">
        <w:rPr>
          <w:lang w:val="en-US"/>
        </w:rPr>
        <w:t xml:space="preserve"> и </w:t>
      </w:r>
      <w:proofErr w:type="spellStart"/>
      <w:r w:rsidRPr="00A00EE4">
        <w:rPr>
          <w:lang w:val="en-US"/>
        </w:rPr>
        <w:t>организациону</w:t>
      </w:r>
      <w:proofErr w:type="spellEnd"/>
      <w:r w:rsidRPr="00A00EE4">
        <w:rPr>
          <w:lang w:val="en-US"/>
        </w:rPr>
        <w:t xml:space="preserve"> </w:t>
      </w:r>
      <w:proofErr w:type="spellStart"/>
      <w:r w:rsidRPr="00A00EE4">
        <w:rPr>
          <w:lang w:val="en-US"/>
        </w:rPr>
        <w:t>аналитику</w:t>
      </w:r>
      <w:proofErr w:type="spellEnd"/>
      <w:r w:rsidRPr="00A00EE4">
        <w:rPr>
          <w:lang w:val="en-US"/>
        </w:rPr>
        <w:t xml:space="preserve"> </w:t>
      </w:r>
      <w:proofErr w:type="spellStart"/>
      <w:r w:rsidRPr="00A00EE4">
        <w:rPr>
          <w:lang w:val="en-US"/>
        </w:rPr>
        <w:t>буџета</w:t>
      </w:r>
      <w:proofErr w:type="spellEnd"/>
      <w:r w:rsidRPr="00A00EE4">
        <w:rPr>
          <w:lang w:val="en-US"/>
        </w:rPr>
        <w:t>.</w:t>
      </w:r>
      <w:r w:rsidR="008E320B">
        <w:rPr>
          <w:lang w:val="en-US"/>
        </w:rPr>
        <w:t xml:space="preserve"> </w:t>
      </w:r>
      <w:r w:rsidR="006661A9">
        <w:t xml:space="preserve">Општи </w:t>
      </w:r>
      <w:proofErr w:type="spellStart"/>
      <w:r w:rsidR="006661A9">
        <w:t>дио</w:t>
      </w:r>
      <w:proofErr w:type="spellEnd"/>
      <w:r w:rsidR="006661A9">
        <w:t xml:space="preserve"> буџета даје приказ буџетских прихода, буџетских расхода</w:t>
      </w:r>
      <w:r w:rsidR="00D519CE">
        <w:t>, бруто буџетског суфицита, односно</w:t>
      </w:r>
      <w:r w:rsidR="006661A9">
        <w:t xml:space="preserve"> дефицита, нето издатака за </w:t>
      </w:r>
      <w:proofErr w:type="spellStart"/>
      <w:r w:rsidR="006661A9">
        <w:t>нефинансијску</w:t>
      </w:r>
      <w:proofErr w:type="spellEnd"/>
      <w:r w:rsidR="006661A9">
        <w:t xml:space="preserve"> имовину, буџетског суфицита, односно дефицита и нето финансирања, све у складу са </w:t>
      </w:r>
      <w:proofErr w:type="spellStart"/>
      <w:r w:rsidR="006661A9" w:rsidRPr="00A00EE4">
        <w:rPr>
          <w:lang w:val="en-US"/>
        </w:rPr>
        <w:t>прописаном</w:t>
      </w:r>
      <w:proofErr w:type="spellEnd"/>
      <w:r w:rsidR="006661A9" w:rsidRPr="00A00EE4">
        <w:rPr>
          <w:lang w:val="en-US"/>
        </w:rPr>
        <w:t xml:space="preserve"> и </w:t>
      </w:r>
      <w:proofErr w:type="spellStart"/>
      <w:r w:rsidR="006661A9" w:rsidRPr="00A00EE4">
        <w:rPr>
          <w:lang w:val="en-US"/>
        </w:rPr>
        <w:t>усвојеном</w:t>
      </w:r>
      <w:proofErr w:type="spellEnd"/>
      <w:r w:rsidR="009D1770">
        <w:rPr>
          <w:lang w:val="sr-Cyrl-RS"/>
        </w:rPr>
        <w:t xml:space="preserve"> </w:t>
      </w:r>
      <w:proofErr w:type="spellStart"/>
      <w:r w:rsidR="006661A9" w:rsidRPr="00A00EE4">
        <w:rPr>
          <w:lang w:val="en-US"/>
        </w:rPr>
        <w:t>методологијом</w:t>
      </w:r>
      <w:proofErr w:type="spellEnd"/>
      <w:r w:rsidR="006661A9" w:rsidRPr="00A00EE4">
        <w:rPr>
          <w:lang w:val="en-US"/>
        </w:rPr>
        <w:t xml:space="preserve"> </w:t>
      </w:r>
      <w:proofErr w:type="spellStart"/>
      <w:r w:rsidR="006661A9" w:rsidRPr="00A00EE4">
        <w:rPr>
          <w:lang w:val="en-US"/>
        </w:rPr>
        <w:t>утвр</w:t>
      </w:r>
      <w:proofErr w:type="spellEnd"/>
      <w:r w:rsidR="006661A9">
        <w:t>ђ</w:t>
      </w:r>
      <w:proofErr w:type="spellStart"/>
      <w:r w:rsidR="006661A9" w:rsidRPr="00A00EE4">
        <w:rPr>
          <w:lang w:val="en-US"/>
        </w:rPr>
        <w:t>ивања</w:t>
      </w:r>
      <w:proofErr w:type="spellEnd"/>
      <w:r w:rsidR="006661A9" w:rsidRPr="00A00EE4">
        <w:rPr>
          <w:lang w:val="en-US"/>
        </w:rPr>
        <w:t xml:space="preserve"> и </w:t>
      </w:r>
      <w:proofErr w:type="spellStart"/>
      <w:r w:rsidR="006661A9" w:rsidRPr="00A00EE4">
        <w:rPr>
          <w:lang w:val="en-US"/>
        </w:rPr>
        <w:t>извјештавања</w:t>
      </w:r>
      <w:proofErr w:type="spellEnd"/>
      <w:r w:rsidR="006661A9" w:rsidRPr="00A00EE4">
        <w:rPr>
          <w:lang w:val="en-US"/>
        </w:rPr>
        <w:t xml:space="preserve"> о </w:t>
      </w:r>
      <w:proofErr w:type="spellStart"/>
      <w:r w:rsidR="006661A9" w:rsidRPr="00A00EE4">
        <w:rPr>
          <w:lang w:val="en-US"/>
        </w:rPr>
        <w:t>извршењу</w:t>
      </w:r>
      <w:proofErr w:type="spellEnd"/>
      <w:r w:rsidR="006661A9" w:rsidRPr="00A00EE4">
        <w:rPr>
          <w:lang w:val="en-US"/>
        </w:rPr>
        <w:t xml:space="preserve"> </w:t>
      </w:r>
      <w:proofErr w:type="spellStart"/>
      <w:r w:rsidR="006661A9" w:rsidRPr="00A00EE4">
        <w:rPr>
          <w:lang w:val="en-US"/>
        </w:rPr>
        <w:t>буџета</w:t>
      </w:r>
      <w:proofErr w:type="spellEnd"/>
      <w:r w:rsidR="006661A9" w:rsidRPr="00A00EE4">
        <w:rPr>
          <w:lang w:val="en-US"/>
        </w:rPr>
        <w:t>.</w:t>
      </w:r>
    </w:p>
    <w:p w14:paraId="38D75B9A" w14:textId="77777777" w:rsidR="005E6BE8" w:rsidRDefault="005E6BE8" w:rsidP="00E20184">
      <w:pPr>
        <w:ind w:left="0" w:firstLine="0"/>
        <w:rPr>
          <w:lang w:val="sr-Cyrl-BA"/>
        </w:rPr>
      </w:pPr>
    </w:p>
    <w:p w14:paraId="38E1EAF4" w14:textId="77777777" w:rsidR="00E20184" w:rsidRDefault="00E20184" w:rsidP="00E20184">
      <w:pPr>
        <w:ind w:left="0" w:firstLine="0"/>
        <w:rPr>
          <w:lang w:val="sr-Latn-CS"/>
        </w:rPr>
      </w:pPr>
      <w:r w:rsidRPr="003D6A03">
        <w:tab/>
        <w:t>Буџет општине Прњавор ј</w:t>
      </w:r>
      <w:r>
        <w:t>е у периоду 01.01-</w:t>
      </w:r>
      <w:r w:rsidR="004B0A19">
        <w:t>31.12</w:t>
      </w:r>
      <w:r w:rsidR="0046618E">
        <w:t>.2020</w:t>
      </w:r>
      <w:r w:rsidRPr="003D6A03">
        <w:t xml:space="preserve">. године остварио </w:t>
      </w:r>
      <w:r w:rsidRPr="00753E24">
        <w:t>бруто буџетски суфицит</w:t>
      </w:r>
      <w:r w:rsidRPr="003D6A03">
        <w:t xml:space="preserve"> у износу </w:t>
      </w:r>
      <w:r w:rsidRPr="00431428">
        <w:t xml:space="preserve">од </w:t>
      </w:r>
      <w:r w:rsidR="008271D0" w:rsidRPr="00431428">
        <w:t>2.</w:t>
      </w:r>
      <w:r w:rsidR="005A1FC9" w:rsidRPr="00431428">
        <w:t>859.274,28</w:t>
      </w:r>
      <w:r w:rsidRPr="00431428">
        <w:t xml:space="preserve"> КМ, који</w:t>
      </w:r>
      <w:r w:rsidRPr="003D6A03">
        <w:t xml:space="preserve"> представља разлику између буџетских прихода и буџетских расхода </w:t>
      </w:r>
      <w:r>
        <w:t>о</w:t>
      </w:r>
      <w:r w:rsidRPr="003D6A03">
        <w:t xml:space="preserve">пштине. </w:t>
      </w:r>
    </w:p>
    <w:p w14:paraId="4DFF5B78" w14:textId="77777777" w:rsidR="002942B4" w:rsidRPr="002942B4" w:rsidRDefault="002942B4" w:rsidP="00E20184">
      <w:pPr>
        <w:ind w:left="0" w:firstLine="0"/>
        <w:rPr>
          <w:lang w:val="sr-Latn-CS"/>
        </w:rPr>
      </w:pPr>
    </w:p>
    <w:p w14:paraId="5864F9B6" w14:textId="77777777" w:rsidR="0046618E" w:rsidRDefault="00E20184" w:rsidP="00E20184">
      <w:pPr>
        <w:ind w:left="0" w:firstLine="0"/>
      </w:pPr>
      <w:r>
        <w:lastRenderedPageBreak/>
        <w:tab/>
      </w:r>
      <w:r w:rsidR="00E56654">
        <w:t>О</w:t>
      </w:r>
      <w:r w:rsidRPr="003D6A03">
        <w:t xml:space="preserve">стварени </w:t>
      </w:r>
      <w:r w:rsidRPr="00753E24">
        <w:t xml:space="preserve">буџетски </w:t>
      </w:r>
      <w:r w:rsidR="00431428">
        <w:t>де</w:t>
      </w:r>
      <w:r w:rsidR="0088167A">
        <w:t>фицит</w:t>
      </w:r>
      <w:r w:rsidR="009D1770">
        <w:rPr>
          <w:lang w:val="sr-Cyrl-RS"/>
        </w:rPr>
        <w:t xml:space="preserve"> </w:t>
      </w:r>
      <w:r w:rsidR="0026424C">
        <w:t>у периоду 01.01-3</w:t>
      </w:r>
      <w:r w:rsidR="004B0A19">
        <w:t>1.12</w:t>
      </w:r>
      <w:r w:rsidR="0046618E">
        <w:t>.2020</w:t>
      </w:r>
      <w:r w:rsidR="00E56654">
        <w:t xml:space="preserve">. године </w:t>
      </w:r>
      <w:r w:rsidR="00E56654" w:rsidRPr="00431428">
        <w:t xml:space="preserve">износи </w:t>
      </w:r>
      <w:r w:rsidR="00431428" w:rsidRPr="00431428">
        <w:t>-280.021,14</w:t>
      </w:r>
      <w:r w:rsidR="00E56654" w:rsidRPr="00431428">
        <w:t xml:space="preserve"> КМ</w:t>
      </w:r>
      <w:r w:rsidR="00E56654">
        <w:t xml:space="preserve"> и представља разлику између збира буџетских прихода и примитака за </w:t>
      </w:r>
      <w:proofErr w:type="spellStart"/>
      <w:r w:rsidR="00E56654">
        <w:t>нефинансијску</w:t>
      </w:r>
      <w:proofErr w:type="spellEnd"/>
      <w:r w:rsidR="00E56654">
        <w:t xml:space="preserve"> имовину, и збира буџетских расхода и издатака за </w:t>
      </w:r>
      <w:proofErr w:type="spellStart"/>
      <w:r w:rsidR="00E56654">
        <w:t>нефинансијску</w:t>
      </w:r>
      <w:proofErr w:type="spellEnd"/>
      <w:r w:rsidR="00E56654">
        <w:t xml:space="preserve"> имовину.</w:t>
      </w:r>
    </w:p>
    <w:p w14:paraId="34CCA345" w14:textId="77777777" w:rsidR="0046618E" w:rsidRDefault="0046618E" w:rsidP="00E20184">
      <w:pPr>
        <w:ind w:left="0" w:firstLine="0"/>
      </w:pPr>
    </w:p>
    <w:p w14:paraId="29A053FA" w14:textId="77777777" w:rsidR="0098670E" w:rsidRDefault="00E20184" w:rsidP="00E20184">
      <w:pPr>
        <w:ind w:left="0" w:firstLine="0"/>
      </w:pPr>
      <w:r>
        <w:tab/>
      </w:r>
      <w:r w:rsidRPr="003D6A03">
        <w:t xml:space="preserve">Исказани буџетски </w:t>
      </w:r>
      <w:r w:rsidR="00431428">
        <w:t>дефицит</w:t>
      </w:r>
      <w:r w:rsidR="00332368">
        <w:t xml:space="preserve">, уз </w:t>
      </w:r>
      <w:r w:rsidR="00CA6AC7">
        <w:t>остварене</w:t>
      </w:r>
      <w:r w:rsidR="009D1770">
        <w:rPr>
          <w:lang w:val="sr-Cyrl-RS"/>
        </w:rPr>
        <w:t xml:space="preserve"> </w:t>
      </w:r>
      <w:r w:rsidR="00431428">
        <w:t>позитивне</w:t>
      </w:r>
      <w:r w:rsidR="00CA6AC7">
        <w:t xml:space="preserve"> ефекте</w:t>
      </w:r>
      <w:r w:rsidR="00B34D0C">
        <w:t xml:space="preserve"> из финансирања у износу </w:t>
      </w:r>
      <w:r w:rsidR="00B34D0C" w:rsidRPr="00CA6AC7">
        <w:t xml:space="preserve">од </w:t>
      </w:r>
      <w:r w:rsidR="00431428" w:rsidRPr="00431428">
        <w:t>345.902,30</w:t>
      </w:r>
      <w:r w:rsidR="00B34D0C" w:rsidRPr="00431428">
        <w:t xml:space="preserve"> КМ,</w:t>
      </w:r>
      <w:r w:rsidR="009D1770">
        <w:rPr>
          <w:lang w:val="sr-Cyrl-RS"/>
        </w:rPr>
        <w:t xml:space="preserve"> </w:t>
      </w:r>
      <w:r w:rsidR="00B34D0C">
        <w:t xml:space="preserve">на крају </w:t>
      </w:r>
      <w:proofErr w:type="spellStart"/>
      <w:r w:rsidR="00B34D0C">
        <w:t>извјештајног</w:t>
      </w:r>
      <w:proofErr w:type="spellEnd"/>
      <w:r w:rsidR="00B34D0C">
        <w:t xml:space="preserve"> периода </w:t>
      </w:r>
      <w:r w:rsidR="00332368" w:rsidRPr="0088167A">
        <w:t xml:space="preserve">даје </w:t>
      </w:r>
      <w:r w:rsidR="0088167A" w:rsidRPr="00F630B1">
        <w:rPr>
          <w:b/>
        </w:rPr>
        <w:t>пози</w:t>
      </w:r>
      <w:r w:rsidR="00332368" w:rsidRPr="00F630B1">
        <w:rPr>
          <w:b/>
        </w:rPr>
        <w:t xml:space="preserve">тиван </w:t>
      </w:r>
      <w:r w:rsidR="009D1770" w:rsidRPr="00F630B1">
        <w:rPr>
          <w:b/>
          <w:lang w:val="sr-Cyrl-RS"/>
        </w:rPr>
        <w:t xml:space="preserve">буџетски резултат </w:t>
      </w:r>
      <w:r w:rsidR="00332368" w:rsidRPr="00F630B1">
        <w:rPr>
          <w:b/>
        </w:rPr>
        <w:t xml:space="preserve">од </w:t>
      </w:r>
      <w:r w:rsidR="00B775DC" w:rsidRPr="00F630B1">
        <w:rPr>
          <w:b/>
          <w:lang w:val="sr-Cyrl-RS"/>
        </w:rPr>
        <w:t xml:space="preserve">      </w:t>
      </w:r>
      <w:r w:rsidR="00431428" w:rsidRPr="00F630B1">
        <w:rPr>
          <w:b/>
        </w:rPr>
        <w:t>65.881,16</w:t>
      </w:r>
      <w:r w:rsidR="00332368" w:rsidRPr="00F630B1">
        <w:rPr>
          <w:b/>
        </w:rPr>
        <w:t xml:space="preserve"> КМ</w:t>
      </w:r>
      <w:r w:rsidR="00332368" w:rsidRPr="00F630B1">
        <w:t>.</w:t>
      </w:r>
    </w:p>
    <w:p w14:paraId="06C2635C" w14:textId="77777777" w:rsidR="00332368" w:rsidRDefault="00332368" w:rsidP="00E20184">
      <w:pPr>
        <w:ind w:left="0" w:firstLine="0"/>
      </w:pPr>
    </w:p>
    <w:p w14:paraId="6A6A631D" w14:textId="77777777" w:rsidR="00053086" w:rsidRDefault="00D55AE9" w:rsidP="00053086">
      <w:pPr>
        <w:ind w:left="0" w:firstLine="0"/>
      </w:pPr>
      <w:r>
        <w:tab/>
      </w:r>
      <w:r w:rsidR="00053086">
        <w:t xml:space="preserve">Скраћени преглед оствареног буџетског резултата у </w:t>
      </w:r>
      <w:r w:rsidR="00A875B1">
        <w:t>2020. години</w:t>
      </w:r>
      <w:r w:rsidR="00053086">
        <w:t xml:space="preserve"> дат је у сљедећој табели:</w:t>
      </w:r>
    </w:p>
    <w:p w14:paraId="0E692D33" w14:textId="77777777" w:rsidR="00383D4F" w:rsidRDefault="00383D4F" w:rsidP="00053086">
      <w:pPr>
        <w:ind w:left="0" w:firstLine="0"/>
      </w:pPr>
    </w:p>
    <w:p w14:paraId="73F7B2F3" w14:textId="77777777" w:rsidR="00A875B1" w:rsidRPr="00A875B1" w:rsidRDefault="00053086" w:rsidP="004B0A19">
      <w:pPr>
        <w:spacing w:before="120"/>
        <w:ind w:left="0" w:firstLine="0"/>
      </w:pPr>
      <w:r>
        <w:t xml:space="preserve">               Табела бр. 1. Остварени буџетск</w:t>
      </w:r>
      <w:r w:rsidR="00767747">
        <w:t>и р</w:t>
      </w:r>
      <w:r w:rsidR="004B0A19">
        <w:t>езултат у периоду 01.01-31.12</w:t>
      </w:r>
      <w:r w:rsidR="0046618E">
        <w:t>.2020</w:t>
      </w:r>
      <w:r>
        <w:t>. године</w:t>
      </w:r>
    </w:p>
    <w:tbl>
      <w:tblPr>
        <w:tblW w:w="8868" w:type="dxa"/>
        <w:tblInd w:w="686" w:type="dxa"/>
        <w:tblLook w:val="04A0" w:firstRow="1" w:lastRow="0" w:firstColumn="1" w:lastColumn="0" w:noHBand="0" w:noVBand="1"/>
      </w:tblPr>
      <w:tblGrid>
        <w:gridCol w:w="960"/>
        <w:gridCol w:w="6128"/>
        <w:gridCol w:w="1780"/>
      </w:tblGrid>
      <w:tr w:rsidR="00A875B1" w:rsidRPr="00A875B1" w14:paraId="5AB9229C" w14:textId="77777777" w:rsidTr="00A875B1">
        <w:trPr>
          <w:trHeight w:val="270"/>
        </w:trPr>
        <w:tc>
          <w:tcPr>
            <w:tcW w:w="960" w:type="dxa"/>
            <w:tcBorders>
              <w:top w:val="double" w:sz="6" w:space="0" w:color="auto"/>
              <w:left w:val="double" w:sz="6" w:space="0" w:color="auto"/>
              <w:bottom w:val="single" w:sz="4" w:space="0" w:color="auto"/>
              <w:right w:val="single" w:sz="4" w:space="0" w:color="auto"/>
            </w:tcBorders>
            <w:shd w:val="clear" w:color="auto" w:fill="auto"/>
            <w:vAlign w:val="center"/>
            <w:hideMark/>
          </w:tcPr>
          <w:p w14:paraId="009901AD" w14:textId="77777777" w:rsidR="00A875B1" w:rsidRPr="00A875B1" w:rsidRDefault="00A875B1" w:rsidP="00A875B1">
            <w:pPr>
              <w:ind w:left="0" w:right="0" w:firstLine="0"/>
              <w:jc w:val="center"/>
              <w:rPr>
                <w:color w:val="000000"/>
                <w:sz w:val="20"/>
                <w:szCs w:val="20"/>
              </w:rPr>
            </w:pPr>
            <w:r w:rsidRPr="00A875B1">
              <w:rPr>
                <w:color w:val="000000"/>
                <w:sz w:val="20"/>
                <w:szCs w:val="20"/>
              </w:rPr>
              <w:t>1</w:t>
            </w:r>
          </w:p>
        </w:tc>
        <w:tc>
          <w:tcPr>
            <w:tcW w:w="6128" w:type="dxa"/>
            <w:tcBorders>
              <w:top w:val="double" w:sz="6" w:space="0" w:color="auto"/>
              <w:left w:val="nil"/>
              <w:bottom w:val="single" w:sz="4" w:space="0" w:color="auto"/>
              <w:right w:val="single" w:sz="4" w:space="0" w:color="auto"/>
            </w:tcBorders>
            <w:shd w:val="clear" w:color="auto" w:fill="auto"/>
            <w:vAlign w:val="center"/>
            <w:hideMark/>
          </w:tcPr>
          <w:p w14:paraId="08E204D2" w14:textId="77777777" w:rsidR="00A875B1" w:rsidRPr="00A875B1" w:rsidRDefault="00A875B1" w:rsidP="00A875B1">
            <w:pPr>
              <w:ind w:left="0" w:right="0" w:firstLine="0"/>
              <w:jc w:val="center"/>
              <w:rPr>
                <w:i/>
                <w:iCs/>
                <w:color w:val="000000"/>
                <w:sz w:val="20"/>
                <w:szCs w:val="20"/>
              </w:rPr>
            </w:pPr>
            <w:r w:rsidRPr="00A875B1">
              <w:rPr>
                <w:i/>
                <w:iCs/>
                <w:color w:val="000000"/>
                <w:sz w:val="20"/>
                <w:szCs w:val="20"/>
              </w:rPr>
              <w:t>Буџетски приходи</w:t>
            </w:r>
          </w:p>
        </w:tc>
        <w:tc>
          <w:tcPr>
            <w:tcW w:w="1780" w:type="dxa"/>
            <w:tcBorders>
              <w:top w:val="double" w:sz="6" w:space="0" w:color="auto"/>
              <w:left w:val="nil"/>
              <w:bottom w:val="single" w:sz="4" w:space="0" w:color="auto"/>
              <w:right w:val="double" w:sz="6" w:space="0" w:color="auto"/>
            </w:tcBorders>
            <w:shd w:val="clear" w:color="auto" w:fill="auto"/>
            <w:vAlign w:val="center"/>
            <w:hideMark/>
          </w:tcPr>
          <w:p w14:paraId="61DF9DE4" w14:textId="77777777" w:rsidR="00A875B1" w:rsidRPr="00A875B1" w:rsidRDefault="00A875B1" w:rsidP="00A875B1">
            <w:pPr>
              <w:ind w:left="0" w:right="0" w:firstLine="0"/>
              <w:jc w:val="right"/>
              <w:rPr>
                <w:color w:val="000000"/>
                <w:sz w:val="20"/>
                <w:szCs w:val="20"/>
              </w:rPr>
            </w:pPr>
            <w:r w:rsidRPr="00A875B1">
              <w:rPr>
                <w:color w:val="000000"/>
                <w:sz w:val="20"/>
                <w:szCs w:val="20"/>
              </w:rPr>
              <w:t>15.430.329,39</w:t>
            </w:r>
          </w:p>
        </w:tc>
      </w:tr>
      <w:tr w:rsidR="00A875B1" w:rsidRPr="00A875B1" w14:paraId="3709900A" w14:textId="77777777" w:rsidTr="00A875B1">
        <w:trPr>
          <w:trHeight w:val="255"/>
        </w:trPr>
        <w:tc>
          <w:tcPr>
            <w:tcW w:w="960" w:type="dxa"/>
            <w:tcBorders>
              <w:top w:val="nil"/>
              <w:left w:val="double" w:sz="6" w:space="0" w:color="auto"/>
              <w:bottom w:val="single" w:sz="4" w:space="0" w:color="auto"/>
              <w:right w:val="single" w:sz="4" w:space="0" w:color="auto"/>
            </w:tcBorders>
            <w:shd w:val="clear" w:color="auto" w:fill="auto"/>
            <w:vAlign w:val="center"/>
            <w:hideMark/>
          </w:tcPr>
          <w:p w14:paraId="0B7196B0" w14:textId="77777777" w:rsidR="00A875B1" w:rsidRPr="00A875B1" w:rsidRDefault="00A875B1" w:rsidP="00A875B1">
            <w:pPr>
              <w:ind w:left="0" w:right="0" w:firstLine="0"/>
              <w:jc w:val="center"/>
              <w:rPr>
                <w:color w:val="000000"/>
                <w:sz w:val="20"/>
                <w:szCs w:val="20"/>
              </w:rPr>
            </w:pPr>
            <w:r w:rsidRPr="00A875B1">
              <w:rPr>
                <w:color w:val="000000"/>
                <w:sz w:val="20"/>
                <w:szCs w:val="20"/>
              </w:rPr>
              <w:t>2</w:t>
            </w:r>
          </w:p>
        </w:tc>
        <w:tc>
          <w:tcPr>
            <w:tcW w:w="6128" w:type="dxa"/>
            <w:tcBorders>
              <w:top w:val="nil"/>
              <w:left w:val="nil"/>
              <w:bottom w:val="single" w:sz="4" w:space="0" w:color="auto"/>
              <w:right w:val="single" w:sz="4" w:space="0" w:color="auto"/>
            </w:tcBorders>
            <w:shd w:val="clear" w:color="auto" w:fill="auto"/>
            <w:vAlign w:val="center"/>
            <w:hideMark/>
          </w:tcPr>
          <w:p w14:paraId="1FAE9383" w14:textId="77777777" w:rsidR="00A875B1" w:rsidRPr="00A875B1" w:rsidRDefault="00A875B1" w:rsidP="00A875B1">
            <w:pPr>
              <w:ind w:left="0" w:right="0" w:firstLine="0"/>
              <w:jc w:val="center"/>
              <w:rPr>
                <w:i/>
                <w:iCs/>
                <w:color w:val="000000"/>
                <w:sz w:val="20"/>
                <w:szCs w:val="20"/>
              </w:rPr>
            </w:pPr>
            <w:r w:rsidRPr="00A875B1">
              <w:rPr>
                <w:i/>
                <w:iCs/>
                <w:color w:val="000000"/>
                <w:sz w:val="20"/>
                <w:szCs w:val="20"/>
              </w:rPr>
              <w:t>Буџетски расходи</w:t>
            </w:r>
          </w:p>
        </w:tc>
        <w:tc>
          <w:tcPr>
            <w:tcW w:w="1780" w:type="dxa"/>
            <w:tcBorders>
              <w:top w:val="nil"/>
              <w:left w:val="nil"/>
              <w:bottom w:val="single" w:sz="4" w:space="0" w:color="auto"/>
              <w:right w:val="double" w:sz="6" w:space="0" w:color="auto"/>
            </w:tcBorders>
            <w:shd w:val="clear" w:color="auto" w:fill="auto"/>
            <w:vAlign w:val="center"/>
            <w:hideMark/>
          </w:tcPr>
          <w:p w14:paraId="075DDD90" w14:textId="77777777" w:rsidR="00A875B1" w:rsidRPr="00A875B1" w:rsidRDefault="00372E3C" w:rsidP="00372E3C">
            <w:pPr>
              <w:ind w:left="0" w:right="0" w:firstLine="0"/>
              <w:jc w:val="right"/>
              <w:rPr>
                <w:sz w:val="20"/>
                <w:szCs w:val="20"/>
              </w:rPr>
            </w:pPr>
            <w:r>
              <w:rPr>
                <w:sz w:val="20"/>
                <w:szCs w:val="20"/>
              </w:rPr>
              <w:t>12.57</w:t>
            </w:r>
            <w:r w:rsidR="00A875B1" w:rsidRPr="00A875B1">
              <w:rPr>
                <w:sz w:val="20"/>
                <w:szCs w:val="20"/>
              </w:rPr>
              <w:t>1.</w:t>
            </w:r>
            <w:r>
              <w:rPr>
                <w:sz w:val="20"/>
                <w:szCs w:val="20"/>
              </w:rPr>
              <w:t>055,1</w:t>
            </w:r>
            <w:r w:rsidR="00A875B1" w:rsidRPr="00A875B1">
              <w:rPr>
                <w:sz w:val="20"/>
                <w:szCs w:val="20"/>
              </w:rPr>
              <w:t>1</w:t>
            </w:r>
          </w:p>
        </w:tc>
      </w:tr>
      <w:tr w:rsidR="00A875B1" w:rsidRPr="00A875B1" w14:paraId="145C5FED" w14:textId="77777777" w:rsidTr="00A875B1">
        <w:trPr>
          <w:trHeight w:val="435"/>
        </w:trPr>
        <w:tc>
          <w:tcPr>
            <w:tcW w:w="960" w:type="dxa"/>
            <w:tcBorders>
              <w:top w:val="nil"/>
              <w:left w:val="double" w:sz="6" w:space="0" w:color="auto"/>
              <w:bottom w:val="single" w:sz="4" w:space="0" w:color="auto"/>
              <w:right w:val="single" w:sz="4" w:space="0" w:color="auto"/>
            </w:tcBorders>
            <w:shd w:val="clear" w:color="auto" w:fill="auto"/>
            <w:vAlign w:val="center"/>
            <w:hideMark/>
          </w:tcPr>
          <w:p w14:paraId="04E7A85A" w14:textId="77777777" w:rsidR="00A875B1" w:rsidRPr="00A875B1" w:rsidRDefault="00A875B1" w:rsidP="00A875B1">
            <w:pPr>
              <w:ind w:left="0" w:right="0" w:firstLine="0"/>
              <w:jc w:val="center"/>
              <w:rPr>
                <w:b/>
                <w:bCs/>
                <w:color w:val="000000"/>
                <w:sz w:val="20"/>
                <w:szCs w:val="20"/>
              </w:rPr>
            </w:pPr>
            <w:r w:rsidRPr="00A875B1">
              <w:rPr>
                <w:b/>
                <w:bCs/>
                <w:color w:val="000000"/>
                <w:sz w:val="20"/>
                <w:szCs w:val="20"/>
              </w:rPr>
              <w:t>I</w:t>
            </w:r>
          </w:p>
        </w:tc>
        <w:tc>
          <w:tcPr>
            <w:tcW w:w="6128" w:type="dxa"/>
            <w:tcBorders>
              <w:top w:val="nil"/>
              <w:left w:val="nil"/>
              <w:bottom w:val="single" w:sz="4" w:space="0" w:color="auto"/>
              <w:right w:val="single" w:sz="4" w:space="0" w:color="auto"/>
            </w:tcBorders>
            <w:shd w:val="clear" w:color="000000" w:fill="FFFF99"/>
            <w:vAlign w:val="center"/>
            <w:hideMark/>
          </w:tcPr>
          <w:p w14:paraId="46323A92" w14:textId="77777777" w:rsidR="00A875B1" w:rsidRPr="00A875B1" w:rsidRDefault="00A875B1" w:rsidP="00A875B1">
            <w:pPr>
              <w:ind w:left="0" w:right="0" w:firstLine="0"/>
              <w:jc w:val="center"/>
              <w:rPr>
                <w:b/>
                <w:bCs/>
                <w:i/>
                <w:iCs/>
                <w:color w:val="000000"/>
                <w:sz w:val="20"/>
                <w:szCs w:val="20"/>
              </w:rPr>
            </w:pPr>
            <w:r w:rsidRPr="00A875B1">
              <w:rPr>
                <w:b/>
                <w:bCs/>
                <w:i/>
                <w:iCs/>
                <w:color w:val="000000"/>
                <w:sz w:val="20"/>
                <w:szCs w:val="20"/>
              </w:rPr>
              <w:t xml:space="preserve">      БРУТО БУЏЕТСКИ СУФИЦИТ I-XII 2020.  (1- 2)</w:t>
            </w:r>
          </w:p>
        </w:tc>
        <w:tc>
          <w:tcPr>
            <w:tcW w:w="1780" w:type="dxa"/>
            <w:tcBorders>
              <w:top w:val="nil"/>
              <w:left w:val="nil"/>
              <w:bottom w:val="single" w:sz="4" w:space="0" w:color="auto"/>
              <w:right w:val="double" w:sz="6" w:space="0" w:color="auto"/>
            </w:tcBorders>
            <w:shd w:val="clear" w:color="000000" w:fill="FFFF99"/>
            <w:vAlign w:val="center"/>
            <w:hideMark/>
          </w:tcPr>
          <w:p w14:paraId="0FFDBD85" w14:textId="77777777" w:rsidR="00A875B1" w:rsidRPr="00A875B1" w:rsidRDefault="00A875B1" w:rsidP="00372E3C">
            <w:pPr>
              <w:ind w:left="0" w:right="0" w:firstLine="0"/>
              <w:jc w:val="right"/>
              <w:rPr>
                <w:b/>
                <w:bCs/>
                <w:color w:val="000000"/>
                <w:sz w:val="20"/>
                <w:szCs w:val="20"/>
              </w:rPr>
            </w:pPr>
            <w:r w:rsidRPr="00A875B1">
              <w:rPr>
                <w:b/>
                <w:bCs/>
                <w:color w:val="000000"/>
                <w:sz w:val="20"/>
                <w:szCs w:val="20"/>
              </w:rPr>
              <w:t>2.8</w:t>
            </w:r>
            <w:r w:rsidR="00372E3C">
              <w:rPr>
                <w:b/>
                <w:bCs/>
                <w:color w:val="000000"/>
                <w:sz w:val="20"/>
                <w:szCs w:val="20"/>
              </w:rPr>
              <w:t>59</w:t>
            </w:r>
            <w:r w:rsidRPr="00A875B1">
              <w:rPr>
                <w:b/>
                <w:bCs/>
                <w:color w:val="000000"/>
                <w:sz w:val="20"/>
                <w:szCs w:val="20"/>
              </w:rPr>
              <w:t>.</w:t>
            </w:r>
            <w:r w:rsidR="00372E3C">
              <w:rPr>
                <w:b/>
                <w:bCs/>
                <w:color w:val="000000"/>
                <w:sz w:val="20"/>
                <w:szCs w:val="20"/>
              </w:rPr>
              <w:t>274</w:t>
            </w:r>
            <w:r w:rsidRPr="00A875B1">
              <w:rPr>
                <w:b/>
                <w:bCs/>
                <w:color w:val="000000"/>
                <w:sz w:val="20"/>
                <w:szCs w:val="20"/>
              </w:rPr>
              <w:t>,</w:t>
            </w:r>
            <w:r w:rsidR="00372E3C">
              <w:rPr>
                <w:b/>
                <w:bCs/>
                <w:color w:val="000000"/>
                <w:sz w:val="20"/>
                <w:szCs w:val="20"/>
              </w:rPr>
              <w:t>2</w:t>
            </w:r>
            <w:r w:rsidRPr="00A875B1">
              <w:rPr>
                <w:b/>
                <w:bCs/>
                <w:color w:val="000000"/>
                <w:sz w:val="20"/>
                <w:szCs w:val="20"/>
              </w:rPr>
              <w:t>8</w:t>
            </w:r>
          </w:p>
        </w:tc>
      </w:tr>
      <w:tr w:rsidR="00A875B1" w:rsidRPr="00A875B1" w14:paraId="75D2497B" w14:textId="77777777" w:rsidTr="00A875B1">
        <w:trPr>
          <w:trHeight w:val="345"/>
        </w:trPr>
        <w:tc>
          <w:tcPr>
            <w:tcW w:w="960" w:type="dxa"/>
            <w:tcBorders>
              <w:top w:val="nil"/>
              <w:left w:val="double" w:sz="6" w:space="0" w:color="auto"/>
              <w:bottom w:val="single" w:sz="4" w:space="0" w:color="auto"/>
              <w:right w:val="single" w:sz="4" w:space="0" w:color="auto"/>
            </w:tcBorders>
            <w:shd w:val="clear" w:color="auto" w:fill="auto"/>
            <w:vAlign w:val="center"/>
            <w:hideMark/>
          </w:tcPr>
          <w:p w14:paraId="36D8BAF3" w14:textId="77777777" w:rsidR="00A875B1" w:rsidRPr="00A875B1" w:rsidRDefault="00A875B1" w:rsidP="00A875B1">
            <w:pPr>
              <w:ind w:left="0" w:right="0" w:firstLine="0"/>
              <w:jc w:val="center"/>
              <w:rPr>
                <w:b/>
                <w:bCs/>
                <w:color w:val="000000"/>
                <w:sz w:val="20"/>
                <w:szCs w:val="20"/>
              </w:rPr>
            </w:pPr>
            <w:r w:rsidRPr="00A875B1">
              <w:rPr>
                <w:b/>
                <w:bCs/>
                <w:color w:val="000000"/>
                <w:sz w:val="20"/>
                <w:szCs w:val="20"/>
              </w:rPr>
              <w:t>II</w:t>
            </w:r>
          </w:p>
        </w:tc>
        <w:tc>
          <w:tcPr>
            <w:tcW w:w="6128" w:type="dxa"/>
            <w:tcBorders>
              <w:top w:val="nil"/>
              <w:left w:val="nil"/>
              <w:bottom w:val="single" w:sz="4" w:space="0" w:color="auto"/>
              <w:right w:val="single" w:sz="4" w:space="0" w:color="auto"/>
            </w:tcBorders>
            <w:shd w:val="clear" w:color="auto" w:fill="auto"/>
            <w:vAlign w:val="center"/>
            <w:hideMark/>
          </w:tcPr>
          <w:p w14:paraId="3388CA6E" w14:textId="77777777" w:rsidR="00A875B1" w:rsidRPr="00A875B1" w:rsidRDefault="00A875B1" w:rsidP="00A875B1">
            <w:pPr>
              <w:ind w:left="0" w:right="0" w:firstLine="0"/>
              <w:jc w:val="center"/>
              <w:rPr>
                <w:b/>
                <w:bCs/>
                <w:i/>
                <w:iCs/>
                <w:color w:val="000000"/>
                <w:sz w:val="20"/>
                <w:szCs w:val="20"/>
              </w:rPr>
            </w:pPr>
            <w:r w:rsidRPr="00A875B1">
              <w:rPr>
                <w:b/>
                <w:bCs/>
                <w:i/>
                <w:iCs/>
                <w:color w:val="000000"/>
                <w:sz w:val="20"/>
                <w:szCs w:val="20"/>
              </w:rPr>
              <w:t xml:space="preserve">Нето издаци за </w:t>
            </w:r>
            <w:proofErr w:type="spellStart"/>
            <w:r w:rsidRPr="00A875B1">
              <w:rPr>
                <w:b/>
                <w:bCs/>
                <w:i/>
                <w:iCs/>
                <w:color w:val="000000"/>
                <w:sz w:val="20"/>
                <w:szCs w:val="20"/>
              </w:rPr>
              <w:t>нефинансијску</w:t>
            </w:r>
            <w:proofErr w:type="spellEnd"/>
            <w:r w:rsidRPr="00A875B1">
              <w:rPr>
                <w:b/>
                <w:bCs/>
                <w:i/>
                <w:iCs/>
                <w:color w:val="000000"/>
                <w:sz w:val="20"/>
                <w:szCs w:val="20"/>
              </w:rPr>
              <w:t xml:space="preserve"> имовину (3-4)</w:t>
            </w:r>
          </w:p>
        </w:tc>
        <w:tc>
          <w:tcPr>
            <w:tcW w:w="1780" w:type="dxa"/>
            <w:tcBorders>
              <w:top w:val="nil"/>
              <w:left w:val="nil"/>
              <w:bottom w:val="single" w:sz="4" w:space="0" w:color="auto"/>
              <w:right w:val="double" w:sz="6" w:space="0" w:color="auto"/>
            </w:tcBorders>
            <w:shd w:val="clear" w:color="auto" w:fill="auto"/>
            <w:vAlign w:val="center"/>
            <w:hideMark/>
          </w:tcPr>
          <w:p w14:paraId="21CAA2BF" w14:textId="77777777" w:rsidR="00A875B1" w:rsidRPr="00A875B1" w:rsidRDefault="00A875B1" w:rsidP="00A875B1">
            <w:pPr>
              <w:ind w:left="0" w:right="0" w:firstLine="0"/>
              <w:jc w:val="right"/>
              <w:rPr>
                <w:b/>
                <w:bCs/>
                <w:color w:val="000000"/>
                <w:sz w:val="20"/>
                <w:szCs w:val="20"/>
              </w:rPr>
            </w:pPr>
            <w:r w:rsidRPr="00A875B1">
              <w:rPr>
                <w:b/>
                <w:bCs/>
                <w:color w:val="000000"/>
                <w:sz w:val="20"/>
                <w:szCs w:val="20"/>
              </w:rPr>
              <w:t>-3.139.295,42</w:t>
            </w:r>
          </w:p>
        </w:tc>
      </w:tr>
      <w:tr w:rsidR="00A875B1" w:rsidRPr="00A875B1" w14:paraId="07193915" w14:textId="77777777" w:rsidTr="00A875B1">
        <w:trPr>
          <w:trHeight w:val="255"/>
        </w:trPr>
        <w:tc>
          <w:tcPr>
            <w:tcW w:w="960" w:type="dxa"/>
            <w:tcBorders>
              <w:top w:val="nil"/>
              <w:left w:val="double" w:sz="6" w:space="0" w:color="auto"/>
              <w:bottom w:val="single" w:sz="4" w:space="0" w:color="auto"/>
              <w:right w:val="single" w:sz="4" w:space="0" w:color="auto"/>
            </w:tcBorders>
            <w:shd w:val="clear" w:color="auto" w:fill="auto"/>
            <w:vAlign w:val="center"/>
            <w:hideMark/>
          </w:tcPr>
          <w:p w14:paraId="1F59FA8F" w14:textId="77777777" w:rsidR="00A875B1" w:rsidRPr="00A875B1" w:rsidRDefault="00A875B1" w:rsidP="00A875B1">
            <w:pPr>
              <w:ind w:left="0" w:right="0" w:firstLine="0"/>
              <w:jc w:val="center"/>
              <w:rPr>
                <w:color w:val="000000"/>
                <w:sz w:val="20"/>
                <w:szCs w:val="20"/>
              </w:rPr>
            </w:pPr>
            <w:r w:rsidRPr="00A875B1">
              <w:rPr>
                <w:color w:val="000000"/>
                <w:sz w:val="20"/>
                <w:szCs w:val="20"/>
              </w:rPr>
              <w:t>3</w:t>
            </w:r>
          </w:p>
        </w:tc>
        <w:tc>
          <w:tcPr>
            <w:tcW w:w="6128" w:type="dxa"/>
            <w:tcBorders>
              <w:top w:val="nil"/>
              <w:left w:val="nil"/>
              <w:bottom w:val="single" w:sz="4" w:space="0" w:color="auto"/>
              <w:right w:val="single" w:sz="4" w:space="0" w:color="auto"/>
            </w:tcBorders>
            <w:shd w:val="clear" w:color="auto" w:fill="auto"/>
            <w:vAlign w:val="center"/>
            <w:hideMark/>
          </w:tcPr>
          <w:p w14:paraId="59EDF1A0" w14:textId="77777777" w:rsidR="00A875B1" w:rsidRPr="00A875B1" w:rsidRDefault="00A875B1" w:rsidP="00A875B1">
            <w:pPr>
              <w:ind w:left="0" w:right="0" w:firstLine="0"/>
              <w:jc w:val="center"/>
              <w:rPr>
                <w:i/>
                <w:iCs/>
                <w:color w:val="000000"/>
                <w:sz w:val="20"/>
                <w:szCs w:val="20"/>
              </w:rPr>
            </w:pPr>
            <w:r w:rsidRPr="00A875B1">
              <w:rPr>
                <w:i/>
                <w:iCs/>
                <w:color w:val="000000"/>
                <w:sz w:val="20"/>
                <w:szCs w:val="20"/>
              </w:rPr>
              <w:t xml:space="preserve">    Примици за </w:t>
            </w:r>
            <w:proofErr w:type="spellStart"/>
            <w:r w:rsidRPr="00A875B1">
              <w:rPr>
                <w:i/>
                <w:iCs/>
                <w:color w:val="000000"/>
                <w:sz w:val="20"/>
                <w:szCs w:val="20"/>
              </w:rPr>
              <w:t>нефинансијску</w:t>
            </w:r>
            <w:proofErr w:type="spellEnd"/>
            <w:r w:rsidRPr="00A875B1">
              <w:rPr>
                <w:i/>
                <w:iCs/>
                <w:color w:val="000000"/>
                <w:sz w:val="20"/>
                <w:szCs w:val="20"/>
              </w:rPr>
              <w:t xml:space="preserve"> имовину</w:t>
            </w:r>
          </w:p>
        </w:tc>
        <w:tc>
          <w:tcPr>
            <w:tcW w:w="1780" w:type="dxa"/>
            <w:tcBorders>
              <w:top w:val="nil"/>
              <w:left w:val="nil"/>
              <w:bottom w:val="single" w:sz="4" w:space="0" w:color="auto"/>
              <w:right w:val="double" w:sz="6" w:space="0" w:color="auto"/>
            </w:tcBorders>
            <w:shd w:val="clear" w:color="auto" w:fill="auto"/>
            <w:vAlign w:val="center"/>
            <w:hideMark/>
          </w:tcPr>
          <w:p w14:paraId="185B7160" w14:textId="77777777" w:rsidR="00A875B1" w:rsidRPr="00A875B1" w:rsidRDefault="00A875B1" w:rsidP="00A875B1">
            <w:pPr>
              <w:ind w:left="0" w:right="0" w:firstLine="0"/>
              <w:jc w:val="right"/>
              <w:rPr>
                <w:sz w:val="20"/>
                <w:szCs w:val="20"/>
              </w:rPr>
            </w:pPr>
            <w:r w:rsidRPr="00A875B1">
              <w:rPr>
                <w:sz w:val="20"/>
                <w:szCs w:val="20"/>
              </w:rPr>
              <w:t>140.413,11</w:t>
            </w:r>
          </w:p>
        </w:tc>
      </w:tr>
      <w:tr w:rsidR="00A875B1" w:rsidRPr="00A875B1" w14:paraId="138A3A0F" w14:textId="77777777" w:rsidTr="00A875B1">
        <w:trPr>
          <w:trHeight w:val="255"/>
        </w:trPr>
        <w:tc>
          <w:tcPr>
            <w:tcW w:w="960" w:type="dxa"/>
            <w:tcBorders>
              <w:top w:val="nil"/>
              <w:left w:val="double" w:sz="6" w:space="0" w:color="auto"/>
              <w:bottom w:val="single" w:sz="4" w:space="0" w:color="auto"/>
              <w:right w:val="single" w:sz="4" w:space="0" w:color="auto"/>
            </w:tcBorders>
            <w:shd w:val="clear" w:color="auto" w:fill="auto"/>
            <w:vAlign w:val="center"/>
            <w:hideMark/>
          </w:tcPr>
          <w:p w14:paraId="6DAF9FDC" w14:textId="77777777" w:rsidR="00A875B1" w:rsidRPr="00A875B1" w:rsidRDefault="00A875B1" w:rsidP="00A875B1">
            <w:pPr>
              <w:ind w:left="0" w:right="0" w:firstLine="0"/>
              <w:jc w:val="center"/>
              <w:rPr>
                <w:color w:val="000000"/>
                <w:sz w:val="20"/>
                <w:szCs w:val="20"/>
              </w:rPr>
            </w:pPr>
            <w:r w:rsidRPr="00A875B1">
              <w:rPr>
                <w:color w:val="000000"/>
                <w:sz w:val="20"/>
                <w:szCs w:val="20"/>
              </w:rPr>
              <w:t>4</w:t>
            </w:r>
          </w:p>
        </w:tc>
        <w:tc>
          <w:tcPr>
            <w:tcW w:w="6128" w:type="dxa"/>
            <w:tcBorders>
              <w:top w:val="nil"/>
              <w:left w:val="nil"/>
              <w:bottom w:val="single" w:sz="4" w:space="0" w:color="auto"/>
              <w:right w:val="single" w:sz="4" w:space="0" w:color="auto"/>
            </w:tcBorders>
            <w:shd w:val="clear" w:color="auto" w:fill="auto"/>
            <w:vAlign w:val="center"/>
            <w:hideMark/>
          </w:tcPr>
          <w:p w14:paraId="0594B4D6" w14:textId="77777777" w:rsidR="00A875B1" w:rsidRPr="00A875B1" w:rsidRDefault="00A875B1" w:rsidP="00A875B1">
            <w:pPr>
              <w:ind w:left="0" w:right="0" w:firstLine="0"/>
              <w:jc w:val="center"/>
              <w:rPr>
                <w:i/>
                <w:iCs/>
                <w:color w:val="000000"/>
                <w:sz w:val="20"/>
                <w:szCs w:val="20"/>
              </w:rPr>
            </w:pPr>
            <w:r w:rsidRPr="00A875B1">
              <w:rPr>
                <w:i/>
                <w:iCs/>
                <w:color w:val="000000"/>
                <w:sz w:val="20"/>
                <w:szCs w:val="20"/>
              </w:rPr>
              <w:t xml:space="preserve">    Издаци за </w:t>
            </w:r>
            <w:proofErr w:type="spellStart"/>
            <w:r w:rsidRPr="00A875B1">
              <w:rPr>
                <w:i/>
                <w:iCs/>
                <w:color w:val="000000"/>
                <w:sz w:val="20"/>
                <w:szCs w:val="20"/>
              </w:rPr>
              <w:t>нефинансијску</w:t>
            </w:r>
            <w:proofErr w:type="spellEnd"/>
            <w:r w:rsidRPr="00A875B1">
              <w:rPr>
                <w:i/>
                <w:iCs/>
                <w:color w:val="000000"/>
                <w:sz w:val="20"/>
                <w:szCs w:val="20"/>
              </w:rPr>
              <w:t xml:space="preserve"> имовину</w:t>
            </w:r>
          </w:p>
        </w:tc>
        <w:tc>
          <w:tcPr>
            <w:tcW w:w="1780" w:type="dxa"/>
            <w:tcBorders>
              <w:top w:val="nil"/>
              <w:left w:val="nil"/>
              <w:bottom w:val="single" w:sz="4" w:space="0" w:color="auto"/>
              <w:right w:val="double" w:sz="6" w:space="0" w:color="auto"/>
            </w:tcBorders>
            <w:shd w:val="clear" w:color="auto" w:fill="auto"/>
            <w:vAlign w:val="center"/>
            <w:hideMark/>
          </w:tcPr>
          <w:p w14:paraId="34EA173C" w14:textId="77777777" w:rsidR="00A875B1" w:rsidRPr="00A875B1" w:rsidRDefault="00A875B1" w:rsidP="00A875B1">
            <w:pPr>
              <w:ind w:left="0" w:right="0" w:firstLine="0"/>
              <w:jc w:val="right"/>
              <w:rPr>
                <w:sz w:val="20"/>
                <w:szCs w:val="20"/>
              </w:rPr>
            </w:pPr>
            <w:r w:rsidRPr="00A875B1">
              <w:rPr>
                <w:sz w:val="20"/>
                <w:szCs w:val="20"/>
              </w:rPr>
              <w:t>3.279.708,53</w:t>
            </w:r>
          </w:p>
        </w:tc>
      </w:tr>
      <w:tr w:rsidR="00A875B1" w:rsidRPr="00A875B1" w14:paraId="2C9A844E" w14:textId="77777777" w:rsidTr="00A875B1">
        <w:trPr>
          <w:trHeight w:val="420"/>
        </w:trPr>
        <w:tc>
          <w:tcPr>
            <w:tcW w:w="960" w:type="dxa"/>
            <w:tcBorders>
              <w:top w:val="nil"/>
              <w:left w:val="double" w:sz="6" w:space="0" w:color="auto"/>
              <w:bottom w:val="single" w:sz="4" w:space="0" w:color="auto"/>
              <w:right w:val="single" w:sz="4" w:space="0" w:color="auto"/>
            </w:tcBorders>
            <w:shd w:val="clear" w:color="auto" w:fill="auto"/>
            <w:vAlign w:val="center"/>
            <w:hideMark/>
          </w:tcPr>
          <w:p w14:paraId="38E1FC16" w14:textId="77777777" w:rsidR="00A875B1" w:rsidRPr="00A875B1" w:rsidRDefault="00A875B1" w:rsidP="00A875B1">
            <w:pPr>
              <w:ind w:left="0" w:right="0" w:firstLine="0"/>
              <w:jc w:val="center"/>
              <w:rPr>
                <w:b/>
                <w:bCs/>
                <w:color w:val="000000"/>
                <w:sz w:val="20"/>
                <w:szCs w:val="20"/>
              </w:rPr>
            </w:pPr>
            <w:r w:rsidRPr="00A875B1">
              <w:rPr>
                <w:b/>
                <w:bCs/>
                <w:color w:val="000000"/>
                <w:sz w:val="20"/>
                <w:szCs w:val="20"/>
              </w:rPr>
              <w:t xml:space="preserve">III </w:t>
            </w:r>
          </w:p>
        </w:tc>
        <w:tc>
          <w:tcPr>
            <w:tcW w:w="6128" w:type="dxa"/>
            <w:tcBorders>
              <w:top w:val="nil"/>
              <w:left w:val="nil"/>
              <w:bottom w:val="single" w:sz="4" w:space="0" w:color="auto"/>
              <w:right w:val="single" w:sz="4" w:space="0" w:color="auto"/>
            </w:tcBorders>
            <w:shd w:val="clear" w:color="000000" w:fill="FFFF99"/>
            <w:vAlign w:val="center"/>
            <w:hideMark/>
          </w:tcPr>
          <w:p w14:paraId="50909907" w14:textId="77777777" w:rsidR="00A875B1" w:rsidRPr="00A875B1" w:rsidRDefault="00A875B1" w:rsidP="00A875B1">
            <w:pPr>
              <w:ind w:left="0" w:right="0" w:firstLine="0"/>
              <w:jc w:val="center"/>
              <w:rPr>
                <w:b/>
                <w:bCs/>
                <w:i/>
                <w:iCs/>
                <w:color w:val="000000"/>
                <w:sz w:val="20"/>
                <w:szCs w:val="20"/>
              </w:rPr>
            </w:pPr>
            <w:r w:rsidRPr="00A875B1">
              <w:rPr>
                <w:b/>
                <w:bCs/>
                <w:i/>
                <w:iCs/>
                <w:color w:val="000000"/>
                <w:sz w:val="20"/>
                <w:szCs w:val="20"/>
              </w:rPr>
              <w:t>БУЏЕТСКИ СУФИЦИТ I-XII 2020.  (I + II)</w:t>
            </w:r>
          </w:p>
        </w:tc>
        <w:tc>
          <w:tcPr>
            <w:tcW w:w="1780" w:type="dxa"/>
            <w:tcBorders>
              <w:top w:val="nil"/>
              <w:left w:val="nil"/>
              <w:bottom w:val="single" w:sz="4" w:space="0" w:color="auto"/>
              <w:right w:val="double" w:sz="6" w:space="0" w:color="auto"/>
            </w:tcBorders>
            <w:shd w:val="clear" w:color="000000" w:fill="FFFF99"/>
            <w:vAlign w:val="center"/>
            <w:hideMark/>
          </w:tcPr>
          <w:p w14:paraId="564B94DB" w14:textId="77777777" w:rsidR="00A875B1" w:rsidRPr="00A875B1" w:rsidRDefault="00372E3C" w:rsidP="00372E3C">
            <w:pPr>
              <w:ind w:left="0" w:right="0" w:firstLine="0"/>
              <w:jc w:val="right"/>
              <w:rPr>
                <w:b/>
                <w:bCs/>
                <w:color w:val="000000"/>
                <w:sz w:val="20"/>
                <w:szCs w:val="20"/>
              </w:rPr>
            </w:pPr>
            <w:r>
              <w:rPr>
                <w:b/>
                <w:bCs/>
                <w:color w:val="000000"/>
                <w:sz w:val="20"/>
                <w:szCs w:val="20"/>
              </w:rPr>
              <w:t>-28</w:t>
            </w:r>
            <w:r w:rsidR="00A875B1" w:rsidRPr="00A875B1">
              <w:rPr>
                <w:b/>
                <w:bCs/>
                <w:color w:val="000000"/>
                <w:sz w:val="20"/>
                <w:szCs w:val="20"/>
              </w:rPr>
              <w:t>0.</w:t>
            </w:r>
            <w:r>
              <w:rPr>
                <w:b/>
                <w:bCs/>
                <w:color w:val="000000"/>
                <w:sz w:val="20"/>
                <w:szCs w:val="20"/>
              </w:rPr>
              <w:t>021,1</w:t>
            </w:r>
            <w:r w:rsidR="00A875B1" w:rsidRPr="00A875B1">
              <w:rPr>
                <w:b/>
                <w:bCs/>
                <w:color w:val="000000"/>
                <w:sz w:val="20"/>
                <w:szCs w:val="20"/>
              </w:rPr>
              <w:t>4</w:t>
            </w:r>
          </w:p>
        </w:tc>
      </w:tr>
      <w:tr w:rsidR="00A875B1" w:rsidRPr="00A875B1" w14:paraId="164602ED" w14:textId="77777777" w:rsidTr="00A875B1">
        <w:trPr>
          <w:trHeight w:val="315"/>
        </w:trPr>
        <w:tc>
          <w:tcPr>
            <w:tcW w:w="960" w:type="dxa"/>
            <w:tcBorders>
              <w:top w:val="nil"/>
              <w:left w:val="double" w:sz="6" w:space="0" w:color="auto"/>
              <w:bottom w:val="single" w:sz="4" w:space="0" w:color="auto"/>
              <w:right w:val="single" w:sz="4" w:space="0" w:color="auto"/>
            </w:tcBorders>
            <w:shd w:val="clear" w:color="auto" w:fill="auto"/>
            <w:vAlign w:val="center"/>
            <w:hideMark/>
          </w:tcPr>
          <w:p w14:paraId="3ED269A5" w14:textId="77777777" w:rsidR="00A875B1" w:rsidRPr="00A875B1" w:rsidRDefault="00A875B1" w:rsidP="00A875B1">
            <w:pPr>
              <w:ind w:left="0" w:right="0" w:firstLine="0"/>
              <w:jc w:val="center"/>
              <w:rPr>
                <w:b/>
                <w:bCs/>
                <w:color w:val="000000"/>
                <w:sz w:val="20"/>
                <w:szCs w:val="20"/>
              </w:rPr>
            </w:pPr>
            <w:r w:rsidRPr="00A875B1">
              <w:rPr>
                <w:b/>
                <w:bCs/>
                <w:color w:val="000000"/>
                <w:sz w:val="20"/>
                <w:szCs w:val="20"/>
              </w:rPr>
              <w:t>IV</w:t>
            </w:r>
          </w:p>
        </w:tc>
        <w:tc>
          <w:tcPr>
            <w:tcW w:w="6128" w:type="dxa"/>
            <w:tcBorders>
              <w:top w:val="nil"/>
              <w:left w:val="nil"/>
              <w:bottom w:val="single" w:sz="4" w:space="0" w:color="auto"/>
              <w:right w:val="single" w:sz="4" w:space="0" w:color="auto"/>
            </w:tcBorders>
            <w:shd w:val="clear" w:color="auto" w:fill="auto"/>
            <w:vAlign w:val="center"/>
            <w:hideMark/>
          </w:tcPr>
          <w:p w14:paraId="292BB975" w14:textId="77777777" w:rsidR="00A875B1" w:rsidRPr="00A875B1" w:rsidRDefault="00A875B1" w:rsidP="00A875B1">
            <w:pPr>
              <w:ind w:left="0" w:right="0" w:firstLine="0"/>
              <w:jc w:val="center"/>
              <w:rPr>
                <w:b/>
                <w:bCs/>
                <w:i/>
                <w:iCs/>
                <w:color w:val="000000"/>
                <w:sz w:val="20"/>
                <w:szCs w:val="20"/>
              </w:rPr>
            </w:pPr>
            <w:r w:rsidRPr="00A875B1">
              <w:rPr>
                <w:b/>
                <w:bCs/>
                <w:i/>
                <w:iCs/>
                <w:color w:val="000000"/>
                <w:sz w:val="20"/>
                <w:szCs w:val="20"/>
              </w:rPr>
              <w:t>Нето финансирање (5-6+7-8+9-10+11)</w:t>
            </w:r>
          </w:p>
        </w:tc>
        <w:tc>
          <w:tcPr>
            <w:tcW w:w="1780" w:type="dxa"/>
            <w:tcBorders>
              <w:top w:val="nil"/>
              <w:left w:val="nil"/>
              <w:bottom w:val="single" w:sz="4" w:space="0" w:color="auto"/>
              <w:right w:val="double" w:sz="6" w:space="0" w:color="auto"/>
            </w:tcBorders>
            <w:shd w:val="clear" w:color="auto" w:fill="auto"/>
            <w:vAlign w:val="center"/>
            <w:hideMark/>
          </w:tcPr>
          <w:p w14:paraId="0D76812B" w14:textId="77777777" w:rsidR="00A875B1" w:rsidRPr="00A875B1" w:rsidRDefault="00A875B1" w:rsidP="00A875B1">
            <w:pPr>
              <w:ind w:left="0" w:right="0" w:firstLine="0"/>
              <w:jc w:val="right"/>
              <w:rPr>
                <w:b/>
                <w:bCs/>
                <w:color w:val="000000"/>
                <w:sz w:val="20"/>
                <w:szCs w:val="20"/>
              </w:rPr>
            </w:pPr>
            <w:r w:rsidRPr="00A875B1">
              <w:rPr>
                <w:b/>
                <w:bCs/>
                <w:color w:val="000000"/>
                <w:sz w:val="20"/>
                <w:szCs w:val="20"/>
              </w:rPr>
              <w:t>345.902,30</w:t>
            </w:r>
          </w:p>
        </w:tc>
      </w:tr>
      <w:tr w:rsidR="00A875B1" w:rsidRPr="00A875B1" w14:paraId="6ADD552A" w14:textId="77777777" w:rsidTr="00A875B1">
        <w:trPr>
          <w:trHeight w:val="255"/>
        </w:trPr>
        <w:tc>
          <w:tcPr>
            <w:tcW w:w="960" w:type="dxa"/>
            <w:tcBorders>
              <w:top w:val="nil"/>
              <w:left w:val="double" w:sz="6" w:space="0" w:color="auto"/>
              <w:bottom w:val="single" w:sz="4" w:space="0" w:color="auto"/>
              <w:right w:val="single" w:sz="4" w:space="0" w:color="auto"/>
            </w:tcBorders>
            <w:shd w:val="clear" w:color="auto" w:fill="auto"/>
            <w:vAlign w:val="center"/>
            <w:hideMark/>
          </w:tcPr>
          <w:p w14:paraId="16EAE956" w14:textId="77777777" w:rsidR="00A875B1" w:rsidRPr="00A875B1" w:rsidRDefault="00A875B1" w:rsidP="00A875B1">
            <w:pPr>
              <w:ind w:left="0" w:right="0" w:firstLine="0"/>
              <w:jc w:val="center"/>
              <w:rPr>
                <w:color w:val="000000"/>
                <w:sz w:val="20"/>
                <w:szCs w:val="20"/>
              </w:rPr>
            </w:pPr>
            <w:r w:rsidRPr="00A875B1">
              <w:rPr>
                <w:color w:val="000000"/>
                <w:sz w:val="20"/>
                <w:szCs w:val="20"/>
              </w:rPr>
              <w:t>5</w:t>
            </w:r>
          </w:p>
        </w:tc>
        <w:tc>
          <w:tcPr>
            <w:tcW w:w="6128" w:type="dxa"/>
            <w:tcBorders>
              <w:top w:val="nil"/>
              <w:left w:val="nil"/>
              <w:bottom w:val="single" w:sz="4" w:space="0" w:color="auto"/>
              <w:right w:val="single" w:sz="4" w:space="0" w:color="auto"/>
            </w:tcBorders>
            <w:shd w:val="clear" w:color="auto" w:fill="auto"/>
            <w:vAlign w:val="center"/>
            <w:hideMark/>
          </w:tcPr>
          <w:p w14:paraId="4D06344D" w14:textId="77777777" w:rsidR="00A875B1" w:rsidRPr="00A875B1" w:rsidRDefault="00A875B1" w:rsidP="00A875B1">
            <w:pPr>
              <w:ind w:left="0" w:right="0" w:firstLine="0"/>
              <w:jc w:val="center"/>
              <w:rPr>
                <w:i/>
                <w:iCs/>
                <w:color w:val="000000"/>
                <w:sz w:val="20"/>
                <w:szCs w:val="20"/>
              </w:rPr>
            </w:pPr>
            <w:r w:rsidRPr="00A875B1">
              <w:rPr>
                <w:i/>
                <w:iCs/>
                <w:color w:val="000000"/>
                <w:sz w:val="20"/>
                <w:szCs w:val="20"/>
              </w:rPr>
              <w:t>Примици од финансијске имовине</w:t>
            </w:r>
          </w:p>
        </w:tc>
        <w:tc>
          <w:tcPr>
            <w:tcW w:w="1780" w:type="dxa"/>
            <w:tcBorders>
              <w:top w:val="nil"/>
              <w:left w:val="nil"/>
              <w:bottom w:val="single" w:sz="4" w:space="0" w:color="auto"/>
              <w:right w:val="double" w:sz="6" w:space="0" w:color="auto"/>
            </w:tcBorders>
            <w:shd w:val="clear" w:color="auto" w:fill="auto"/>
            <w:vAlign w:val="center"/>
            <w:hideMark/>
          </w:tcPr>
          <w:p w14:paraId="02114053" w14:textId="77777777" w:rsidR="00A875B1" w:rsidRPr="00A875B1" w:rsidRDefault="00A875B1" w:rsidP="00A875B1">
            <w:pPr>
              <w:ind w:left="0" w:right="0" w:firstLine="0"/>
              <w:jc w:val="right"/>
              <w:rPr>
                <w:color w:val="000000"/>
                <w:sz w:val="20"/>
                <w:szCs w:val="20"/>
              </w:rPr>
            </w:pPr>
            <w:r w:rsidRPr="00A875B1">
              <w:rPr>
                <w:color w:val="000000"/>
                <w:sz w:val="20"/>
                <w:szCs w:val="20"/>
              </w:rPr>
              <w:t>70.577,58</w:t>
            </w:r>
          </w:p>
        </w:tc>
      </w:tr>
      <w:tr w:rsidR="00A875B1" w:rsidRPr="00A875B1" w14:paraId="0DF70A5C" w14:textId="77777777" w:rsidTr="00A875B1">
        <w:trPr>
          <w:trHeight w:val="255"/>
        </w:trPr>
        <w:tc>
          <w:tcPr>
            <w:tcW w:w="960" w:type="dxa"/>
            <w:tcBorders>
              <w:top w:val="nil"/>
              <w:left w:val="double" w:sz="6" w:space="0" w:color="auto"/>
              <w:bottom w:val="single" w:sz="4" w:space="0" w:color="auto"/>
              <w:right w:val="single" w:sz="4" w:space="0" w:color="auto"/>
            </w:tcBorders>
            <w:shd w:val="clear" w:color="auto" w:fill="auto"/>
            <w:vAlign w:val="center"/>
            <w:hideMark/>
          </w:tcPr>
          <w:p w14:paraId="4819221F" w14:textId="77777777" w:rsidR="00A875B1" w:rsidRPr="00A875B1" w:rsidRDefault="00A875B1" w:rsidP="00A875B1">
            <w:pPr>
              <w:ind w:left="0" w:right="0" w:firstLine="0"/>
              <w:jc w:val="center"/>
              <w:rPr>
                <w:color w:val="000000"/>
                <w:sz w:val="20"/>
                <w:szCs w:val="20"/>
              </w:rPr>
            </w:pPr>
            <w:r w:rsidRPr="00A875B1">
              <w:rPr>
                <w:color w:val="000000"/>
                <w:sz w:val="20"/>
                <w:szCs w:val="20"/>
              </w:rPr>
              <w:t>6</w:t>
            </w:r>
          </w:p>
        </w:tc>
        <w:tc>
          <w:tcPr>
            <w:tcW w:w="6128" w:type="dxa"/>
            <w:tcBorders>
              <w:top w:val="nil"/>
              <w:left w:val="nil"/>
              <w:bottom w:val="single" w:sz="4" w:space="0" w:color="auto"/>
              <w:right w:val="single" w:sz="4" w:space="0" w:color="auto"/>
            </w:tcBorders>
            <w:shd w:val="clear" w:color="auto" w:fill="auto"/>
            <w:vAlign w:val="center"/>
            <w:hideMark/>
          </w:tcPr>
          <w:p w14:paraId="073EE565" w14:textId="77777777" w:rsidR="00A875B1" w:rsidRPr="00A875B1" w:rsidRDefault="00A875B1" w:rsidP="00A875B1">
            <w:pPr>
              <w:ind w:left="0" w:right="0" w:firstLine="0"/>
              <w:jc w:val="center"/>
              <w:rPr>
                <w:i/>
                <w:iCs/>
                <w:color w:val="000000"/>
                <w:sz w:val="20"/>
                <w:szCs w:val="20"/>
              </w:rPr>
            </w:pPr>
            <w:r w:rsidRPr="00A875B1">
              <w:rPr>
                <w:i/>
                <w:iCs/>
                <w:color w:val="000000"/>
                <w:sz w:val="20"/>
                <w:szCs w:val="20"/>
              </w:rPr>
              <w:t>Издаци за финансијску имовину</w:t>
            </w:r>
          </w:p>
        </w:tc>
        <w:tc>
          <w:tcPr>
            <w:tcW w:w="1780" w:type="dxa"/>
            <w:tcBorders>
              <w:top w:val="nil"/>
              <w:left w:val="nil"/>
              <w:bottom w:val="single" w:sz="4" w:space="0" w:color="auto"/>
              <w:right w:val="double" w:sz="6" w:space="0" w:color="auto"/>
            </w:tcBorders>
            <w:shd w:val="clear" w:color="auto" w:fill="auto"/>
            <w:vAlign w:val="center"/>
            <w:hideMark/>
          </w:tcPr>
          <w:p w14:paraId="12F2F6E9" w14:textId="77777777" w:rsidR="00A875B1" w:rsidRPr="00A875B1" w:rsidRDefault="00A875B1" w:rsidP="00A875B1">
            <w:pPr>
              <w:ind w:left="0" w:right="0" w:firstLine="0"/>
              <w:jc w:val="right"/>
              <w:rPr>
                <w:color w:val="000000"/>
                <w:sz w:val="20"/>
                <w:szCs w:val="20"/>
              </w:rPr>
            </w:pPr>
            <w:r w:rsidRPr="00A875B1">
              <w:rPr>
                <w:color w:val="000000"/>
                <w:sz w:val="20"/>
                <w:szCs w:val="20"/>
              </w:rPr>
              <w:t>0,00</w:t>
            </w:r>
          </w:p>
        </w:tc>
      </w:tr>
      <w:tr w:rsidR="00A875B1" w:rsidRPr="00A875B1" w14:paraId="4D28751D" w14:textId="77777777" w:rsidTr="00A875B1">
        <w:trPr>
          <w:trHeight w:val="255"/>
        </w:trPr>
        <w:tc>
          <w:tcPr>
            <w:tcW w:w="960" w:type="dxa"/>
            <w:tcBorders>
              <w:top w:val="nil"/>
              <w:left w:val="double" w:sz="6" w:space="0" w:color="auto"/>
              <w:bottom w:val="single" w:sz="4" w:space="0" w:color="auto"/>
              <w:right w:val="single" w:sz="4" w:space="0" w:color="auto"/>
            </w:tcBorders>
            <w:shd w:val="clear" w:color="auto" w:fill="auto"/>
            <w:vAlign w:val="center"/>
            <w:hideMark/>
          </w:tcPr>
          <w:p w14:paraId="59552A5C" w14:textId="77777777" w:rsidR="00A875B1" w:rsidRPr="00A875B1" w:rsidRDefault="00A875B1" w:rsidP="00A875B1">
            <w:pPr>
              <w:ind w:left="0" w:right="0" w:firstLine="0"/>
              <w:jc w:val="center"/>
              <w:rPr>
                <w:color w:val="000000"/>
                <w:sz w:val="20"/>
                <w:szCs w:val="20"/>
              </w:rPr>
            </w:pPr>
            <w:r w:rsidRPr="00A875B1">
              <w:rPr>
                <w:color w:val="000000"/>
                <w:sz w:val="20"/>
                <w:szCs w:val="20"/>
              </w:rPr>
              <w:t>7</w:t>
            </w:r>
          </w:p>
        </w:tc>
        <w:tc>
          <w:tcPr>
            <w:tcW w:w="6128" w:type="dxa"/>
            <w:tcBorders>
              <w:top w:val="nil"/>
              <w:left w:val="nil"/>
              <w:bottom w:val="single" w:sz="4" w:space="0" w:color="auto"/>
              <w:right w:val="single" w:sz="4" w:space="0" w:color="auto"/>
            </w:tcBorders>
            <w:shd w:val="clear" w:color="auto" w:fill="auto"/>
            <w:vAlign w:val="center"/>
            <w:hideMark/>
          </w:tcPr>
          <w:p w14:paraId="3346FB71" w14:textId="77777777" w:rsidR="00A875B1" w:rsidRPr="00A875B1" w:rsidRDefault="00A875B1" w:rsidP="00A875B1">
            <w:pPr>
              <w:ind w:left="0" w:right="0" w:firstLine="0"/>
              <w:jc w:val="center"/>
              <w:rPr>
                <w:i/>
                <w:iCs/>
                <w:color w:val="000000"/>
                <w:sz w:val="20"/>
                <w:szCs w:val="20"/>
              </w:rPr>
            </w:pPr>
            <w:r w:rsidRPr="00A875B1">
              <w:rPr>
                <w:i/>
                <w:iCs/>
                <w:color w:val="000000"/>
                <w:sz w:val="20"/>
                <w:szCs w:val="20"/>
              </w:rPr>
              <w:t xml:space="preserve">    Примици од задуживања</w:t>
            </w:r>
          </w:p>
        </w:tc>
        <w:tc>
          <w:tcPr>
            <w:tcW w:w="1780" w:type="dxa"/>
            <w:tcBorders>
              <w:top w:val="nil"/>
              <w:left w:val="nil"/>
              <w:bottom w:val="single" w:sz="4" w:space="0" w:color="auto"/>
              <w:right w:val="double" w:sz="6" w:space="0" w:color="auto"/>
            </w:tcBorders>
            <w:shd w:val="clear" w:color="auto" w:fill="auto"/>
            <w:vAlign w:val="center"/>
            <w:hideMark/>
          </w:tcPr>
          <w:p w14:paraId="4528E6BB" w14:textId="77777777" w:rsidR="00A875B1" w:rsidRPr="00A875B1" w:rsidRDefault="00A875B1" w:rsidP="00A875B1">
            <w:pPr>
              <w:ind w:left="0" w:right="0" w:firstLine="0"/>
              <w:jc w:val="right"/>
              <w:rPr>
                <w:color w:val="000000"/>
                <w:sz w:val="20"/>
                <w:szCs w:val="20"/>
              </w:rPr>
            </w:pPr>
            <w:r w:rsidRPr="00A875B1">
              <w:rPr>
                <w:color w:val="000000"/>
                <w:sz w:val="20"/>
                <w:szCs w:val="20"/>
              </w:rPr>
              <w:t>0,00</w:t>
            </w:r>
          </w:p>
        </w:tc>
      </w:tr>
      <w:tr w:rsidR="00A875B1" w:rsidRPr="00A875B1" w14:paraId="17D30983" w14:textId="77777777" w:rsidTr="00A875B1">
        <w:trPr>
          <w:trHeight w:val="255"/>
        </w:trPr>
        <w:tc>
          <w:tcPr>
            <w:tcW w:w="960" w:type="dxa"/>
            <w:tcBorders>
              <w:top w:val="nil"/>
              <w:left w:val="double" w:sz="6" w:space="0" w:color="auto"/>
              <w:bottom w:val="single" w:sz="4" w:space="0" w:color="auto"/>
              <w:right w:val="single" w:sz="4" w:space="0" w:color="auto"/>
            </w:tcBorders>
            <w:shd w:val="clear" w:color="auto" w:fill="auto"/>
            <w:vAlign w:val="center"/>
            <w:hideMark/>
          </w:tcPr>
          <w:p w14:paraId="2421C9EE" w14:textId="77777777" w:rsidR="00A875B1" w:rsidRPr="00A875B1" w:rsidRDefault="00A875B1" w:rsidP="00A875B1">
            <w:pPr>
              <w:ind w:left="0" w:right="0" w:firstLine="0"/>
              <w:jc w:val="center"/>
              <w:rPr>
                <w:color w:val="000000"/>
                <w:sz w:val="20"/>
                <w:szCs w:val="20"/>
              </w:rPr>
            </w:pPr>
            <w:r w:rsidRPr="00A875B1">
              <w:rPr>
                <w:color w:val="000000"/>
                <w:sz w:val="20"/>
                <w:szCs w:val="20"/>
              </w:rPr>
              <w:t>8</w:t>
            </w:r>
          </w:p>
        </w:tc>
        <w:tc>
          <w:tcPr>
            <w:tcW w:w="6128" w:type="dxa"/>
            <w:tcBorders>
              <w:top w:val="nil"/>
              <w:left w:val="nil"/>
              <w:bottom w:val="single" w:sz="4" w:space="0" w:color="auto"/>
              <w:right w:val="single" w:sz="4" w:space="0" w:color="auto"/>
            </w:tcBorders>
            <w:shd w:val="clear" w:color="auto" w:fill="auto"/>
            <w:vAlign w:val="center"/>
            <w:hideMark/>
          </w:tcPr>
          <w:p w14:paraId="3F4C749F" w14:textId="77777777" w:rsidR="00A875B1" w:rsidRPr="00A875B1" w:rsidRDefault="00A875B1" w:rsidP="00A875B1">
            <w:pPr>
              <w:ind w:left="0" w:right="0" w:firstLine="0"/>
              <w:jc w:val="center"/>
              <w:rPr>
                <w:i/>
                <w:iCs/>
                <w:color w:val="000000"/>
                <w:sz w:val="20"/>
                <w:szCs w:val="20"/>
              </w:rPr>
            </w:pPr>
            <w:r w:rsidRPr="00A875B1">
              <w:rPr>
                <w:i/>
                <w:iCs/>
                <w:color w:val="000000"/>
                <w:sz w:val="20"/>
                <w:szCs w:val="20"/>
              </w:rPr>
              <w:t xml:space="preserve">   Издаци за отплату дугова</w:t>
            </w:r>
          </w:p>
        </w:tc>
        <w:tc>
          <w:tcPr>
            <w:tcW w:w="1780" w:type="dxa"/>
            <w:tcBorders>
              <w:top w:val="nil"/>
              <w:left w:val="nil"/>
              <w:bottom w:val="single" w:sz="4" w:space="0" w:color="auto"/>
              <w:right w:val="double" w:sz="6" w:space="0" w:color="auto"/>
            </w:tcBorders>
            <w:shd w:val="clear" w:color="auto" w:fill="auto"/>
            <w:vAlign w:val="center"/>
            <w:hideMark/>
          </w:tcPr>
          <w:p w14:paraId="7322C456" w14:textId="77777777" w:rsidR="00A875B1" w:rsidRPr="00A875B1" w:rsidRDefault="00A875B1" w:rsidP="00A875B1">
            <w:pPr>
              <w:ind w:left="0" w:right="0" w:firstLine="0"/>
              <w:jc w:val="right"/>
              <w:rPr>
                <w:sz w:val="20"/>
                <w:szCs w:val="20"/>
              </w:rPr>
            </w:pPr>
            <w:r w:rsidRPr="00A875B1">
              <w:rPr>
                <w:sz w:val="20"/>
                <w:szCs w:val="20"/>
              </w:rPr>
              <w:t>1.000.261,27</w:t>
            </w:r>
          </w:p>
        </w:tc>
      </w:tr>
      <w:tr w:rsidR="00A875B1" w:rsidRPr="00A875B1" w14:paraId="0BC9266B" w14:textId="77777777" w:rsidTr="00A875B1">
        <w:trPr>
          <w:trHeight w:val="255"/>
        </w:trPr>
        <w:tc>
          <w:tcPr>
            <w:tcW w:w="960" w:type="dxa"/>
            <w:tcBorders>
              <w:top w:val="nil"/>
              <w:left w:val="double" w:sz="6" w:space="0" w:color="auto"/>
              <w:bottom w:val="single" w:sz="4" w:space="0" w:color="auto"/>
              <w:right w:val="single" w:sz="4" w:space="0" w:color="auto"/>
            </w:tcBorders>
            <w:shd w:val="clear" w:color="auto" w:fill="auto"/>
            <w:vAlign w:val="center"/>
            <w:hideMark/>
          </w:tcPr>
          <w:p w14:paraId="16209A38" w14:textId="77777777" w:rsidR="00A875B1" w:rsidRPr="00A875B1" w:rsidRDefault="00A875B1" w:rsidP="00A875B1">
            <w:pPr>
              <w:ind w:left="0" w:right="0" w:firstLine="0"/>
              <w:jc w:val="center"/>
              <w:rPr>
                <w:color w:val="000000"/>
                <w:sz w:val="20"/>
                <w:szCs w:val="20"/>
              </w:rPr>
            </w:pPr>
            <w:r w:rsidRPr="00A875B1">
              <w:rPr>
                <w:color w:val="000000"/>
                <w:sz w:val="20"/>
                <w:szCs w:val="20"/>
              </w:rPr>
              <w:t>9</w:t>
            </w:r>
          </w:p>
        </w:tc>
        <w:tc>
          <w:tcPr>
            <w:tcW w:w="6128" w:type="dxa"/>
            <w:tcBorders>
              <w:top w:val="nil"/>
              <w:left w:val="nil"/>
              <w:bottom w:val="single" w:sz="4" w:space="0" w:color="auto"/>
              <w:right w:val="single" w:sz="4" w:space="0" w:color="auto"/>
            </w:tcBorders>
            <w:shd w:val="clear" w:color="auto" w:fill="auto"/>
            <w:vAlign w:val="center"/>
            <w:hideMark/>
          </w:tcPr>
          <w:p w14:paraId="7BC90F96" w14:textId="77777777" w:rsidR="00A875B1" w:rsidRPr="00A875B1" w:rsidRDefault="00A875B1" w:rsidP="00A875B1">
            <w:pPr>
              <w:ind w:left="0" w:right="0" w:firstLine="0"/>
              <w:jc w:val="center"/>
              <w:rPr>
                <w:i/>
                <w:iCs/>
                <w:color w:val="000000"/>
                <w:sz w:val="20"/>
                <w:szCs w:val="20"/>
              </w:rPr>
            </w:pPr>
            <w:r w:rsidRPr="00A875B1">
              <w:rPr>
                <w:i/>
                <w:iCs/>
                <w:color w:val="000000"/>
                <w:sz w:val="20"/>
                <w:szCs w:val="20"/>
              </w:rPr>
              <w:t>Остали примици</w:t>
            </w:r>
          </w:p>
        </w:tc>
        <w:tc>
          <w:tcPr>
            <w:tcW w:w="1780" w:type="dxa"/>
            <w:tcBorders>
              <w:top w:val="nil"/>
              <w:left w:val="nil"/>
              <w:bottom w:val="single" w:sz="4" w:space="0" w:color="auto"/>
              <w:right w:val="double" w:sz="6" w:space="0" w:color="auto"/>
            </w:tcBorders>
            <w:shd w:val="clear" w:color="auto" w:fill="auto"/>
            <w:vAlign w:val="center"/>
            <w:hideMark/>
          </w:tcPr>
          <w:p w14:paraId="6B67E500" w14:textId="77777777" w:rsidR="00A875B1" w:rsidRPr="00A875B1" w:rsidRDefault="00A875B1" w:rsidP="00A875B1">
            <w:pPr>
              <w:ind w:left="0" w:right="0" w:firstLine="0"/>
              <w:jc w:val="right"/>
              <w:rPr>
                <w:color w:val="000000"/>
                <w:sz w:val="20"/>
                <w:szCs w:val="20"/>
              </w:rPr>
            </w:pPr>
            <w:r w:rsidRPr="00A875B1">
              <w:rPr>
                <w:color w:val="000000"/>
                <w:sz w:val="20"/>
                <w:szCs w:val="20"/>
              </w:rPr>
              <w:t>1.239.276,81</w:t>
            </w:r>
          </w:p>
        </w:tc>
      </w:tr>
      <w:tr w:rsidR="00A875B1" w:rsidRPr="00A875B1" w14:paraId="1BB49139" w14:textId="77777777" w:rsidTr="00A875B1">
        <w:trPr>
          <w:trHeight w:val="255"/>
        </w:trPr>
        <w:tc>
          <w:tcPr>
            <w:tcW w:w="960" w:type="dxa"/>
            <w:tcBorders>
              <w:top w:val="nil"/>
              <w:left w:val="double" w:sz="6" w:space="0" w:color="auto"/>
              <w:bottom w:val="single" w:sz="4" w:space="0" w:color="auto"/>
              <w:right w:val="single" w:sz="4" w:space="0" w:color="auto"/>
            </w:tcBorders>
            <w:shd w:val="clear" w:color="auto" w:fill="auto"/>
            <w:vAlign w:val="center"/>
            <w:hideMark/>
          </w:tcPr>
          <w:p w14:paraId="3ED37C43" w14:textId="77777777" w:rsidR="00A875B1" w:rsidRPr="00A875B1" w:rsidRDefault="00A875B1" w:rsidP="00A875B1">
            <w:pPr>
              <w:ind w:left="0" w:right="0" w:firstLine="0"/>
              <w:jc w:val="center"/>
              <w:rPr>
                <w:color w:val="000000"/>
                <w:sz w:val="20"/>
                <w:szCs w:val="20"/>
              </w:rPr>
            </w:pPr>
            <w:r w:rsidRPr="00A875B1">
              <w:rPr>
                <w:color w:val="000000"/>
                <w:sz w:val="20"/>
                <w:szCs w:val="20"/>
              </w:rPr>
              <w:t>10</w:t>
            </w:r>
          </w:p>
        </w:tc>
        <w:tc>
          <w:tcPr>
            <w:tcW w:w="6128" w:type="dxa"/>
            <w:tcBorders>
              <w:top w:val="nil"/>
              <w:left w:val="nil"/>
              <w:bottom w:val="single" w:sz="4" w:space="0" w:color="auto"/>
              <w:right w:val="single" w:sz="4" w:space="0" w:color="auto"/>
            </w:tcBorders>
            <w:shd w:val="clear" w:color="auto" w:fill="auto"/>
            <w:vAlign w:val="center"/>
            <w:hideMark/>
          </w:tcPr>
          <w:p w14:paraId="5252E251" w14:textId="77777777" w:rsidR="00A875B1" w:rsidRPr="00A875B1" w:rsidRDefault="00A875B1" w:rsidP="00A875B1">
            <w:pPr>
              <w:ind w:left="0" w:right="0" w:firstLine="0"/>
              <w:jc w:val="center"/>
              <w:rPr>
                <w:i/>
                <w:iCs/>
                <w:color w:val="000000"/>
                <w:sz w:val="20"/>
                <w:szCs w:val="20"/>
              </w:rPr>
            </w:pPr>
            <w:r w:rsidRPr="00A875B1">
              <w:rPr>
                <w:i/>
                <w:iCs/>
                <w:color w:val="000000"/>
                <w:sz w:val="20"/>
                <w:szCs w:val="20"/>
              </w:rPr>
              <w:t>Остали издаци</w:t>
            </w:r>
          </w:p>
        </w:tc>
        <w:tc>
          <w:tcPr>
            <w:tcW w:w="1780" w:type="dxa"/>
            <w:tcBorders>
              <w:top w:val="nil"/>
              <w:left w:val="nil"/>
              <w:bottom w:val="single" w:sz="4" w:space="0" w:color="auto"/>
              <w:right w:val="double" w:sz="6" w:space="0" w:color="auto"/>
            </w:tcBorders>
            <w:shd w:val="clear" w:color="auto" w:fill="auto"/>
            <w:vAlign w:val="center"/>
            <w:hideMark/>
          </w:tcPr>
          <w:p w14:paraId="50C11E4F" w14:textId="77777777" w:rsidR="00A875B1" w:rsidRPr="00A875B1" w:rsidRDefault="00A875B1" w:rsidP="00A875B1">
            <w:pPr>
              <w:ind w:left="0" w:right="0" w:firstLine="0"/>
              <w:jc w:val="right"/>
              <w:rPr>
                <w:sz w:val="20"/>
                <w:szCs w:val="20"/>
              </w:rPr>
            </w:pPr>
            <w:r w:rsidRPr="00A875B1">
              <w:rPr>
                <w:sz w:val="20"/>
                <w:szCs w:val="20"/>
              </w:rPr>
              <w:t>166.772,79</w:t>
            </w:r>
          </w:p>
        </w:tc>
      </w:tr>
      <w:tr w:rsidR="00A875B1" w:rsidRPr="00A875B1" w14:paraId="16FEBFE8" w14:textId="77777777" w:rsidTr="00A875B1">
        <w:trPr>
          <w:trHeight w:val="255"/>
        </w:trPr>
        <w:tc>
          <w:tcPr>
            <w:tcW w:w="960" w:type="dxa"/>
            <w:tcBorders>
              <w:top w:val="nil"/>
              <w:left w:val="double" w:sz="6" w:space="0" w:color="auto"/>
              <w:bottom w:val="nil"/>
              <w:right w:val="single" w:sz="4" w:space="0" w:color="auto"/>
            </w:tcBorders>
            <w:shd w:val="clear" w:color="auto" w:fill="auto"/>
            <w:vAlign w:val="center"/>
            <w:hideMark/>
          </w:tcPr>
          <w:p w14:paraId="7933E6FC" w14:textId="77777777" w:rsidR="00A875B1" w:rsidRPr="00A875B1" w:rsidRDefault="00A875B1" w:rsidP="00A875B1">
            <w:pPr>
              <w:ind w:left="0" w:right="0" w:firstLine="0"/>
              <w:jc w:val="center"/>
              <w:rPr>
                <w:color w:val="000000"/>
                <w:sz w:val="20"/>
                <w:szCs w:val="20"/>
              </w:rPr>
            </w:pPr>
            <w:r w:rsidRPr="00A875B1">
              <w:rPr>
                <w:color w:val="000000"/>
                <w:sz w:val="20"/>
                <w:szCs w:val="20"/>
              </w:rPr>
              <w:t>11</w:t>
            </w:r>
          </w:p>
        </w:tc>
        <w:tc>
          <w:tcPr>
            <w:tcW w:w="6128" w:type="dxa"/>
            <w:tcBorders>
              <w:top w:val="nil"/>
              <w:left w:val="nil"/>
              <w:bottom w:val="nil"/>
              <w:right w:val="single" w:sz="4" w:space="0" w:color="auto"/>
            </w:tcBorders>
            <w:shd w:val="clear" w:color="auto" w:fill="auto"/>
            <w:vAlign w:val="center"/>
            <w:hideMark/>
          </w:tcPr>
          <w:p w14:paraId="573142FD" w14:textId="77777777" w:rsidR="00A875B1" w:rsidRPr="00A875B1" w:rsidRDefault="00A875B1" w:rsidP="00A875B1">
            <w:pPr>
              <w:ind w:left="0" w:right="0" w:firstLine="0"/>
              <w:jc w:val="center"/>
              <w:rPr>
                <w:i/>
                <w:iCs/>
                <w:color w:val="000000"/>
                <w:sz w:val="20"/>
                <w:szCs w:val="20"/>
              </w:rPr>
            </w:pPr>
            <w:proofErr w:type="spellStart"/>
            <w:r w:rsidRPr="00A875B1">
              <w:rPr>
                <w:i/>
                <w:iCs/>
                <w:color w:val="000000"/>
                <w:sz w:val="20"/>
                <w:szCs w:val="20"/>
              </w:rPr>
              <w:t>Расподјела</w:t>
            </w:r>
            <w:proofErr w:type="spellEnd"/>
            <w:r w:rsidRPr="00A875B1">
              <w:rPr>
                <w:i/>
                <w:iCs/>
                <w:color w:val="000000"/>
                <w:sz w:val="20"/>
                <w:szCs w:val="20"/>
              </w:rPr>
              <w:t xml:space="preserve"> суфицита из ранијих периода</w:t>
            </w:r>
          </w:p>
        </w:tc>
        <w:tc>
          <w:tcPr>
            <w:tcW w:w="1780" w:type="dxa"/>
            <w:tcBorders>
              <w:top w:val="nil"/>
              <w:left w:val="nil"/>
              <w:bottom w:val="nil"/>
              <w:right w:val="double" w:sz="6" w:space="0" w:color="auto"/>
            </w:tcBorders>
            <w:shd w:val="clear" w:color="auto" w:fill="auto"/>
            <w:vAlign w:val="center"/>
            <w:hideMark/>
          </w:tcPr>
          <w:p w14:paraId="17E3BE0D" w14:textId="77777777" w:rsidR="00A875B1" w:rsidRPr="00A875B1" w:rsidRDefault="00A875B1" w:rsidP="00A875B1">
            <w:pPr>
              <w:ind w:left="0" w:right="0" w:firstLine="0"/>
              <w:jc w:val="right"/>
              <w:rPr>
                <w:color w:val="000000"/>
                <w:sz w:val="20"/>
                <w:szCs w:val="20"/>
              </w:rPr>
            </w:pPr>
            <w:r w:rsidRPr="00A875B1">
              <w:rPr>
                <w:color w:val="000000"/>
                <w:sz w:val="20"/>
                <w:szCs w:val="20"/>
              </w:rPr>
              <w:t>203.081,97</w:t>
            </w:r>
          </w:p>
        </w:tc>
      </w:tr>
      <w:tr w:rsidR="00A875B1" w:rsidRPr="00A875B1" w14:paraId="14A4AB62" w14:textId="77777777" w:rsidTr="00A875B1">
        <w:trPr>
          <w:trHeight w:val="555"/>
        </w:trPr>
        <w:tc>
          <w:tcPr>
            <w:tcW w:w="960" w:type="dxa"/>
            <w:tcBorders>
              <w:top w:val="single" w:sz="4" w:space="0" w:color="auto"/>
              <w:left w:val="double" w:sz="6" w:space="0" w:color="auto"/>
              <w:bottom w:val="double" w:sz="6" w:space="0" w:color="auto"/>
              <w:right w:val="single" w:sz="4" w:space="0" w:color="auto"/>
            </w:tcBorders>
            <w:shd w:val="clear" w:color="auto" w:fill="auto"/>
            <w:vAlign w:val="center"/>
            <w:hideMark/>
          </w:tcPr>
          <w:p w14:paraId="4614F030" w14:textId="77777777" w:rsidR="00A875B1" w:rsidRPr="00A875B1" w:rsidRDefault="00A875B1" w:rsidP="00A875B1">
            <w:pPr>
              <w:ind w:left="0" w:right="0" w:firstLine="0"/>
              <w:jc w:val="center"/>
              <w:rPr>
                <w:b/>
                <w:bCs/>
                <w:color w:val="000000"/>
                <w:sz w:val="20"/>
                <w:szCs w:val="20"/>
              </w:rPr>
            </w:pPr>
            <w:r w:rsidRPr="00A875B1">
              <w:rPr>
                <w:b/>
                <w:bCs/>
                <w:color w:val="000000"/>
                <w:sz w:val="20"/>
                <w:szCs w:val="20"/>
              </w:rPr>
              <w:t>V</w:t>
            </w:r>
          </w:p>
        </w:tc>
        <w:tc>
          <w:tcPr>
            <w:tcW w:w="6128" w:type="dxa"/>
            <w:tcBorders>
              <w:top w:val="single" w:sz="4" w:space="0" w:color="auto"/>
              <w:left w:val="nil"/>
              <w:bottom w:val="double" w:sz="6" w:space="0" w:color="auto"/>
              <w:right w:val="single" w:sz="4" w:space="0" w:color="auto"/>
            </w:tcBorders>
            <w:shd w:val="clear" w:color="000000" w:fill="FFFF99"/>
            <w:vAlign w:val="center"/>
            <w:hideMark/>
          </w:tcPr>
          <w:p w14:paraId="2C4F312A" w14:textId="77777777" w:rsidR="00A875B1" w:rsidRPr="00A875B1" w:rsidRDefault="00A875B1" w:rsidP="00B775DC">
            <w:pPr>
              <w:ind w:left="0" w:right="0" w:firstLine="0"/>
              <w:jc w:val="center"/>
              <w:rPr>
                <w:b/>
                <w:bCs/>
                <w:i/>
                <w:iCs/>
                <w:color w:val="000000"/>
                <w:sz w:val="20"/>
                <w:szCs w:val="20"/>
              </w:rPr>
            </w:pPr>
            <w:r w:rsidRPr="00A875B1">
              <w:rPr>
                <w:b/>
                <w:bCs/>
                <w:i/>
                <w:iCs/>
                <w:color w:val="000000"/>
                <w:sz w:val="20"/>
                <w:szCs w:val="20"/>
              </w:rPr>
              <w:t xml:space="preserve">    </w:t>
            </w:r>
            <w:r w:rsidR="00B775DC">
              <w:rPr>
                <w:b/>
                <w:bCs/>
                <w:i/>
                <w:iCs/>
                <w:color w:val="000000"/>
                <w:sz w:val="20"/>
                <w:szCs w:val="20"/>
                <w:lang w:val="sr-Cyrl-RS"/>
              </w:rPr>
              <w:t xml:space="preserve">ОСТВАРЕНИ БУЏЕТСКИ РЕЗУЛТАТ </w:t>
            </w:r>
            <w:r w:rsidRPr="00A875B1">
              <w:rPr>
                <w:b/>
                <w:bCs/>
                <w:i/>
                <w:iCs/>
                <w:color w:val="000000"/>
                <w:sz w:val="20"/>
                <w:szCs w:val="20"/>
              </w:rPr>
              <w:t xml:space="preserve"> I-XII 2020.  </w:t>
            </w:r>
            <w:r w:rsidRPr="00A875B1">
              <w:rPr>
                <w:b/>
                <w:bCs/>
                <w:i/>
                <w:iCs/>
                <w:color w:val="000000"/>
                <w:sz w:val="20"/>
                <w:szCs w:val="20"/>
              </w:rPr>
              <w:br/>
              <w:t>(III + IV)</w:t>
            </w:r>
          </w:p>
        </w:tc>
        <w:tc>
          <w:tcPr>
            <w:tcW w:w="1780" w:type="dxa"/>
            <w:tcBorders>
              <w:top w:val="single" w:sz="4" w:space="0" w:color="auto"/>
              <w:left w:val="nil"/>
              <w:bottom w:val="double" w:sz="6" w:space="0" w:color="auto"/>
              <w:right w:val="double" w:sz="6" w:space="0" w:color="auto"/>
            </w:tcBorders>
            <w:shd w:val="clear" w:color="000000" w:fill="FFFF99"/>
            <w:vAlign w:val="center"/>
            <w:hideMark/>
          </w:tcPr>
          <w:p w14:paraId="751DD5EC" w14:textId="77777777" w:rsidR="00A875B1" w:rsidRPr="00A875B1" w:rsidRDefault="00372E3C" w:rsidP="00372E3C">
            <w:pPr>
              <w:ind w:left="0" w:right="0" w:firstLine="0"/>
              <w:jc w:val="right"/>
              <w:rPr>
                <w:b/>
                <w:bCs/>
                <w:color w:val="000000"/>
                <w:sz w:val="20"/>
                <w:szCs w:val="20"/>
              </w:rPr>
            </w:pPr>
            <w:r>
              <w:rPr>
                <w:b/>
                <w:bCs/>
                <w:color w:val="000000"/>
                <w:sz w:val="20"/>
                <w:szCs w:val="20"/>
              </w:rPr>
              <w:t>6</w:t>
            </w:r>
            <w:r w:rsidR="00A875B1" w:rsidRPr="00A875B1">
              <w:rPr>
                <w:b/>
                <w:bCs/>
                <w:color w:val="000000"/>
                <w:sz w:val="20"/>
                <w:szCs w:val="20"/>
              </w:rPr>
              <w:t>5.</w:t>
            </w:r>
            <w:r>
              <w:rPr>
                <w:b/>
                <w:bCs/>
                <w:color w:val="000000"/>
                <w:sz w:val="20"/>
                <w:szCs w:val="20"/>
              </w:rPr>
              <w:t>881,1</w:t>
            </w:r>
            <w:r w:rsidR="00A875B1" w:rsidRPr="00A875B1">
              <w:rPr>
                <w:b/>
                <w:bCs/>
                <w:color w:val="000000"/>
                <w:sz w:val="20"/>
                <w:szCs w:val="20"/>
              </w:rPr>
              <w:t>6</w:t>
            </w:r>
          </w:p>
        </w:tc>
      </w:tr>
    </w:tbl>
    <w:p w14:paraId="0C4F90C4" w14:textId="77777777" w:rsidR="0088167A" w:rsidRDefault="0088167A" w:rsidP="00A875B1">
      <w:pPr>
        <w:spacing w:before="120"/>
        <w:ind w:left="0" w:firstLine="0"/>
      </w:pPr>
    </w:p>
    <w:p w14:paraId="63717196" w14:textId="77777777" w:rsidR="00F01D0D" w:rsidRDefault="00C217A9" w:rsidP="00F05A9A">
      <w:pPr>
        <w:pStyle w:val="Podnaslovi1"/>
        <w:ind w:left="850" w:right="-998" w:hanging="425"/>
        <w:jc w:val="left"/>
        <w:rPr>
          <w:sz w:val="24"/>
          <w:szCs w:val="24"/>
        </w:rPr>
      </w:pPr>
      <w:bookmarkStart w:id="17" w:name="_Toc530745866"/>
      <w:bookmarkStart w:id="18" w:name="_Toc50641185"/>
      <w:r w:rsidRPr="00F01D0D">
        <w:rPr>
          <w:sz w:val="24"/>
          <w:szCs w:val="24"/>
        </w:rPr>
        <w:t>3.</w:t>
      </w:r>
      <w:r w:rsidR="00BE2171" w:rsidRPr="00F01D0D">
        <w:rPr>
          <w:sz w:val="24"/>
          <w:szCs w:val="24"/>
        </w:rPr>
        <w:t>1.</w:t>
      </w:r>
      <w:r w:rsidRPr="00F01D0D">
        <w:rPr>
          <w:sz w:val="24"/>
          <w:szCs w:val="24"/>
        </w:rPr>
        <w:t xml:space="preserve">2. </w:t>
      </w:r>
      <w:r w:rsidR="00E20184" w:rsidRPr="00BE2171">
        <w:rPr>
          <w:sz w:val="24"/>
          <w:szCs w:val="24"/>
        </w:rPr>
        <w:t>ОСТВАРЕН</w:t>
      </w:r>
      <w:r w:rsidR="00F01D0D">
        <w:rPr>
          <w:sz w:val="24"/>
          <w:szCs w:val="24"/>
        </w:rPr>
        <w:t>И БУЏЕТСКИ ПРИХОДИ И ПРИМИЦИ ЗА НЕФИНАНСИЈСКУ</w:t>
      </w:r>
      <w:bookmarkEnd w:id="17"/>
      <w:bookmarkEnd w:id="18"/>
    </w:p>
    <w:p w14:paraId="121F8526" w14:textId="77777777" w:rsidR="00E20184" w:rsidRPr="00BE2171" w:rsidRDefault="00E20184" w:rsidP="00D21931">
      <w:pPr>
        <w:pStyle w:val="Podnaslovi1"/>
        <w:spacing w:before="0"/>
        <w:ind w:left="850" w:right="-998" w:hanging="425"/>
        <w:rPr>
          <w:sz w:val="24"/>
          <w:szCs w:val="24"/>
        </w:rPr>
      </w:pPr>
      <w:bookmarkStart w:id="19" w:name="_Toc530745867"/>
      <w:bookmarkStart w:id="20" w:name="_Toc50641186"/>
      <w:r w:rsidRPr="00BE2171">
        <w:rPr>
          <w:sz w:val="24"/>
          <w:szCs w:val="24"/>
        </w:rPr>
        <w:t xml:space="preserve">ИМОВИНУ </w:t>
      </w:r>
      <w:r w:rsidR="00C217A9" w:rsidRPr="00BE2171">
        <w:rPr>
          <w:sz w:val="24"/>
          <w:szCs w:val="24"/>
        </w:rPr>
        <w:t>У</w:t>
      </w:r>
      <w:r w:rsidRPr="00BE2171">
        <w:rPr>
          <w:sz w:val="24"/>
          <w:szCs w:val="24"/>
        </w:rPr>
        <w:t xml:space="preserve"> ПЕРИОД</w:t>
      </w:r>
      <w:r w:rsidR="00C217A9" w:rsidRPr="00BE2171">
        <w:rPr>
          <w:sz w:val="24"/>
          <w:szCs w:val="24"/>
        </w:rPr>
        <w:t>У</w:t>
      </w:r>
      <w:r w:rsidRPr="00BE2171">
        <w:rPr>
          <w:sz w:val="24"/>
          <w:szCs w:val="24"/>
        </w:rPr>
        <w:t xml:space="preserve"> 01.01</w:t>
      </w:r>
      <w:r w:rsidR="00087C73">
        <w:rPr>
          <w:sz w:val="24"/>
          <w:szCs w:val="24"/>
        </w:rPr>
        <w:t>–</w:t>
      </w:r>
      <w:r w:rsidR="00A875B1">
        <w:rPr>
          <w:sz w:val="24"/>
          <w:szCs w:val="24"/>
        </w:rPr>
        <w:t>31.12</w:t>
      </w:r>
      <w:r w:rsidR="0046618E">
        <w:rPr>
          <w:sz w:val="24"/>
          <w:szCs w:val="24"/>
        </w:rPr>
        <w:t>.2020</w:t>
      </w:r>
      <w:r w:rsidRPr="00BE2171">
        <w:rPr>
          <w:sz w:val="24"/>
          <w:szCs w:val="24"/>
        </w:rPr>
        <w:t>. ГОДИНЕ</w:t>
      </w:r>
      <w:bookmarkEnd w:id="19"/>
      <w:bookmarkEnd w:id="20"/>
    </w:p>
    <w:p w14:paraId="5E43CDBB" w14:textId="77777777" w:rsidR="00E20184" w:rsidRPr="00F01D0D" w:rsidRDefault="00E20184" w:rsidP="00E20184">
      <w:pPr>
        <w:ind w:left="0" w:firstLine="0"/>
        <w:jc w:val="center"/>
        <w:rPr>
          <w:b/>
          <w:lang w:val="en-US"/>
        </w:rPr>
      </w:pPr>
    </w:p>
    <w:p w14:paraId="6A387159" w14:textId="77777777" w:rsidR="009D28BB" w:rsidRDefault="00E20184" w:rsidP="00E20184">
      <w:pPr>
        <w:ind w:left="0" w:firstLine="0"/>
      </w:pPr>
      <w:r>
        <w:tab/>
      </w:r>
      <w:proofErr w:type="spellStart"/>
      <w:r>
        <w:rPr>
          <w:lang w:val="sr-Latn-CS"/>
        </w:rPr>
        <w:t>Укупни</w:t>
      </w:r>
      <w:proofErr w:type="spellEnd"/>
      <w:r>
        <w:rPr>
          <w:lang w:val="sr-Latn-CS"/>
        </w:rPr>
        <w:t xml:space="preserve"> </w:t>
      </w:r>
      <w:proofErr w:type="spellStart"/>
      <w:r>
        <w:rPr>
          <w:lang w:val="sr-Latn-CS"/>
        </w:rPr>
        <w:t>буџетски</w:t>
      </w:r>
      <w:proofErr w:type="spellEnd"/>
      <w:r>
        <w:rPr>
          <w:lang w:val="sr-Latn-CS"/>
        </w:rPr>
        <w:t xml:space="preserve"> </w:t>
      </w:r>
      <w:proofErr w:type="spellStart"/>
      <w:r>
        <w:rPr>
          <w:lang w:val="sr-Latn-CS"/>
        </w:rPr>
        <w:t>приходи</w:t>
      </w:r>
      <w:proofErr w:type="spellEnd"/>
      <w:r>
        <w:rPr>
          <w:lang w:val="sr-Latn-CS"/>
        </w:rPr>
        <w:t xml:space="preserve"> и </w:t>
      </w:r>
      <w:proofErr w:type="spellStart"/>
      <w:r>
        <w:rPr>
          <w:lang w:val="sr-Latn-CS"/>
        </w:rPr>
        <w:t>примици</w:t>
      </w:r>
      <w:proofErr w:type="spellEnd"/>
      <w:r>
        <w:rPr>
          <w:lang w:val="sr-Latn-CS"/>
        </w:rPr>
        <w:t xml:space="preserve"> </w:t>
      </w:r>
      <w:proofErr w:type="spellStart"/>
      <w:r>
        <w:rPr>
          <w:lang w:val="sr-Latn-CS"/>
        </w:rPr>
        <w:t>за</w:t>
      </w:r>
      <w:proofErr w:type="spellEnd"/>
      <w:r>
        <w:rPr>
          <w:lang w:val="sr-Latn-CS"/>
        </w:rPr>
        <w:t xml:space="preserve"> </w:t>
      </w:r>
      <w:proofErr w:type="spellStart"/>
      <w:r>
        <w:rPr>
          <w:lang w:val="sr-Latn-CS"/>
        </w:rPr>
        <w:t>нефинансијску</w:t>
      </w:r>
      <w:proofErr w:type="spellEnd"/>
      <w:r>
        <w:rPr>
          <w:lang w:val="sr-Latn-CS"/>
        </w:rPr>
        <w:t xml:space="preserve"> </w:t>
      </w:r>
      <w:proofErr w:type="spellStart"/>
      <w:r>
        <w:rPr>
          <w:lang w:val="sr-Latn-CS"/>
        </w:rPr>
        <w:t>имовину</w:t>
      </w:r>
      <w:proofErr w:type="spellEnd"/>
      <w:r>
        <w:rPr>
          <w:lang w:val="sr-Latn-CS"/>
        </w:rPr>
        <w:t xml:space="preserve"> </w:t>
      </w:r>
      <w:r>
        <w:t>у периоду</w:t>
      </w:r>
      <w:r w:rsidR="00A875B1">
        <w:t xml:space="preserve"> 01.01-31.12</w:t>
      </w:r>
      <w:r w:rsidR="00092A3B">
        <w:t>.2020</w:t>
      </w:r>
      <w:r>
        <w:t xml:space="preserve">. године остварени су у износу </w:t>
      </w:r>
      <w:r w:rsidRPr="007309B4">
        <w:t xml:space="preserve">од </w:t>
      </w:r>
      <w:r w:rsidR="00A875B1">
        <w:t>15.570.742,50</w:t>
      </w:r>
      <w:r>
        <w:t xml:space="preserve"> КМ, што </w:t>
      </w:r>
      <w:r w:rsidRPr="001A4BA0">
        <w:t xml:space="preserve">је </w:t>
      </w:r>
      <w:r w:rsidR="00A875B1">
        <w:t>89,19</w:t>
      </w:r>
      <w:r w:rsidRPr="001A4BA0">
        <w:t>%</w:t>
      </w:r>
      <w:r w:rsidR="008E320B">
        <w:rPr>
          <w:lang w:val="sr-Latn-RS"/>
        </w:rPr>
        <w:t xml:space="preserve"> </w:t>
      </w:r>
      <w:r w:rsidR="00B7558B">
        <w:t>од</w:t>
      </w:r>
      <w:r w:rsidR="00D67EB1">
        <w:t xml:space="preserve"> средстава планираних</w:t>
      </w:r>
      <w:r w:rsidR="008E320B">
        <w:rPr>
          <w:lang w:val="sr-Latn-RS"/>
        </w:rPr>
        <w:t xml:space="preserve"> </w:t>
      </w:r>
      <w:r w:rsidR="00A875B1">
        <w:t>Ребалансом буџета</w:t>
      </w:r>
      <w:r w:rsidR="00092A3B">
        <w:t xml:space="preserve"> општине Прњавор за 2020</w:t>
      </w:r>
      <w:r w:rsidR="009D28BB">
        <w:t>. годину.</w:t>
      </w:r>
    </w:p>
    <w:p w14:paraId="12614B30" w14:textId="77777777" w:rsidR="0098670E" w:rsidRDefault="0098670E" w:rsidP="00E20184">
      <w:pPr>
        <w:ind w:left="0" w:firstLine="0"/>
      </w:pPr>
    </w:p>
    <w:p w14:paraId="398E1A79" w14:textId="77777777" w:rsidR="00E20184" w:rsidRDefault="00E20184" w:rsidP="00E20184">
      <w:pPr>
        <w:ind w:left="0" w:firstLine="0"/>
        <w:rPr>
          <w:lang w:val="sr-Latn-CS"/>
        </w:rPr>
      </w:pPr>
      <w:r>
        <w:tab/>
        <w:t xml:space="preserve">Посматрано по групама, остварење буџетских прихода и примитака за </w:t>
      </w:r>
      <w:proofErr w:type="spellStart"/>
      <w:r>
        <w:t>нефинансијску</w:t>
      </w:r>
      <w:proofErr w:type="spellEnd"/>
      <w:r>
        <w:t xml:space="preserve"> имовину у </w:t>
      </w:r>
      <w:proofErr w:type="spellStart"/>
      <w:r>
        <w:t>извјештајном</w:t>
      </w:r>
      <w:proofErr w:type="spellEnd"/>
      <w:r>
        <w:t xml:space="preserve"> периоду је сљедеће: </w:t>
      </w:r>
    </w:p>
    <w:p w14:paraId="1B9A69FA" w14:textId="77777777" w:rsidR="00E20184" w:rsidRPr="001A30F8" w:rsidRDefault="00E20184" w:rsidP="00E20184">
      <w:pPr>
        <w:ind w:left="0" w:firstLine="0"/>
        <w:rPr>
          <w:lang w:val="sr-Latn-CS"/>
        </w:rPr>
      </w:pPr>
    </w:p>
    <w:p w14:paraId="0DE06361" w14:textId="77777777" w:rsidR="00E20184" w:rsidRPr="00D224F3" w:rsidRDefault="00E20184" w:rsidP="00E20184">
      <w:pPr>
        <w:pStyle w:val="Zaglavljestranice"/>
        <w:numPr>
          <w:ilvl w:val="1"/>
          <w:numId w:val="1"/>
        </w:numPr>
        <w:ind w:left="357" w:hanging="357"/>
        <w:rPr>
          <w:bCs/>
        </w:rPr>
      </w:pPr>
      <w:r w:rsidRPr="00AC4F2D">
        <w:rPr>
          <w:b/>
          <w:bCs/>
        </w:rPr>
        <w:t>Порески приходи</w:t>
      </w:r>
      <w:r>
        <w:rPr>
          <w:bCs/>
        </w:rPr>
        <w:t xml:space="preserve"> су остварени у износу од </w:t>
      </w:r>
      <w:r w:rsidR="00A875B1">
        <w:rPr>
          <w:bCs/>
        </w:rPr>
        <w:t>10.493.702,10</w:t>
      </w:r>
      <w:r w:rsidR="00BC53B8">
        <w:rPr>
          <w:bCs/>
          <w:lang w:val="sr-Latn-RS"/>
        </w:rPr>
        <w:t xml:space="preserve"> </w:t>
      </w:r>
      <w:r w:rsidRPr="00AC4F2D">
        <w:rPr>
          <w:bCs/>
        </w:rPr>
        <w:t>КМ</w:t>
      </w:r>
      <w:r>
        <w:rPr>
          <w:bCs/>
        </w:rPr>
        <w:t xml:space="preserve">, </w:t>
      </w:r>
      <w:r w:rsidR="00092A3B">
        <w:rPr>
          <w:bCs/>
        </w:rPr>
        <w:t>што је</w:t>
      </w:r>
      <w:r w:rsidR="008E320B">
        <w:rPr>
          <w:bCs/>
          <w:lang w:val="sr-Latn-RS"/>
        </w:rPr>
        <w:t xml:space="preserve"> </w:t>
      </w:r>
      <w:r w:rsidR="00A875B1">
        <w:rPr>
          <w:bCs/>
        </w:rPr>
        <w:t>95,23</w:t>
      </w:r>
      <w:r w:rsidR="006B5709">
        <w:rPr>
          <w:bCs/>
        </w:rPr>
        <w:t xml:space="preserve">% у односу на </w:t>
      </w:r>
      <w:r w:rsidR="00B7558B">
        <w:rPr>
          <w:bCs/>
          <w:lang w:val="sr-Cyrl-BA"/>
        </w:rPr>
        <w:t>план</w:t>
      </w:r>
      <w:r w:rsidR="006B5709">
        <w:rPr>
          <w:bCs/>
          <w:lang w:val="sr-Cyrl-BA"/>
        </w:rPr>
        <w:t>ирана средства</w:t>
      </w:r>
      <w:r>
        <w:rPr>
          <w:bCs/>
        </w:rPr>
        <w:t xml:space="preserve">, </w:t>
      </w:r>
    </w:p>
    <w:p w14:paraId="7451459E" w14:textId="77777777" w:rsidR="006B5709" w:rsidRPr="006B5709" w:rsidRDefault="00E20184" w:rsidP="00585CD5">
      <w:pPr>
        <w:numPr>
          <w:ilvl w:val="1"/>
          <w:numId w:val="1"/>
        </w:numPr>
        <w:spacing w:before="120"/>
        <w:ind w:left="357" w:right="-833" w:hanging="357"/>
        <w:rPr>
          <w:b/>
          <w:bCs/>
        </w:rPr>
      </w:pPr>
      <w:proofErr w:type="spellStart"/>
      <w:r w:rsidRPr="009D28BB">
        <w:rPr>
          <w:b/>
          <w:bCs/>
        </w:rPr>
        <w:t>Непорески</w:t>
      </w:r>
      <w:proofErr w:type="spellEnd"/>
      <w:r w:rsidRPr="009D28BB">
        <w:rPr>
          <w:b/>
          <w:bCs/>
        </w:rPr>
        <w:t xml:space="preserve"> приходи</w:t>
      </w:r>
      <w:r w:rsidRPr="009D28BB">
        <w:rPr>
          <w:bCs/>
        </w:rPr>
        <w:t xml:space="preserve"> су остварени у износу од </w:t>
      </w:r>
      <w:r w:rsidR="00A875B1">
        <w:rPr>
          <w:bCs/>
        </w:rPr>
        <w:t>2.232.629,96</w:t>
      </w:r>
      <w:r w:rsidRPr="009D28BB">
        <w:rPr>
          <w:bCs/>
        </w:rPr>
        <w:t xml:space="preserve"> КМ, </w:t>
      </w:r>
      <w:r w:rsidRPr="009D28BB">
        <w:rPr>
          <w:bCs/>
          <w:lang w:val="sr-Cyrl-BA"/>
        </w:rPr>
        <w:t>што је</w:t>
      </w:r>
      <w:r w:rsidR="008E320B">
        <w:rPr>
          <w:bCs/>
          <w:lang w:val="sr-Latn-RS"/>
        </w:rPr>
        <w:t xml:space="preserve"> </w:t>
      </w:r>
      <w:r w:rsidR="00A875B1">
        <w:rPr>
          <w:bCs/>
        </w:rPr>
        <w:t>99,18</w:t>
      </w:r>
      <w:r w:rsidRPr="009D28BB">
        <w:rPr>
          <w:bCs/>
        </w:rPr>
        <w:t xml:space="preserve">% </w:t>
      </w:r>
      <w:r w:rsidR="00792357" w:rsidRPr="009D28BB">
        <w:rPr>
          <w:bCs/>
        </w:rPr>
        <w:t>од плана</w:t>
      </w:r>
      <w:r w:rsidRPr="009D28BB">
        <w:rPr>
          <w:bCs/>
          <w:lang w:val="sr-Cyrl-BA"/>
        </w:rPr>
        <w:t>,</w:t>
      </w:r>
    </w:p>
    <w:p w14:paraId="6CE8C63E" w14:textId="77777777" w:rsidR="009D28BB" w:rsidRPr="009D28BB" w:rsidRDefault="006B5709" w:rsidP="00585CD5">
      <w:pPr>
        <w:numPr>
          <w:ilvl w:val="1"/>
          <w:numId w:val="1"/>
        </w:numPr>
        <w:spacing w:before="120"/>
        <w:ind w:left="357" w:right="-833" w:hanging="357"/>
        <w:rPr>
          <w:b/>
          <w:bCs/>
        </w:rPr>
      </w:pPr>
      <w:r>
        <w:rPr>
          <w:b/>
          <w:bCs/>
        </w:rPr>
        <w:t xml:space="preserve">Грантови </w:t>
      </w:r>
      <w:r w:rsidRPr="006B5709">
        <w:rPr>
          <w:bCs/>
        </w:rPr>
        <w:t>су остварени</w:t>
      </w:r>
      <w:r>
        <w:rPr>
          <w:bCs/>
          <w:lang w:val="sr-Cyrl-BA"/>
        </w:rPr>
        <w:t xml:space="preserve">у износу од </w:t>
      </w:r>
      <w:r w:rsidR="00A875B1">
        <w:rPr>
          <w:bCs/>
          <w:lang w:val="sr-Cyrl-BA"/>
        </w:rPr>
        <w:t>249.755,83</w:t>
      </w:r>
      <w:r>
        <w:rPr>
          <w:bCs/>
          <w:lang w:val="sr-Cyrl-BA"/>
        </w:rPr>
        <w:t xml:space="preserve"> КМ, што је </w:t>
      </w:r>
      <w:r w:rsidR="00935AF4">
        <w:rPr>
          <w:bCs/>
          <w:lang w:val="sr-Cyrl-BA"/>
        </w:rPr>
        <w:t xml:space="preserve">за </w:t>
      </w:r>
      <w:r w:rsidR="00A875B1">
        <w:rPr>
          <w:bCs/>
          <w:lang w:val="sr-Cyrl-BA"/>
        </w:rPr>
        <w:t xml:space="preserve">19,58% </w:t>
      </w:r>
      <w:r w:rsidR="00092A3B">
        <w:rPr>
          <w:bCs/>
          <w:lang w:val="sr-Cyrl-BA"/>
        </w:rPr>
        <w:t xml:space="preserve">више у односу на </w:t>
      </w:r>
      <w:r>
        <w:rPr>
          <w:bCs/>
          <w:lang w:val="sr-Cyrl-BA"/>
        </w:rPr>
        <w:t>планирана средства</w:t>
      </w:r>
      <w:r w:rsidR="00092A3B">
        <w:rPr>
          <w:bCs/>
          <w:lang w:val="sr-Cyrl-BA"/>
        </w:rPr>
        <w:t xml:space="preserve"> за 2020. годину</w:t>
      </w:r>
      <w:r>
        <w:rPr>
          <w:bCs/>
          <w:lang w:val="sr-Cyrl-BA"/>
        </w:rPr>
        <w:t>,</w:t>
      </w:r>
    </w:p>
    <w:p w14:paraId="390A1E80" w14:textId="77777777" w:rsidR="000D2125" w:rsidRDefault="00E20184" w:rsidP="00E20184">
      <w:pPr>
        <w:numPr>
          <w:ilvl w:val="1"/>
          <w:numId w:val="1"/>
        </w:numPr>
        <w:spacing w:before="120"/>
        <w:ind w:left="357" w:right="-833" w:hanging="357"/>
        <w:rPr>
          <w:bCs/>
        </w:rPr>
      </w:pPr>
      <w:r w:rsidRPr="000D2125">
        <w:rPr>
          <w:b/>
          <w:bCs/>
        </w:rPr>
        <w:lastRenderedPageBreak/>
        <w:t xml:space="preserve">Трансфери између </w:t>
      </w:r>
      <w:r w:rsidR="006B5709">
        <w:rPr>
          <w:b/>
          <w:bCs/>
        </w:rPr>
        <w:t>или унутар јединица власти</w:t>
      </w:r>
      <w:r w:rsidR="00BC53B8">
        <w:rPr>
          <w:b/>
          <w:bCs/>
          <w:lang w:val="sr-Latn-RS"/>
        </w:rPr>
        <w:t xml:space="preserve"> </w:t>
      </w:r>
      <w:r w:rsidRPr="000D2125">
        <w:rPr>
          <w:bCs/>
          <w:lang w:val="sr-Cyrl-BA"/>
        </w:rPr>
        <w:t>остварени</w:t>
      </w:r>
      <w:r w:rsidR="00BC53B8">
        <w:rPr>
          <w:bCs/>
          <w:lang w:val="sr-Latn-RS"/>
        </w:rPr>
        <w:t xml:space="preserve"> </w:t>
      </w:r>
      <w:r w:rsidR="009D28BB">
        <w:rPr>
          <w:bCs/>
        </w:rPr>
        <w:t xml:space="preserve">су </w:t>
      </w:r>
      <w:r w:rsidRPr="000D2125">
        <w:rPr>
          <w:bCs/>
        </w:rPr>
        <w:t xml:space="preserve">у износу од </w:t>
      </w:r>
      <w:r w:rsidR="00BC53B8">
        <w:rPr>
          <w:bCs/>
          <w:lang w:val="sr-Latn-RS"/>
        </w:rPr>
        <w:t xml:space="preserve">        </w:t>
      </w:r>
      <w:r w:rsidR="00A875B1">
        <w:rPr>
          <w:bCs/>
        </w:rPr>
        <w:t>2.454.241,50</w:t>
      </w:r>
      <w:r w:rsidRPr="006B3FA0">
        <w:rPr>
          <w:bCs/>
        </w:rPr>
        <w:t xml:space="preserve"> КМ,</w:t>
      </w:r>
      <w:r w:rsidRPr="000D2125">
        <w:rPr>
          <w:bCs/>
        </w:rPr>
        <w:t xml:space="preserve"> што је </w:t>
      </w:r>
      <w:r w:rsidR="00EF0066">
        <w:rPr>
          <w:bCs/>
        </w:rPr>
        <w:t xml:space="preserve">за </w:t>
      </w:r>
      <w:r w:rsidR="00A875B1">
        <w:rPr>
          <w:bCs/>
        </w:rPr>
        <w:t>2,16</w:t>
      </w:r>
      <w:r w:rsidR="00553CC5">
        <w:rPr>
          <w:bCs/>
        </w:rPr>
        <w:t>% више од годишњег</w:t>
      </w:r>
      <w:r w:rsidR="00506904" w:rsidRPr="000D2125">
        <w:rPr>
          <w:bCs/>
        </w:rPr>
        <w:t xml:space="preserve"> плана</w:t>
      </w:r>
      <w:r w:rsidR="00290EBB" w:rsidRPr="000D2125">
        <w:rPr>
          <w:bCs/>
        </w:rPr>
        <w:t xml:space="preserve">, </w:t>
      </w:r>
    </w:p>
    <w:p w14:paraId="5440F695" w14:textId="77777777" w:rsidR="0063340F" w:rsidRDefault="00E20184" w:rsidP="00A875B1">
      <w:pPr>
        <w:numPr>
          <w:ilvl w:val="1"/>
          <w:numId w:val="1"/>
        </w:numPr>
        <w:spacing w:before="120"/>
        <w:ind w:left="426" w:right="-833" w:hanging="426"/>
        <w:rPr>
          <w:bCs/>
          <w:lang w:val="sr-Cyrl-BA"/>
        </w:rPr>
      </w:pPr>
      <w:r w:rsidRPr="009D28BB">
        <w:rPr>
          <w:b/>
          <w:bCs/>
        </w:rPr>
        <w:t xml:space="preserve">Примици за </w:t>
      </w:r>
      <w:proofErr w:type="spellStart"/>
      <w:r w:rsidRPr="009D28BB">
        <w:rPr>
          <w:b/>
          <w:bCs/>
        </w:rPr>
        <w:t>нефинансијску</w:t>
      </w:r>
      <w:proofErr w:type="spellEnd"/>
      <w:r w:rsidRPr="009D28BB">
        <w:rPr>
          <w:b/>
          <w:bCs/>
        </w:rPr>
        <w:t xml:space="preserve"> имовину</w:t>
      </w:r>
      <w:r w:rsidRPr="009D28BB">
        <w:rPr>
          <w:bCs/>
        </w:rPr>
        <w:t xml:space="preserve"> су остварени у износу од </w:t>
      </w:r>
      <w:r w:rsidR="00A875B1">
        <w:rPr>
          <w:bCs/>
        </w:rPr>
        <w:t>140.413,11</w:t>
      </w:r>
      <w:r w:rsidRPr="009D28BB">
        <w:rPr>
          <w:bCs/>
        </w:rPr>
        <w:t xml:space="preserve"> КМ, што је </w:t>
      </w:r>
      <w:r w:rsidR="00A875B1">
        <w:rPr>
          <w:bCs/>
        </w:rPr>
        <w:t>8,91</w:t>
      </w:r>
      <w:r w:rsidR="006B5709">
        <w:rPr>
          <w:bCs/>
        </w:rPr>
        <w:t>%</w:t>
      </w:r>
      <w:r w:rsidR="00BC53B8">
        <w:rPr>
          <w:bCs/>
          <w:lang w:val="sr-Latn-RS"/>
        </w:rPr>
        <w:t xml:space="preserve"> </w:t>
      </w:r>
      <w:r w:rsidR="006B5709">
        <w:rPr>
          <w:bCs/>
        </w:rPr>
        <w:t xml:space="preserve">у односу планирана </w:t>
      </w:r>
      <w:r w:rsidR="00553CC5">
        <w:rPr>
          <w:bCs/>
        </w:rPr>
        <w:t>средства</w:t>
      </w:r>
      <w:r w:rsidR="009D28BB" w:rsidRPr="00AF58F1">
        <w:rPr>
          <w:bCs/>
        </w:rPr>
        <w:t>.</w:t>
      </w:r>
    </w:p>
    <w:p w14:paraId="5B40830D" w14:textId="77777777" w:rsidR="00A875B1" w:rsidRPr="00A875B1" w:rsidRDefault="00A875B1" w:rsidP="00A875B1">
      <w:pPr>
        <w:spacing w:before="120"/>
        <w:ind w:left="426" w:right="-833" w:firstLine="0"/>
        <w:rPr>
          <w:bCs/>
          <w:lang w:val="sr-Cyrl-BA"/>
        </w:rPr>
      </w:pPr>
    </w:p>
    <w:p w14:paraId="54F06A28" w14:textId="77777777" w:rsidR="00913B29" w:rsidRDefault="00913B29" w:rsidP="00913B29">
      <w:pPr>
        <w:tabs>
          <w:tab w:val="left" w:pos="5103"/>
        </w:tabs>
        <w:ind w:left="0" w:right="-792" w:firstLine="360"/>
        <w:jc w:val="center"/>
      </w:pPr>
      <w:r>
        <w:t xml:space="preserve">Табела </w:t>
      </w:r>
      <w:r w:rsidR="00553CC5">
        <w:rPr>
          <w:lang w:val="sr-Cyrl-BA"/>
        </w:rPr>
        <w:t xml:space="preserve"> бр. 2</w:t>
      </w:r>
      <w:r>
        <w:t xml:space="preserve">. </w:t>
      </w:r>
      <w:r w:rsidRPr="00DF5760">
        <w:t xml:space="preserve">Преглед остварених буџетских </w:t>
      </w:r>
      <w:r>
        <w:t xml:space="preserve">прихода и примитака за </w:t>
      </w:r>
      <w:proofErr w:type="spellStart"/>
      <w:r>
        <w:t>нефинансијску</w:t>
      </w:r>
      <w:proofErr w:type="spellEnd"/>
      <w:r>
        <w:t xml:space="preserve"> имовину у периоду 01.01</w:t>
      </w:r>
      <w:r w:rsidRPr="00DF5760">
        <w:rPr>
          <w:b/>
        </w:rPr>
        <w:t>–</w:t>
      </w:r>
      <w:r w:rsidR="00A875B1">
        <w:t>31.12</w:t>
      </w:r>
      <w:r w:rsidR="00553CC5">
        <w:t>.2020</w:t>
      </w:r>
      <w:r w:rsidRPr="00DF5760">
        <w:t>. године</w:t>
      </w:r>
    </w:p>
    <w:tbl>
      <w:tblPr>
        <w:tblW w:w="9738" w:type="dxa"/>
        <w:tblLook w:val="04A0" w:firstRow="1" w:lastRow="0" w:firstColumn="1" w:lastColumn="0" w:noHBand="0" w:noVBand="1"/>
      </w:tblPr>
      <w:tblGrid>
        <w:gridCol w:w="654"/>
        <w:gridCol w:w="3859"/>
        <w:gridCol w:w="1560"/>
        <w:gridCol w:w="1496"/>
        <w:gridCol w:w="1171"/>
        <w:gridCol w:w="998"/>
      </w:tblGrid>
      <w:tr w:rsidR="0036767C" w:rsidRPr="0036767C" w14:paraId="0DDA82BA" w14:textId="77777777" w:rsidTr="008E320B">
        <w:trPr>
          <w:trHeight w:val="933"/>
        </w:trPr>
        <w:tc>
          <w:tcPr>
            <w:tcW w:w="654" w:type="dxa"/>
            <w:tcBorders>
              <w:top w:val="double" w:sz="6" w:space="0" w:color="auto"/>
              <w:left w:val="double" w:sz="6" w:space="0" w:color="auto"/>
              <w:bottom w:val="nil"/>
              <w:right w:val="single" w:sz="4" w:space="0" w:color="auto"/>
            </w:tcBorders>
            <w:shd w:val="clear" w:color="auto" w:fill="auto"/>
            <w:vAlign w:val="center"/>
            <w:hideMark/>
          </w:tcPr>
          <w:p w14:paraId="2625519B" w14:textId="77777777" w:rsidR="0036767C" w:rsidRPr="0036767C" w:rsidRDefault="0036767C" w:rsidP="0036767C">
            <w:pPr>
              <w:ind w:left="0" w:right="0" w:firstLine="0"/>
              <w:jc w:val="center"/>
              <w:rPr>
                <w:b/>
                <w:bCs/>
                <w:sz w:val="20"/>
                <w:szCs w:val="20"/>
              </w:rPr>
            </w:pPr>
            <w:r w:rsidRPr="0036767C">
              <w:rPr>
                <w:b/>
                <w:bCs/>
                <w:sz w:val="20"/>
                <w:szCs w:val="20"/>
              </w:rPr>
              <w:t>Ред.</w:t>
            </w:r>
            <w:r w:rsidRPr="0036767C">
              <w:rPr>
                <w:b/>
                <w:bCs/>
                <w:sz w:val="20"/>
                <w:szCs w:val="20"/>
              </w:rPr>
              <w:br/>
              <w:t>бр.</w:t>
            </w:r>
          </w:p>
        </w:tc>
        <w:tc>
          <w:tcPr>
            <w:tcW w:w="3859" w:type="dxa"/>
            <w:tcBorders>
              <w:top w:val="double" w:sz="6" w:space="0" w:color="auto"/>
              <w:left w:val="nil"/>
              <w:bottom w:val="nil"/>
              <w:right w:val="single" w:sz="4" w:space="0" w:color="auto"/>
            </w:tcBorders>
            <w:shd w:val="clear" w:color="auto" w:fill="auto"/>
            <w:noWrap/>
            <w:vAlign w:val="center"/>
            <w:hideMark/>
          </w:tcPr>
          <w:p w14:paraId="00B86F52" w14:textId="77777777" w:rsidR="0036767C" w:rsidRPr="0036767C" w:rsidRDefault="0036767C" w:rsidP="0036767C">
            <w:pPr>
              <w:ind w:left="0" w:right="0" w:firstLine="0"/>
              <w:jc w:val="center"/>
              <w:rPr>
                <w:b/>
                <w:bCs/>
                <w:sz w:val="20"/>
                <w:szCs w:val="20"/>
              </w:rPr>
            </w:pPr>
            <w:r w:rsidRPr="0036767C">
              <w:rPr>
                <w:b/>
                <w:bCs/>
                <w:sz w:val="20"/>
                <w:szCs w:val="20"/>
              </w:rPr>
              <w:t>О П И С</w:t>
            </w:r>
          </w:p>
        </w:tc>
        <w:tc>
          <w:tcPr>
            <w:tcW w:w="1560" w:type="dxa"/>
            <w:tcBorders>
              <w:top w:val="double" w:sz="6" w:space="0" w:color="auto"/>
              <w:left w:val="nil"/>
              <w:bottom w:val="nil"/>
              <w:right w:val="single" w:sz="4" w:space="0" w:color="auto"/>
            </w:tcBorders>
            <w:shd w:val="clear" w:color="auto" w:fill="auto"/>
            <w:vAlign w:val="center"/>
            <w:hideMark/>
          </w:tcPr>
          <w:p w14:paraId="3E933F42" w14:textId="77777777" w:rsidR="0036767C" w:rsidRPr="0036767C" w:rsidRDefault="0036767C" w:rsidP="0036767C">
            <w:pPr>
              <w:ind w:left="0" w:right="0" w:firstLine="0"/>
              <w:jc w:val="center"/>
              <w:rPr>
                <w:b/>
                <w:bCs/>
                <w:sz w:val="20"/>
                <w:szCs w:val="20"/>
              </w:rPr>
            </w:pPr>
            <w:r w:rsidRPr="0036767C">
              <w:rPr>
                <w:b/>
                <w:bCs/>
                <w:sz w:val="20"/>
                <w:szCs w:val="20"/>
              </w:rPr>
              <w:t xml:space="preserve"> Ребаланс буџета за 2020. годину</w:t>
            </w:r>
          </w:p>
        </w:tc>
        <w:tc>
          <w:tcPr>
            <w:tcW w:w="1496" w:type="dxa"/>
            <w:tcBorders>
              <w:top w:val="double" w:sz="6" w:space="0" w:color="auto"/>
              <w:left w:val="nil"/>
              <w:bottom w:val="nil"/>
              <w:right w:val="single" w:sz="4" w:space="0" w:color="auto"/>
            </w:tcBorders>
            <w:shd w:val="clear" w:color="auto" w:fill="auto"/>
            <w:vAlign w:val="center"/>
            <w:hideMark/>
          </w:tcPr>
          <w:p w14:paraId="31EE8FBC" w14:textId="77777777" w:rsidR="0036767C" w:rsidRPr="0036767C" w:rsidRDefault="0036767C" w:rsidP="0036767C">
            <w:pPr>
              <w:ind w:left="0" w:right="0" w:firstLine="0"/>
              <w:jc w:val="center"/>
              <w:rPr>
                <w:b/>
                <w:bCs/>
                <w:sz w:val="20"/>
                <w:szCs w:val="20"/>
              </w:rPr>
            </w:pPr>
            <w:r w:rsidRPr="0036767C">
              <w:rPr>
                <w:b/>
                <w:bCs/>
                <w:sz w:val="20"/>
                <w:szCs w:val="20"/>
              </w:rPr>
              <w:t>Извршење 01.01-31.12.</w:t>
            </w:r>
            <w:r w:rsidRPr="0036767C">
              <w:rPr>
                <w:b/>
                <w:bCs/>
                <w:sz w:val="20"/>
                <w:szCs w:val="20"/>
              </w:rPr>
              <w:br/>
              <w:t>2020. год.</w:t>
            </w:r>
          </w:p>
        </w:tc>
        <w:tc>
          <w:tcPr>
            <w:tcW w:w="1171" w:type="dxa"/>
            <w:tcBorders>
              <w:top w:val="double" w:sz="6" w:space="0" w:color="auto"/>
              <w:left w:val="nil"/>
              <w:bottom w:val="nil"/>
              <w:right w:val="single" w:sz="4" w:space="0" w:color="auto"/>
            </w:tcBorders>
            <w:shd w:val="clear" w:color="auto" w:fill="auto"/>
            <w:vAlign w:val="center"/>
            <w:hideMark/>
          </w:tcPr>
          <w:p w14:paraId="280CEC8D" w14:textId="77777777" w:rsidR="0036767C" w:rsidRPr="0036767C" w:rsidRDefault="0036767C" w:rsidP="0036767C">
            <w:pPr>
              <w:ind w:left="0" w:right="0" w:firstLine="0"/>
              <w:jc w:val="center"/>
              <w:rPr>
                <w:b/>
                <w:bCs/>
                <w:sz w:val="20"/>
                <w:szCs w:val="20"/>
              </w:rPr>
            </w:pPr>
            <w:r w:rsidRPr="0036767C">
              <w:rPr>
                <w:b/>
                <w:bCs/>
                <w:sz w:val="20"/>
                <w:szCs w:val="20"/>
              </w:rPr>
              <w:t xml:space="preserve">% </w:t>
            </w:r>
            <w:r w:rsidRPr="0036767C">
              <w:rPr>
                <w:b/>
                <w:bCs/>
                <w:sz w:val="20"/>
                <w:szCs w:val="20"/>
              </w:rPr>
              <w:br/>
              <w:t xml:space="preserve">остварења </w:t>
            </w:r>
            <w:r w:rsidRPr="0036767C">
              <w:rPr>
                <w:b/>
                <w:bCs/>
                <w:sz w:val="20"/>
                <w:szCs w:val="20"/>
              </w:rPr>
              <w:br/>
              <w:t>у односу на план</w:t>
            </w:r>
          </w:p>
        </w:tc>
        <w:tc>
          <w:tcPr>
            <w:tcW w:w="998" w:type="dxa"/>
            <w:tcBorders>
              <w:top w:val="double" w:sz="6" w:space="0" w:color="auto"/>
              <w:left w:val="nil"/>
              <w:bottom w:val="nil"/>
              <w:right w:val="double" w:sz="6" w:space="0" w:color="auto"/>
            </w:tcBorders>
            <w:shd w:val="clear" w:color="auto" w:fill="auto"/>
            <w:vAlign w:val="center"/>
            <w:hideMark/>
          </w:tcPr>
          <w:p w14:paraId="12DB9B1E" w14:textId="77777777" w:rsidR="0036767C" w:rsidRPr="0036767C" w:rsidRDefault="0036767C" w:rsidP="0036767C">
            <w:pPr>
              <w:ind w:left="0" w:right="0" w:firstLine="0"/>
              <w:jc w:val="center"/>
              <w:rPr>
                <w:b/>
                <w:bCs/>
                <w:sz w:val="20"/>
                <w:szCs w:val="20"/>
              </w:rPr>
            </w:pPr>
            <w:r w:rsidRPr="0036767C">
              <w:rPr>
                <w:b/>
                <w:bCs/>
                <w:sz w:val="20"/>
                <w:szCs w:val="20"/>
              </w:rPr>
              <w:t xml:space="preserve">% </w:t>
            </w:r>
            <w:r w:rsidRPr="0036767C">
              <w:rPr>
                <w:b/>
                <w:bCs/>
                <w:sz w:val="20"/>
                <w:szCs w:val="20"/>
              </w:rPr>
              <w:br/>
              <w:t xml:space="preserve">учешћа </w:t>
            </w:r>
          </w:p>
        </w:tc>
      </w:tr>
      <w:tr w:rsidR="0036767C" w:rsidRPr="0036767C" w14:paraId="41E392E6" w14:textId="77777777" w:rsidTr="0036767C">
        <w:trPr>
          <w:trHeight w:val="225"/>
        </w:trPr>
        <w:tc>
          <w:tcPr>
            <w:tcW w:w="654" w:type="dxa"/>
            <w:tcBorders>
              <w:top w:val="single" w:sz="8" w:space="0" w:color="auto"/>
              <w:left w:val="double" w:sz="6" w:space="0" w:color="auto"/>
              <w:bottom w:val="single" w:sz="8" w:space="0" w:color="auto"/>
              <w:right w:val="single" w:sz="4" w:space="0" w:color="auto"/>
            </w:tcBorders>
            <w:shd w:val="clear" w:color="auto" w:fill="auto"/>
            <w:noWrap/>
            <w:vAlign w:val="center"/>
            <w:hideMark/>
          </w:tcPr>
          <w:p w14:paraId="12D5CF39" w14:textId="77777777" w:rsidR="0036767C" w:rsidRPr="0036767C" w:rsidRDefault="0036767C" w:rsidP="0036767C">
            <w:pPr>
              <w:ind w:left="0" w:right="0" w:firstLine="0"/>
              <w:jc w:val="center"/>
              <w:rPr>
                <w:rFonts w:ascii="Arial" w:hAnsi="Arial" w:cs="Arial"/>
                <w:i/>
                <w:iCs/>
                <w:sz w:val="20"/>
                <w:szCs w:val="20"/>
              </w:rPr>
            </w:pPr>
            <w:r w:rsidRPr="0036767C">
              <w:rPr>
                <w:rFonts w:ascii="Arial" w:hAnsi="Arial" w:cs="Arial"/>
                <w:i/>
                <w:iCs/>
                <w:sz w:val="20"/>
                <w:szCs w:val="20"/>
              </w:rPr>
              <w:t>1</w:t>
            </w:r>
          </w:p>
        </w:tc>
        <w:tc>
          <w:tcPr>
            <w:tcW w:w="3859" w:type="dxa"/>
            <w:tcBorders>
              <w:top w:val="single" w:sz="8" w:space="0" w:color="auto"/>
              <w:left w:val="nil"/>
              <w:bottom w:val="single" w:sz="8" w:space="0" w:color="auto"/>
              <w:right w:val="single" w:sz="4" w:space="0" w:color="auto"/>
            </w:tcBorders>
            <w:shd w:val="clear" w:color="auto" w:fill="auto"/>
            <w:noWrap/>
            <w:vAlign w:val="center"/>
            <w:hideMark/>
          </w:tcPr>
          <w:p w14:paraId="2F7B7348" w14:textId="77777777" w:rsidR="0036767C" w:rsidRPr="0036767C" w:rsidRDefault="0036767C" w:rsidP="0036767C">
            <w:pPr>
              <w:ind w:left="0" w:right="0" w:firstLine="0"/>
              <w:jc w:val="center"/>
              <w:rPr>
                <w:rFonts w:ascii="Arial" w:hAnsi="Arial" w:cs="Arial"/>
                <w:i/>
                <w:iCs/>
                <w:sz w:val="20"/>
                <w:szCs w:val="20"/>
              </w:rPr>
            </w:pPr>
            <w:r w:rsidRPr="0036767C">
              <w:rPr>
                <w:rFonts w:ascii="Arial" w:hAnsi="Arial" w:cs="Arial"/>
                <w:i/>
                <w:iCs/>
                <w:sz w:val="20"/>
                <w:szCs w:val="20"/>
              </w:rPr>
              <w:t>2</w:t>
            </w:r>
          </w:p>
        </w:tc>
        <w:tc>
          <w:tcPr>
            <w:tcW w:w="1560" w:type="dxa"/>
            <w:tcBorders>
              <w:top w:val="single" w:sz="8" w:space="0" w:color="auto"/>
              <w:left w:val="nil"/>
              <w:bottom w:val="single" w:sz="8" w:space="0" w:color="auto"/>
              <w:right w:val="single" w:sz="4" w:space="0" w:color="auto"/>
            </w:tcBorders>
            <w:shd w:val="clear" w:color="auto" w:fill="auto"/>
            <w:noWrap/>
            <w:vAlign w:val="center"/>
            <w:hideMark/>
          </w:tcPr>
          <w:p w14:paraId="2E026620" w14:textId="77777777" w:rsidR="0036767C" w:rsidRPr="0036767C" w:rsidRDefault="0036767C" w:rsidP="0036767C">
            <w:pPr>
              <w:ind w:left="0" w:right="0" w:firstLine="0"/>
              <w:jc w:val="center"/>
              <w:rPr>
                <w:rFonts w:ascii="Arial" w:hAnsi="Arial" w:cs="Arial"/>
                <w:i/>
                <w:iCs/>
                <w:sz w:val="20"/>
                <w:szCs w:val="20"/>
              </w:rPr>
            </w:pPr>
            <w:r w:rsidRPr="0036767C">
              <w:rPr>
                <w:rFonts w:ascii="Arial" w:hAnsi="Arial" w:cs="Arial"/>
                <w:i/>
                <w:iCs/>
                <w:sz w:val="20"/>
                <w:szCs w:val="20"/>
              </w:rPr>
              <w:t>3</w:t>
            </w:r>
          </w:p>
        </w:tc>
        <w:tc>
          <w:tcPr>
            <w:tcW w:w="1496" w:type="dxa"/>
            <w:tcBorders>
              <w:top w:val="single" w:sz="8" w:space="0" w:color="auto"/>
              <w:left w:val="nil"/>
              <w:bottom w:val="single" w:sz="8" w:space="0" w:color="auto"/>
              <w:right w:val="single" w:sz="4" w:space="0" w:color="auto"/>
            </w:tcBorders>
            <w:shd w:val="clear" w:color="auto" w:fill="auto"/>
            <w:noWrap/>
            <w:vAlign w:val="center"/>
            <w:hideMark/>
          </w:tcPr>
          <w:p w14:paraId="2D14B2B7" w14:textId="77777777" w:rsidR="0036767C" w:rsidRPr="0036767C" w:rsidRDefault="0036767C" w:rsidP="0036767C">
            <w:pPr>
              <w:ind w:left="0" w:right="0" w:firstLine="0"/>
              <w:jc w:val="center"/>
              <w:rPr>
                <w:rFonts w:ascii="Arial" w:hAnsi="Arial" w:cs="Arial"/>
                <w:i/>
                <w:iCs/>
                <w:sz w:val="20"/>
                <w:szCs w:val="20"/>
              </w:rPr>
            </w:pPr>
            <w:r w:rsidRPr="0036767C">
              <w:rPr>
                <w:rFonts w:ascii="Arial" w:hAnsi="Arial" w:cs="Arial"/>
                <w:i/>
                <w:iCs/>
                <w:sz w:val="20"/>
                <w:szCs w:val="20"/>
              </w:rPr>
              <w:t>4</w:t>
            </w:r>
          </w:p>
        </w:tc>
        <w:tc>
          <w:tcPr>
            <w:tcW w:w="1171" w:type="dxa"/>
            <w:tcBorders>
              <w:top w:val="single" w:sz="8" w:space="0" w:color="auto"/>
              <w:left w:val="nil"/>
              <w:bottom w:val="single" w:sz="8" w:space="0" w:color="auto"/>
              <w:right w:val="single" w:sz="4" w:space="0" w:color="auto"/>
            </w:tcBorders>
            <w:shd w:val="clear" w:color="auto" w:fill="auto"/>
            <w:noWrap/>
            <w:vAlign w:val="center"/>
            <w:hideMark/>
          </w:tcPr>
          <w:p w14:paraId="0E18EF33" w14:textId="77777777" w:rsidR="0036767C" w:rsidRPr="0036767C" w:rsidRDefault="0036767C" w:rsidP="0036767C">
            <w:pPr>
              <w:ind w:left="0" w:right="0" w:firstLine="0"/>
              <w:jc w:val="center"/>
              <w:rPr>
                <w:rFonts w:ascii="Arial" w:hAnsi="Arial" w:cs="Arial"/>
                <w:i/>
                <w:iCs/>
                <w:sz w:val="20"/>
                <w:szCs w:val="20"/>
              </w:rPr>
            </w:pPr>
            <w:r w:rsidRPr="0036767C">
              <w:rPr>
                <w:rFonts w:ascii="Arial" w:hAnsi="Arial" w:cs="Arial"/>
                <w:i/>
                <w:iCs/>
                <w:sz w:val="20"/>
                <w:szCs w:val="20"/>
              </w:rPr>
              <w:t>5(4/3*100)</w:t>
            </w:r>
          </w:p>
        </w:tc>
        <w:tc>
          <w:tcPr>
            <w:tcW w:w="998" w:type="dxa"/>
            <w:tcBorders>
              <w:top w:val="single" w:sz="8" w:space="0" w:color="auto"/>
              <w:left w:val="nil"/>
              <w:bottom w:val="single" w:sz="8" w:space="0" w:color="auto"/>
              <w:right w:val="double" w:sz="6" w:space="0" w:color="auto"/>
            </w:tcBorders>
            <w:shd w:val="clear" w:color="auto" w:fill="auto"/>
            <w:noWrap/>
            <w:vAlign w:val="center"/>
            <w:hideMark/>
          </w:tcPr>
          <w:p w14:paraId="6D9D2D66" w14:textId="77777777" w:rsidR="0036767C" w:rsidRPr="0036767C" w:rsidRDefault="0036767C" w:rsidP="0036767C">
            <w:pPr>
              <w:ind w:left="0" w:right="0" w:firstLine="0"/>
              <w:jc w:val="center"/>
              <w:rPr>
                <w:rFonts w:ascii="Arial" w:hAnsi="Arial" w:cs="Arial"/>
                <w:i/>
                <w:iCs/>
                <w:sz w:val="20"/>
                <w:szCs w:val="20"/>
              </w:rPr>
            </w:pPr>
            <w:r w:rsidRPr="0036767C">
              <w:rPr>
                <w:rFonts w:ascii="Arial" w:hAnsi="Arial" w:cs="Arial"/>
                <w:i/>
                <w:iCs/>
                <w:sz w:val="20"/>
                <w:szCs w:val="20"/>
              </w:rPr>
              <w:t>6</w:t>
            </w:r>
          </w:p>
        </w:tc>
      </w:tr>
      <w:tr w:rsidR="0036767C" w:rsidRPr="0036767C" w14:paraId="11BD5A31" w14:textId="77777777" w:rsidTr="008E320B">
        <w:trPr>
          <w:trHeight w:val="284"/>
        </w:trPr>
        <w:tc>
          <w:tcPr>
            <w:tcW w:w="654" w:type="dxa"/>
            <w:tcBorders>
              <w:top w:val="nil"/>
              <w:left w:val="double" w:sz="6" w:space="0" w:color="auto"/>
              <w:bottom w:val="single" w:sz="4" w:space="0" w:color="auto"/>
              <w:right w:val="single" w:sz="4" w:space="0" w:color="auto"/>
            </w:tcBorders>
            <w:shd w:val="clear" w:color="auto" w:fill="auto"/>
            <w:noWrap/>
            <w:vAlign w:val="center"/>
            <w:hideMark/>
          </w:tcPr>
          <w:p w14:paraId="52874A4F" w14:textId="77777777" w:rsidR="0036767C" w:rsidRPr="0036767C" w:rsidRDefault="0036767C" w:rsidP="0036767C">
            <w:pPr>
              <w:ind w:left="0" w:right="0" w:firstLine="0"/>
              <w:jc w:val="center"/>
              <w:rPr>
                <w:sz w:val="20"/>
                <w:szCs w:val="20"/>
              </w:rPr>
            </w:pPr>
            <w:r w:rsidRPr="0036767C">
              <w:rPr>
                <w:sz w:val="20"/>
                <w:szCs w:val="20"/>
              </w:rPr>
              <w:t>1</w:t>
            </w:r>
          </w:p>
        </w:tc>
        <w:tc>
          <w:tcPr>
            <w:tcW w:w="3859" w:type="dxa"/>
            <w:tcBorders>
              <w:top w:val="nil"/>
              <w:left w:val="nil"/>
              <w:bottom w:val="single" w:sz="4" w:space="0" w:color="auto"/>
              <w:right w:val="single" w:sz="4" w:space="0" w:color="auto"/>
            </w:tcBorders>
            <w:shd w:val="clear" w:color="auto" w:fill="auto"/>
            <w:noWrap/>
            <w:vAlign w:val="center"/>
            <w:hideMark/>
          </w:tcPr>
          <w:p w14:paraId="2B3AA0DA" w14:textId="77777777" w:rsidR="0036767C" w:rsidRPr="0036767C" w:rsidRDefault="0036767C" w:rsidP="0036767C">
            <w:pPr>
              <w:ind w:left="0" w:right="0" w:firstLine="0"/>
              <w:jc w:val="left"/>
              <w:rPr>
                <w:sz w:val="20"/>
                <w:szCs w:val="20"/>
              </w:rPr>
            </w:pPr>
            <w:r w:rsidRPr="0036767C">
              <w:rPr>
                <w:sz w:val="20"/>
                <w:szCs w:val="20"/>
              </w:rPr>
              <w:t>Порески приходи</w:t>
            </w:r>
          </w:p>
        </w:tc>
        <w:tc>
          <w:tcPr>
            <w:tcW w:w="1560" w:type="dxa"/>
            <w:tcBorders>
              <w:top w:val="nil"/>
              <w:left w:val="nil"/>
              <w:bottom w:val="single" w:sz="4" w:space="0" w:color="auto"/>
              <w:right w:val="single" w:sz="4" w:space="0" w:color="auto"/>
            </w:tcBorders>
            <w:shd w:val="clear" w:color="auto" w:fill="auto"/>
            <w:noWrap/>
            <w:vAlign w:val="center"/>
            <w:hideMark/>
          </w:tcPr>
          <w:p w14:paraId="0339911C" w14:textId="77777777" w:rsidR="0036767C" w:rsidRPr="00BC53B8" w:rsidRDefault="0036767C" w:rsidP="0036767C">
            <w:pPr>
              <w:ind w:left="0" w:right="0" w:firstLine="0"/>
              <w:jc w:val="right"/>
              <w:rPr>
                <w:sz w:val="20"/>
                <w:szCs w:val="20"/>
              </w:rPr>
            </w:pPr>
            <w:r w:rsidRPr="00BC53B8">
              <w:rPr>
                <w:sz w:val="20"/>
                <w:szCs w:val="20"/>
              </w:rPr>
              <w:t>11.019.900,00</w:t>
            </w:r>
          </w:p>
        </w:tc>
        <w:tc>
          <w:tcPr>
            <w:tcW w:w="1496" w:type="dxa"/>
            <w:tcBorders>
              <w:top w:val="nil"/>
              <w:left w:val="nil"/>
              <w:bottom w:val="single" w:sz="4" w:space="0" w:color="auto"/>
              <w:right w:val="single" w:sz="4" w:space="0" w:color="auto"/>
            </w:tcBorders>
            <w:shd w:val="clear" w:color="auto" w:fill="auto"/>
            <w:noWrap/>
            <w:vAlign w:val="center"/>
            <w:hideMark/>
          </w:tcPr>
          <w:p w14:paraId="52807E57" w14:textId="77777777" w:rsidR="0036767C" w:rsidRPr="00BC53B8" w:rsidRDefault="0036767C" w:rsidP="0036767C">
            <w:pPr>
              <w:ind w:left="0" w:right="0" w:firstLine="0"/>
              <w:jc w:val="right"/>
              <w:rPr>
                <w:sz w:val="20"/>
                <w:szCs w:val="20"/>
              </w:rPr>
            </w:pPr>
            <w:r w:rsidRPr="00BC53B8">
              <w:rPr>
                <w:sz w:val="20"/>
                <w:szCs w:val="20"/>
              </w:rPr>
              <w:t>10.493.702,10</w:t>
            </w:r>
          </w:p>
        </w:tc>
        <w:tc>
          <w:tcPr>
            <w:tcW w:w="1171" w:type="dxa"/>
            <w:tcBorders>
              <w:top w:val="nil"/>
              <w:left w:val="nil"/>
              <w:bottom w:val="single" w:sz="4" w:space="0" w:color="auto"/>
              <w:right w:val="single" w:sz="4" w:space="0" w:color="auto"/>
            </w:tcBorders>
            <w:shd w:val="clear" w:color="auto" w:fill="auto"/>
            <w:noWrap/>
            <w:vAlign w:val="center"/>
            <w:hideMark/>
          </w:tcPr>
          <w:p w14:paraId="267BBF07" w14:textId="77777777" w:rsidR="0036767C" w:rsidRPr="00BC53B8" w:rsidRDefault="0036767C" w:rsidP="0036767C">
            <w:pPr>
              <w:ind w:left="0" w:right="0" w:firstLine="0"/>
              <w:jc w:val="right"/>
              <w:rPr>
                <w:sz w:val="20"/>
                <w:szCs w:val="20"/>
              </w:rPr>
            </w:pPr>
            <w:r w:rsidRPr="00BC53B8">
              <w:rPr>
                <w:sz w:val="20"/>
                <w:szCs w:val="20"/>
              </w:rPr>
              <w:t>95,23</w:t>
            </w:r>
          </w:p>
        </w:tc>
        <w:tc>
          <w:tcPr>
            <w:tcW w:w="998" w:type="dxa"/>
            <w:tcBorders>
              <w:top w:val="nil"/>
              <w:left w:val="nil"/>
              <w:bottom w:val="single" w:sz="4" w:space="0" w:color="auto"/>
              <w:right w:val="double" w:sz="6" w:space="0" w:color="auto"/>
            </w:tcBorders>
            <w:shd w:val="clear" w:color="auto" w:fill="auto"/>
            <w:noWrap/>
            <w:vAlign w:val="center"/>
            <w:hideMark/>
          </w:tcPr>
          <w:p w14:paraId="745C3DD7" w14:textId="77777777" w:rsidR="0036767C" w:rsidRPr="00BC53B8" w:rsidRDefault="0036767C" w:rsidP="0036767C">
            <w:pPr>
              <w:ind w:left="0" w:right="0" w:firstLine="0"/>
              <w:jc w:val="right"/>
              <w:rPr>
                <w:sz w:val="20"/>
                <w:szCs w:val="20"/>
              </w:rPr>
            </w:pPr>
            <w:r w:rsidRPr="00BC53B8">
              <w:rPr>
                <w:sz w:val="20"/>
                <w:szCs w:val="20"/>
              </w:rPr>
              <w:t>67,39</w:t>
            </w:r>
          </w:p>
        </w:tc>
      </w:tr>
      <w:tr w:rsidR="0036767C" w:rsidRPr="0036767C" w14:paraId="332F5E31" w14:textId="77777777" w:rsidTr="008E320B">
        <w:trPr>
          <w:trHeight w:val="284"/>
        </w:trPr>
        <w:tc>
          <w:tcPr>
            <w:tcW w:w="654" w:type="dxa"/>
            <w:tcBorders>
              <w:top w:val="nil"/>
              <w:left w:val="double" w:sz="6" w:space="0" w:color="auto"/>
              <w:bottom w:val="single" w:sz="4" w:space="0" w:color="auto"/>
              <w:right w:val="single" w:sz="4" w:space="0" w:color="auto"/>
            </w:tcBorders>
            <w:shd w:val="clear" w:color="auto" w:fill="auto"/>
            <w:noWrap/>
            <w:vAlign w:val="center"/>
            <w:hideMark/>
          </w:tcPr>
          <w:p w14:paraId="2839D1A9" w14:textId="77777777" w:rsidR="0036767C" w:rsidRPr="0036767C" w:rsidRDefault="0036767C" w:rsidP="0036767C">
            <w:pPr>
              <w:ind w:left="0" w:right="0" w:firstLine="0"/>
              <w:jc w:val="center"/>
              <w:rPr>
                <w:sz w:val="20"/>
                <w:szCs w:val="20"/>
              </w:rPr>
            </w:pPr>
            <w:r w:rsidRPr="0036767C">
              <w:rPr>
                <w:sz w:val="20"/>
                <w:szCs w:val="20"/>
              </w:rPr>
              <w:t>2</w:t>
            </w:r>
          </w:p>
        </w:tc>
        <w:tc>
          <w:tcPr>
            <w:tcW w:w="3859" w:type="dxa"/>
            <w:tcBorders>
              <w:top w:val="nil"/>
              <w:left w:val="nil"/>
              <w:bottom w:val="single" w:sz="4" w:space="0" w:color="auto"/>
              <w:right w:val="single" w:sz="4" w:space="0" w:color="auto"/>
            </w:tcBorders>
            <w:shd w:val="clear" w:color="auto" w:fill="auto"/>
            <w:noWrap/>
            <w:vAlign w:val="center"/>
            <w:hideMark/>
          </w:tcPr>
          <w:p w14:paraId="4D2CFB4A" w14:textId="77777777" w:rsidR="0036767C" w:rsidRPr="0036767C" w:rsidRDefault="0036767C" w:rsidP="0036767C">
            <w:pPr>
              <w:ind w:left="0" w:right="0" w:firstLine="0"/>
              <w:jc w:val="left"/>
              <w:rPr>
                <w:sz w:val="20"/>
                <w:szCs w:val="20"/>
              </w:rPr>
            </w:pPr>
            <w:proofErr w:type="spellStart"/>
            <w:r w:rsidRPr="0036767C">
              <w:rPr>
                <w:sz w:val="20"/>
                <w:szCs w:val="20"/>
              </w:rPr>
              <w:t>Непорески</w:t>
            </w:r>
            <w:proofErr w:type="spellEnd"/>
            <w:r w:rsidRPr="0036767C">
              <w:rPr>
                <w:sz w:val="20"/>
                <w:szCs w:val="20"/>
              </w:rPr>
              <w:t xml:space="preserve"> приходи</w:t>
            </w:r>
          </w:p>
        </w:tc>
        <w:tc>
          <w:tcPr>
            <w:tcW w:w="1560" w:type="dxa"/>
            <w:tcBorders>
              <w:top w:val="nil"/>
              <w:left w:val="nil"/>
              <w:bottom w:val="single" w:sz="4" w:space="0" w:color="auto"/>
              <w:right w:val="single" w:sz="4" w:space="0" w:color="auto"/>
            </w:tcBorders>
            <w:shd w:val="clear" w:color="auto" w:fill="auto"/>
            <w:noWrap/>
            <w:vAlign w:val="center"/>
            <w:hideMark/>
          </w:tcPr>
          <w:p w14:paraId="51B116E1" w14:textId="77777777" w:rsidR="0036767C" w:rsidRPr="00BC53B8" w:rsidRDefault="0036767C" w:rsidP="0036767C">
            <w:pPr>
              <w:ind w:left="0" w:right="0" w:firstLine="0"/>
              <w:jc w:val="right"/>
              <w:rPr>
                <w:sz w:val="20"/>
                <w:szCs w:val="20"/>
              </w:rPr>
            </w:pPr>
            <w:r w:rsidRPr="00BC53B8">
              <w:rPr>
                <w:sz w:val="20"/>
                <w:szCs w:val="20"/>
              </w:rPr>
              <w:t>2.251.056,00</w:t>
            </w:r>
          </w:p>
        </w:tc>
        <w:tc>
          <w:tcPr>
            <w:tcW w:w="1496" w:type="dxa"/>
            <w:tcBorders>
              <w:top w:val="nil"/>
              <w:left w:val="nil"/>
              <w:bottom w:val="single" w:sz="4" w:space="0" w:color="auto"/>
              <w:right w:val="single" w:sz="4" w:space="0" w:color="auto"/>
            </w:tcBorders>
            <w:shd w:val="clear" w:color="auto" w:fill="auto"/>
            <w:noWrap/>
            <w:vAlign w:val="center"/>
            <w:hideMark/>
          </w:tcPr>
          <w:p w14:paraId="11C79D24" w14:textId="77777777" w:rsidR="0036767C" w:rsidRPr="00BC53B8" w:rsidRDefault="0036767C" w:rsidP="0036767C">
            <w:pPr>
              <w:ind w:left="0" w:right="0" w:firstLine="0"/>
              <w:jc w:val="right"/>
              <w:rPr>
                <w:sz w:val="20"/>
                <w:szCs w:val="20"/>
              </w:rPr>
            </w:pPr>
            <w:r w:rsidRPr="00BC53B8">
              <w:rPr>
                <w:sz w:val="20"/>
                <w:szCs w:val="20"/>
              </w:rPr>
              <w:t>2.232.629,96</w:t>
            </w:r>
          </w:p>
        </w:tc>
        <w:tc>
          <w:tcPr>
            <w:tcW w:w="1171" w:type="dxa"/>
            <w:tcBorders>
              <w:top w:val="nil"/>
              <w:left w:val="nil"/>
              <w:bottom w:val="single" w:sz="4" w:space="0" w:color="auto"/>
              <w:right w:val="single" w:sz="4" w:space="0" w:color="auto"/>
            </w:tcBorders>
            <w:shd w:val="clear" w:color="auto" w:fill="auto"/>
            <w:noWrap/>
            <w:vAlign w:val="center"/>
            <w:hideMark/>
          </w:tcPr>
          <w:p w14:paraId="31E43B08" w14:textId="77777777" w:rsidR="0036767C" w:rsidRPr="00BC53B8" w:rsidRDefault="0036767C" w:rsidP="0036767C">
            <w:pPr>
              <w:ind w:left="0" w:right="0" w:firstLine="0"/>
              <w:jc w:val="right"/>
              <w:rPr>
                <w:sz w:val="20"/>
                <w:szCs w:val="20"/>
              </w:rPr>
            </w:pPr>
            <w:r w:rsidRPr="00BC53B8">
              <w:rPr>
                <w:sz w:val="20"/>
                <w:szCs w:val="20"/>
              </w:rPr>
              <w:t>99,18</w:t>
            </w:r>
          </w:p>
        </w:tc>
        <w:tc>
          <w:tcPr>
            <w:tcW w:w="998" w:type="dxa"/>
            <w:tcBorders>
              <w:top w:val="nil"/>
              <w:left w:val="nil"/>
              <w:bottom w:val="single" w:sz="4" w:space="0" w:color="auto"/>
              <w:right w:val="double" w:sz="6" w:space="0" w:color="auto"/>
            </w:tcBorders>
            <w:shd w:val="clear" w:color="auto" w:fill="auto"/>
            <w:noWrap/>
            <w:vAlign w:val="center"/>
            <w:hideMark/>
          </w:tcPr>
          <w:p w14:paraId="1BB96A4A" w14:textId="77777777" w:rsidR="0036767C" w:rsidRPr="00BC53B8" w:rsidRDefault="0036767C" w:rsidP="0036767C">
            <w:pPr>
              <w:ind w:left="0" w:right="0" w:firstLine="0"/>
              <w:jc w:val="right"/>
              <w:rPr>
                <w:sz w:val="20"/>
                <w:szCs w:val="20"/>
              </w:rPr>
            </w:pPr>
            <w:r w:rsidRPr="00BC53B8">
              <w:rPr>
                <w:sz w:val="20"/>
                <w:szCs w:val="20"/>
              </w:rPr>
              <w:t>14,34</w:t>
            </w:r>
          </w:p>
        </w:tc>
      </w:tr>
      <w:tr w:rsidR="0036767C" w:rsidRPr="0036767C" w14:paraId="57F498A6" w14:textId="77777777" w:rsidTr="008E320B">
        <w:trPr>
          <w:trHeight w:val="284"/>
        </w:trPr>
        <w:tc>
          <w:tcPr>
            <w:tcW w:w="654" w:type="dxa"/>
            <w:tcBorders>
              <w:top w:val="nil"/>
              <w:left w:val="double" w:sz="6" w:space="0" w:color="auto"/>
              <w:bottom w:val="single" w:sz="4" w:space="0" w:color="auto"/>
              <w:right w:val="single" w:sz="4" w:space="0" w:color="auto"/>
            </w:tcBorders>
            <w:shd w:val="clear" w:color="auto" w:fill="auto"/>
            <w:noWrap/>
            <w:vAlign w:val="center"/>
            <w:hideMark/>
          </w:tcPr>
          <w:p w14:paraId="3B3D5851" w14:textId="77777777" w:rsidR="0036767C" w:rsidRPr="0036767C" w:rsidRDefault="0036767C" w:rsidP="0036767C">
            <w:pPr>
              <w:ind w:left="0" w:right="0" w:firstLine="0"/>
              <w:jc w:val="center"/>
              <w:rPr>
                <w:sz w:val="20"/>
                <w:szCs w:val="20"/>
              </w:rPr>
            </w:pPr>
            <w:r w:rsidRPr="0036767C">
              <w:rPr>
                <w:sz w:val="20"/>
                <w:szCs w:val="20"/>
              </w:rPr>
              <w:t>3</w:t>
            </w:r>
          </w:p>
        </w:tc>
        <w:tc>
          <w:tcPr>
            <w:tcW w:w="3859" w:type="dxa"/>
            <w:tcBorders>
              <w:top w:val="nil"/>
              <w:left w:val="nil"/>
              <w:bottom w:val="single" w:sz="4" w:space="0" w:color="auto"/>
              <w:right w:val="single" w:sz="4" w:space="0" w:color="auto"/>
            </w:tcBorders>
            <w:shd w:val="clear" w:color="auto" w:fill="auto"/>
            <w:noWrap/>
            <w:vAlign w:val="center"/>
            <w:hideMark/>
          </w:tcPr>
          <w:p w14:paraId="3B71DF16" w14:textId="77777777" w:rsidR="0036767C" w:rsidRPr="0036767C" w:rsidRDefault="0036767C" w:rsidP="0036767C">
            <w:pPr>
              <w:ind w:left="0" w:right="0" w:firstLine="0"/>
              <w:jc w:val="left"/>
              <w:rPr>
                <w:sz w:val="20"/>
                <w:szCs w:val="20"/>
              </w:rPr>
            </w:pPr>
            <w:r w:rsidRPr="0036767C">
              <w:rPr>
                <w:sz w:val="20"/>
                <w:szCs w:val="20"/>
              </w:rPr>
              <w:t>Грантови</w:t>
            </w:r>
          </w:p>
        </w:tc>
        <w:tc>
          <w:tcPr>
            <w:tcW w:w="1560" w:type="dxa"/>
            <w:tcBorders>
              <w:top w:val="nil"/>
              <w:left w:val="nil"/>
              <w:bottom w:val="single" w:sz="4" w:space="0" w:color="auto"/>
              <w:right w:val="single" w:sz="4" w:space="0" w:color="auto"/>
            </w:tcBorders>
            <w:shd w:val="clear" w:color="auto" w:fill="auto"/>
            <w:noWrap/>
            <w:vAlign w:val="center"/>
            <w:hideMark/>
          </w:tcPr>
          <w:p w14:paraId="1A8829A8" w14:textId="77777777" w:rsidR="0036767C" w:rsidRPr="00BC53B8" w:rsidRDefault="0036767C" w:rsidP="0036767C">
            <w:pPr>
              <w:ind w:left="0" w:right="0" w:firstLine="0"/>
              <w:jc w:val="right"/>
              <w:rPr>
                <w:sz w:val="20"/>
                <w:szCs w:val="20"/>
              </w:rPr>
            </w:pPr>
            <w:r w:rsidRPr="00BC53B8">
              <w:rPr>
                <w:sz w:val="20"/>
                <w:szCs w:val="20"/>
              </w:rPr>
              <w:t>208.856,00</w:t>
            </w:r>
          </w:p>
        </w:tc>
        <w:tc>
          <w:tcPr>
            <w:tcW w:w="1496" w:type="dxa"/>
            <w:tcBorders>
              <w:top w:val="nil"/>
              <w:left w:val="nil"/>
              <w:bottom w:val="single" w:sz="4" w:space="0" w:color="auto"/>
              <w:right w:val="single" w:sz="4" w:space="0" w:color="auto"/>
            </w:tcBorders>
            <w:shd w:val="clear" w:color="auto" w:fill="auto"/>
            <w:noWrap/>
            <w:vAlign w:val="center"/>
            <w:hideMark/>
          </w:tcPr>
          <w:p w14:paraId="74B2E3A0" w14:textId="77777777" w:rsidR="0036767C" w:rsidRPr="00BC53B8" w:rsidRDefault="0036767C" w:rsidP="0036767C">
            <w:pPr>
              <w:ind w:left="0" w:right="0" w:firstLine="0"/>
              <w:jc w:val="right"/>
              <w:rPr>
                <w:sz w:val="20"/>
                <w:szCs w:val="20"/>
              </w:rPr>
            </w:pPr>
            <w:r w:rsidRPr="00BC53B8">
              <w:rPr>
                <w:sz w:val="20"/>
                <w:szCs w:val="20"/>
              </w:rPr>
              <w:t>249.755,83</w:t>
            </w:r>
          </w:p>
        </w:tc>
        <w:tc>
          <w:tcPr>
            <w:tcW w:w="1171" w:type="dxa"/>
            <w:tcBorders>
              <w:top w:val="nil"/>
              <w:left w:val="nil"/>
              <w:bottom w:val="single" w:sz="4" w:space="0" w:color="auto"/>
              <w:right w:val="single" w:sz="4" w:space="0" w:color="auto"/>
            </w:tcBorders>
            <w:shd w:val="clear" w:color="auto" w:fill="auto"/>
            <w:noWrap/>
            <w:vAlign w:val="center"/>
            <w:hideMark/>
          </w:tcPr>
          <w:p w14:paraId="0DD369EA" w14:textId="77777777" w:rsidR="0036767C" w:rsidRPr="00BC53B8" w:rsidRDefault="0036767C" w:rsidP="0036767C">
            <w:pPr>
              <w:ind w:left="0" w:right="0" w:firstLine="0"/>
              <w:jc w:val="right"/>
              <w:rPr>
                <w:sz w:val="20"/>
                <w:szCs w:val="20"/>
              </w:rPr>
            </w:pPr>
            <w:r w:rsidRPr="00BC53B8">
              <w:rPr>
                <w:sz w:val="20"/>
                <w:szCs w:val="20"/>
              </w:rPr>
              <w:t>0,00</w:t>
            </w:r>
          </w:p>
        </w:tc>
        <w:tc>
          <w:tcPr>
            <w:tcW w:w="998" w:type="dxa"/>
            <w:tcBorders>
              <w:top w:val="nil"/>
              <w:left w:val="nil"/>
              <w:bottom w:val="single" w:sz="4" w:space="0" w:color="auto"/>
              <w:right w:val="double" w:sz="6" w:space="0" w:color="auto"/>
            </w:tcBorders>
            <w:shd w:val="clear" w:color="auto" w:fill="auto"/>
            <w:noWrap/>
            <w:vAlign w:val="center"/>
            <w:hideMark/>
          </w:tcPr>
          <w:p w14:paraId="0292E1FF" w14:textId="77777777" w:rsidR="0036767C" w:rsidRPr="00BC53B8" w:rsidRDefault="0036767C" w:rsidP="0036767C">
            <w:pPr>
              <w:ind w:left="0" w:right="0" w:firstLine="0"/>
              <w:jc w:val="right"/>
              <w:rPr>
                <w:sz w:val="20"/>
                <w:szCs w:val="20"/>
              </w:rPr>
            </w:pPr>
            <w:r w:rsidRPr="00BC53B8">
              <w:rPr>
                <w:sz w:val="20"/>
                <w:szCs w:val="20"/>
              </w:rPr>
              <w:t>1,60</w:t>
            </w:r>
          </w:p>
        </w:tc>
      </w:tr>
      <w:tr w:rsidR="0036767C" w:rsidRPr="0036767C" w14:paraId="7FE4B3E6" w14:textId="77777777" w:rsidTr="008E320B">
        <w:trPr>
          <w:trHeight w:val="284"/>
        </w:trPr>
        <w:tc>
          <w:tcPr>
            <w:tcW w:w="654" w:type="dxa"/>
            <w:tcBorders>
              <w:top w:val="nil"/>
              <w:left w:val="double" w:sz="6" w:space="0" w:color="auto"/>
              <w:bottom w:val="single" w:sz="4" w:space="0" w:color="auto"/>
              <w:right w:val="single" w:sz="4" w:space="0" w:color="auto"/>
            </w:tcBorders>
            <w:shd w:val="clear" w:color="auto" w:fill="auto"/>
            <w:noWrap/>
            <w:vAlign w:val="center"/>
            <w:hideMark/>
          </w:tcPr>
          <w:p w14:paraId="5D910E2B" w14:textId="77777777" w:rsidR="0036767C" w:rsidRPr="0036767C" w:rsidRDefault="0036767C" w:rsidP="0036767C">
            <w:pPr>
              <w:ind w:left="0" w:right="0" w:firstLine="0"/>
              <w:jc w:val="center"/>
              <w:rPr>
                <w:sz w:val="20"/>
                <w:szCs w:val="20"/>
              </w:rPr>
            </w:pPr>
            <w:r w:rsidRPr="0036767C">
              <w:rPr>
                <w:sz w:val="20"/>
                <w:szCs w:val="20"/>
              </w:rPr>
              <w:t>4</w:t>
            </w:r>
          </w:p>
        </w:tc>
        <w:tc>
          <w:tcPr>
            <w:tcW w:w="3859" w:type="dxa"/>
            <w:tcBorders>
              <w:top w:val="nil"/>
              <w:left w:val="nil"/>
              <w:bottom w:val="single" w:sz="4" w:space="0" w:color="auto"/>
              <w:right w:val="single" w:sz="4" w:space="0" w:color="auto"/>
            </w:tcBorders>
            <w:shd w:val="clear" w:color="auto" w:fill="auto"/>
            <w:vAlign w:val="center"/>
            <w:hideMark/>
          </w:tcPr>
          <w:p w14:paraId="20D96DC0" w14:textId="77777777" w:rsidR="0036767C" w:rsidRPr="0036767C" w:rsidRDefault="0036767C" w:rsidP="0036767C">
            <w:pPr>
              <w:ind w:left="0" w:right="0" w:firstLine="0"/>
              <w:jc w:val="left"/>
              <w:rPr>
                <w:sz w:val="20"/>
                <w:szCs w:val="20"/>
              </w:rPr>
            </w:pPr>
            <w:r w:rsidRPr="0036767C">
              <w:rPr>
                <w:sz w:val="20"/>
                <w:szCs w:val="20"/>
              </w:rPr>
              <w:t>Трансфери између или унутар јединица власти</w:t>
            </w:r>
          </w:p>
        </w:tc>
        <w:tc>
          <w:tcPr>
            <w:tcW w:w="1560" w:type="dxa"/>
            <w:tcBorders>
              <w:top w:val="nil"/>
              <w:left w:val="nil"/>
              <w:bottom w:val="single" w:sz="4" w:space="0" w:color="auto"/>
              <w:right w:val="single" w:sz="4" w:space="0" w:color="auto"/>
            </w:tcBorders>
            <w:shd w:val="clear" w:color="auto" w:fill="auto"/>
            <w:noWrap/>
            <w:vAlign w:val="center"/>
            <w:hideMark/>
          </w:tcPr>
          <w:p w14:paraId="50542854" w14:textId="77777777" w:rsidR="0036767C" w:rsidRPr="00BC53B8" w:rsidRDefault="0036767C" w:rsidP="0036767C">
            <w:pPr>
              <w:ind w:left="0" w:right="0" w:firstLine="0"/>
              <w:jc w:val="right"/>
              <w:rPr>
                <w:sz w:val="20"/>
                <w:szCs w:val="20"/>
              </w:rPr>
            </w:pPr>
            <w:r w:rsidRPr="00BC53B8">
              <w:rPr>
                <w:sz w:val="20"/>
                <w:szCs w:val="20"/>
              </w:rPr>
              <w:t>2.402.246,00</w:t>
            </w:r>
          </w:p>
        </w:tc>
        <w:tc>
          <w:tcPr>
            <w:tcW w:w="1496" w:type="dxa"/>
            <w:tcBorders>
              <w:top w:val="nil"/>
              <w:left w:val="nil"/>
              <w:bottom w:val="single" w:sz="4" w:space="0" w:color="auto"/>
              <w:right w:val="single" w:sz="4" w:space="0" w:color="auto"/>
            </w:tcBorders>
            <w:shd w:val="clear" w:color="auto" w:fill="auto"/>
            <w:noWrap/>
            <w:vAlign w:val="center"/>
            <w:hideMark/>
          </w:tcPr>
          <w:p w14:paraId="479C0697" w14:textId="77777777" w:rsidR="0036767C" w:rsidRPr="00BC53B8" w:rsidRDefault="0036767C" w:rsidP="0036767C">
            <w:pPr>
              <w:ind w:left="0" w:right="0" w:firstLine="0"/>
              <w:jc w:val="right"/>
              <w:rPr>
                <w:sz w:val="20"/>
                <w:szCs w:val="20"/>
              </w:rPr>
            </w:pPr>
            <w:r w:rsidRPr="00BC53B8">
              <w:rPr>
                <w:sz w:val="20"/>
                <w:szCs w:val="20"/>
              </w:rPr>
              <w:t>2.454.241,50</w:t>
            </w:r>
          </w:p>
        </w:tc>
        <w:tc>
          <w:tcPr>
            <w:tcW w:w="1171" w:type="dxa"/>
            <w:tcBorders>
              <w:top w:val="nil"/>
              <w:left w:val="nil"/>
              <w:bottom w:val="single" w:sz="4" w:space="0" w:color="auto"/>
              <w:right w:val="single" w:sz="4" w:space="0" w:color="auto"/>
            </w:tcBorders>
            <w:shd w:val="clear" w:color="auto" w:fill="auto"/>
            <w:noWrap/>
            <w:vAlign w:val="center"/>
            <w:hideMark/>
          </w:tcPr>
          <w:p w14:paraId="47B5B429" w14:textId="77777777" w:rsidR="0036767C" w:rsidRPr="00BC53B8" w:rsidRDefault="0036767C" w:rsidP="0036767C">
            <w:pPr>
              <w:ind w:left="0" w:right="0" w:firstLine="0"/>
              <w:jc w:val="right"/>
              <w:rPr>
                <w:sz w:val="20"/>
                <w:szCs w:val="20"/>
              </w:rPr>
            </w:pPr>
            <w:r w:rsidRPr="00BC53B8">
              <w:rPr>
                <w:sz w:val="20"/>
                <w:szCs w:val="20"/>
              </w:rPr>
              <w:t>102,16</w:t>
            </w:r>
          </w:p>
        </w:tc>
        <w:tc>
          <w:tcPr>
            <w:tcW w:w="998" w:type="dxa"/>
            <w:tcBorders>
              <w:top w:val="nil"/>
              <w:left w:val="nil"/>
              <w:bottom w:val="single" w:sz="4" w:space="0" w:color="auto"/>
              <w:right w:val="double" w:sz="6" w:space="0" w:color="auto"/>
            </w:tcBorders>
            <w:shd w:val="clear" w:color="auto" w:fill="auto"/>
            <w:noWrap/>
            <w:vAlign w:val="center"/>
            <w:hideMark/>
          </w:tcPr>
          <w:p w14:paraId="20CD528D" w14:textId="77777777" w:rsidR="0036767C" w:rsidRPr="00BC53B8" w:rsidRDefault="0036767C" w:rsidP="0036767C">
            <w:pPr>
              <w:ind w:left="0" w:right="0" w:firstLine="0"/>
              <w:jc w:val="right"/>
              <w:rPr>
                <w:sz w:val="20"/>
                <w:szCs w:val="20"/>
              </w:rPr>
            </w:pPr>
            <w:r w:rsidRPr="00BC53B8">
              <w:rPr>
                <w:sz w:val="20"/>
                <w:szCs w:val="20"/>
              </w:rPr>
              <w:t>15,76</w:t>
            </w:r>
          </w:p>
        </w:tc>
      </w:tr>
      <w:tr w:rsidR="0036767C" w:rsidRPr="0036767C" w14:paraId="2BE4DB3C" w14:textId="77777777" w:rsidTr="008E320B">
        <w:trPr>
          <w:trHeight w:val="284"/>
        </w:trPr>
        <w:tc>
          <w:tcPr>
            <w:tcW w:w="654" w:type="dxa"/>
            <w:tcBorders>
              <w:top w:val="nil"/>
              <w:left w:val="double" w:sz="6" w:space="0" w:color="auto"/>
              <w:bottom w:val="nil"/>
              <w:right w:val="single" w:sz="4" w:space="0" w:color="auto"/>
            </w:tcBorders>
            <w:shd w:val="clear" w:color="auto" w:fill="auto"/>
            <w:noWrap/>
            <w:vAlign w:val="center"/>
            <w:hideMark/>
          </w:tcPr>
          <w:p w14:paraId="03D6861B" w14:textId="77777777" w:rsidR="0036767C" w:rsidRPr="0036767C" w:rsidRDefault="0036767C" w:rsidP="0036767C">
            <w:pPr>
              <w:ind w:left="0" w:right="0" w:firstLine="0"/>
              <w:jc w:val="center"/>
              <w:rPr>
                <w:sz w:val="20"/>
                <w:szCs w:val="20"/>
              </w:rPr>
            </w:pPr>
            <w:r w:rsidRPr="0036767C">
              <w:rPr>
                <w:sz w:val="20"/>
                <w:szCs w:val="20"/>
              </w:rPr>
              <w:t>5</w:t>
            </w:r>
          </w:p>
        </w:tc>
        <w:tc>
          <w:tcPr>
            <w:tcW w:w="3859" w:type="dxa"/>
            <w:tcBorders>
              <w:top w:val="nil"/>
              <w:left w:val="nil"/>
              <w:bottom w:val="nil"/>
              <w:right w:val="single" w:sz="4" w:space="0" w:color="auto"/>
            </w:tcBorders>
            <w:shd w:val="clear" w:color="auto" w:fill="auto"/>
            <w:vAlign w:val="center"/>
            <w:hideMark/>
          </w:tcPr>
          <w:p w14:paraId="57E35D8C" w14:textId="77777777" w:rsidR="0036767C" w:rsidRPr="0036767C" w:rsidRDefault="0036767C" w:rsidP="0036767C">
            <w:pPr>
              <w:ind w:left="0" w:right="0" w:firstLine="0"/>
              <w:jc w:val="left"/>
              <w:rPr>
                <w:sz w:val="20"/>
                <w:szCs w:val="20"/>
              </w:rPr>
            </w:pPr>
            <w:r w:rsidRPr="0036767C">
              <w:rPr>
                <w:sz w:val="20"/>
                <w:szCs w:val="20"/>
              </w:rPr>
              <w:t xml:space="preserve">Примици за </w:t>
            </w:r>
            <w:proofErr w:type="spellStart"/>
            <w:r w:rsidRPr="0036767C">
              <w:rPr>
                <w:sz w:val="20"/>
                <w:szCs w:val="20"/>
              </w:rPr>
              <w:t>нефинансијску</w:t>
            </w:r>
            <w:proofErr w:type="spellEnd"/>
            <w:r w:rsidRPr="0036767C">
              <w:rPr>
                <w:sz w:val="20"/>
                <w:szCs w:val="20"/>
              </w:rPr>
              <w:t xml:space="preserve"> имовину</w:t>
            </w:r>
          </w:p>
        </w:tc>
        <w:tc>
          <w:tcPr>
            <w:tcW w:w="1560" w:type="dxa"/>
            <w:tcBorders>
              <w:top w:val="nil"/>
              <w:left w:val="nil"/>
              <w:bottom w:val="nil"/>
              <w:right w:val="single" w:sz="4" w:space="0" w:color="auto"/>
            </w:tcBorders>
            <w:shd w:val="clear" w:color="auto" w:fill="auto"/>
            <w:noWrap/>
            <w:vAlign w:val="center"/>
            <w:hideMark/>
          </w:tcPr>
          <w:p w14:paraId="4888B659" w14:textId="77777777" w:rsidR="0036767C" w:rsidRPr="00BC53B8" w:rsidRDefault="0036767C" w:rsidP="0036767C">
            <w:pPr>
              <w:ind w:left="0" w:right="0" w:firstLine="0"/>
              <w:jc w:val="right"/>
              <w:rPr>
                <w:sz w:val="20"/>
                <w:szCs w:val="20"/>
              </w:rPr>
            </w:pPr>
            <w:r w:rsidRPr="00BC53B8">
              <w:rPr>
                <w:sz w:val="20"/>
                <w:szCs w:val="20"/>
              </w:rPr>
              <w:t>1.576.500,00</w:t>
            </w:r>
          </w:p>
        </w:tc>
        <w:tc>
          <w:tcPr>
            <w:tcW w:w="1496" w:type="dxa"/>
            <w:tcBorders>
              <w:top w:val="nil"/>
              <w:left w:val="nil"/>
              <w:bottom w:val="nil"/>
              <w:right w:val="single" w:sz="4" w:space="0" w:color="auto"/>
            </w:tcBorders>
            <w:shd w:val="clear" w:color="auto" w:fill="auto"/>
            <w:noWrap/>
            <w:vAlign w:val="center"/>
            <w:hideMark/>
          </w:tcPr>
          <w:p w14:paraId="3FC86327" w14:textId="77777777" w:rsidR="0036767C" w:rsidRPr="00BC53B8" w:rsidRDefault="0036767C" w:rsidP="0036767C">
            <w:pPr>
              <w:ind w:left="0" w:right="0" w:firstLine="0"/>
              <w:jc w:val="right"/>
              <w:rPr>
                <w:sz w:val="20"/>
                <w:szCs w:val="20"/>
              </w:rPr>
            </w:pPr>
            <w:r w:rsidRPr="00BC53B8">
              <w:rPr>
                <w:sz w:val="20"/>
                <w:szCs w:val="20"/>
              </w:rPr>
              <w:t>140.413,11</w:t>
            </w:r>
          </w:p>
        </w:tc>
        <w:tc>
          <w:tcPr>
            <w:tcW w:w="1171" w:type="dxa"/>
            <w:tcBorders>
              <w:top w:val="nil"/>
              <w:left w:val="nil"/>
              <w:bottom w:val="nil"/>
              <w:right w:val="single" w:sz="4" w:space="0" w:color="auto"/>
            </w:tcBorders>
            <w:shd w:val="clear" w:color="auto" w:fill="auto"/>
            <w:noWrap/>
            <w:vAlign w:val="center"/>
            <w:hideMark/>
          </w:tcPr>
          <w:p w14:paraId="05909B73" w14:textId="77777777" w:rsidR="0036767C" w:rsidRPr="00BC53B8" w:rsidRDefault="0036767C" w:rsidP="0036767C">
            <w:pPr>
              <w:ind w:left="0" w:right="0" w:firstLine="0"/>
              <w:jc w:val="right"/>
              <w:rPr>
                <w:sz w:val="20"/>
                <w:szCs w:val="20"/>
              </w:rPr>
            </w:pPr>
            <w:r w:rsidRPr="00BC53B8">
              <w:rPr>
                <w:sz w:val="20"/>
                <w:szCs w:val="20"/>
              </w:rPr>
              <w:t>8,91</w:t>
            </w:r>
          </w:p>
        </w:tc>
        <w:tc>
          <w:tcPr>
            <w:tcW w:w="998" w:type="dxa"/>
            <w:tcBorders>
              <w:top w:val="nil"/>
              <w:left w:val="nil"/>
              <w:bottom w:val="nil"/>
              <w:right w:val="double" w:sz="6" w:space="0" w:color="auto"/>
            </w:tcBorders>
            <w:shd w:val="clear" w:color="auto" w:fill="auto"/>
            <w:noWrap/>
            <w:vAlign w:val="center"/>
            <w:hideMark/>
          </w:tcPr>
          <w:p w14:paraId="17A83ACF" w14:textId="77777777" w:rsidR="0036767C" w:rsidRPr="00BC53B8" w:rsidRDefault="0036767C" w:rsidP="0036767C">
            <w:pPr>
              <w:ind w:left="0" w:right="0" w:firstLine="0"/>
              <w:jc w:val="right"/>
              <w:rPr>
                <w:sz w:val="20"/>
                <w:szCs w:val="20"/>
              </w:rPr>
            </w:pPr>
            <w:r w:rsidRPr="00BC53B8">
              <w:rPr>
                <w:sz w:val="20"/>
                <w:szCs w:val="20"/>
              </w:rPr>
              <w:t>0,90</w:t>
            </w:r>
          </w:p>
        </w:tc>
      </w:tr>
      <w:tr w:rsidR="0036767C" w:rsidRPr="0036767C" w14:paraId="445CF15C" w14:textId="77777777" w:rsidTr="0036767C">
        <w:trPr>
          <w:trHeight w:val="360"/>
        </w:trPr>
        <w:tc>
          <w:tcPr>
            <w:tcW w:w="4513" w:type="dxa"/>
            <w:gridSpan w:val="2"/>
            <w:tcBorders>
              <w:top w:val="single" w:sz="8" w:space="0" w:color="auto"/>
              <w:left w:val="double" w:sz="6" w:space="0" w:color="auto"/>
              <w:bottom w:val="double" w:sz="6" w:space="0" w:color="auto"/>
              <w:right w:val="single" w:sz="4" w:space="0" w:color="auto"/>
            </w:tcBorders>
            <w:shd w:val="clear" w:color="auto" w:fill="auto"/>
            <w:noWrap/>
            <w:vAlign w:val="center"/>
            <w:hideMark/>
          </w:tcPr>
          <w:p w14:paraId="05BB63F1" w14:textId="77777777" w:rsidR="0036767C" w:rsidRPr="0036767C" w:rsidRDefault="0036767C" w:rsidP="0036767C">
            <w:pPr>
              <w:ind w:left="0" w:right="0" w:firstLine="0"/>
              <w:jc w:val="center"/>
              <w:rPr>
                <w:b/>
                <w:bCs/>
                <w:sz w:val="20"/>
                <w:szCs w:val="20"/>
              </w:rPr>
            </w:pPr>
            <w:r w:rsidRPr="0036767C">
              <w:rPr>
                <w:b/>
                <w:bCs/>
                <w:sz w:val="20"/>
                <w:szCs w:val="20"/>
              </w:rPr>
              <w:t>УКУПНО (1+2+3+4+5)</w:t>
            </w:r>
          </w:p>
        </w:tc>
        <w:tc>
          <w:tcPr>
            <w:tcW w:w="1560" w:type="dxa"/>
            <w:tcBorders>
              <w:top w:val="single" w:sz="8" w:space="0" w:color="auto"/>
              <w:left w:val="nil"/>
              <w:bottom w:val="double" w:sz="6" w:space="0" w:color="auto"/>
              <w:right w:val="single" w:sz="4" w:space="0" w:color="auto"/>
            </w:tcBorders>
            <w:shd w:val="clear" w:color="auto" w:fill="auto"/>
            <w:noWrap/>
            <w:vAlign w:val="center"/>
            <w:hideMark/>
          </w:tcPr>
          <w:p w14:paraId="00F5D18C" w14:textId="77777777" w:rsidR="0036767C" w:rsidRPr="00BC53B8" w:rsidRDefault="0036767C" w:rsidP="0036767C">
            <w:pPr>
              <w:ind w:left="0" w:right="0" w:firstLine="0"/>
              <w:jc w:val="right"/>
              <w:rPr>
                <w:b/>
                <w:bCs/>
                <w:sz w:val="20"/>
                <w:szCs w:val="20"/>
              </w:rPr>
            </w:pPr>
            <w:r w:rsidRPr="00BC53B8">
              <w:rPr>
                <w:b/>
                <w:bCs/>
                <w:sz w:val="20"/>
                <w:szCs w:val="20"/>
              </w:rPr>
              <w:t>17.458.558,00</w:t>
            </w:r>
          </w:p>
        </w:tc>
        <w:tc>
          <w:tcPr>
            <w:tcW w:w="1496" w:type="dxa"/>
            <w:tcBorders>
              <w:top w:val="single" w:sz="8" w:space="0" w:color="auto"/>
              <w:left w:val="nil"/>
              <w:bottom w:val="double" w:sz="6" w:space="0" w:color="auto"/>
              <w:right w:val="single" w:sz="4" w:space="0" w:color="auto"/>
            </w:tcBorders>
            <w:shd w:val="clear" w:color="auto" w:fill="auto"/>
            <w:noWrap/>
            <w:vAlign w:val="center"/>
            <w:hideMark/>
          </w:tcPr>
          <w:p w14:paraId="717495CA" w14:textId="77777777" w:rsidR="0036767C" w:rsidRPr="00BC53B8" w:rsidRDefault="0036767C" w:rsidP="0036767C">
            <w:pPr>
              <w:ind w:left="0" w:right="0" w:firstLine="0"/>
              <w:jc w:val="right"/>
              <w:rPr>
                <w:b/>
                <w:bCs/>
                <w:sz w:val="20"/>
                <w:szCs w:val="20"/>
              </w:rPr>
            </w:pPr>
            <w:r w:rsidRPr="00BC53B8">
              <w:rPr>
                <w:b/>
                <w:bCs/>
                <w:sz w:val="20"/>
                <w:szCs w:val="20"/>
              </w:rPr>
              <w:t>15.570.742,50</w:t>
            </w:r>
          </w:p>
        </w:tc>
        <w:tc>
          <w:tcPr>
            <w:tcW w:w="1171" w:type="dxa"/>
            <w:tcBorders>
              <w:top w:val="single" w:sz="8" w:space="0" w:color="auto"/>
              <w:left w:val="nil"/>
              <w:bottom w:val="double" w:sz="6" w:space="0" w:color="auto"/>
              <w:right w:val="single" w:sz="4" w:space="0" w:color="auto"/>
            </w:tcBorders>
            <w:shd w:val="clear" w:color="auto" w:fill="auto"/>
            <w:noWrap/>
            <w:vAlign w:val="center"/>
            <w:hideMark/>
          </w:tcPr>
          <w:p w14:paraId="20A34D7D" w14:textId="77777777" w:rsidR="0036767C" w:rsidRPr="00BC53B8" w:rsidRDefault="0036767C" w:rsidP="0036767C">
            <w:pPr>
              <w:ind w:left="0" w:right="0" w:firstLine="0"/>
              <w:jc w:val="right"/>
              <w:rPr>
                <w:b/>
                <w:bCs/>
                <w:sz w:val="20"/>
                <w:szCs w:val="20"/>
              </w:rPr>
            </w:pPr>
            <w:r w:rsidRPr="00BC53B8">
              <w:rPr>
                <w:b/>
                <w:bCs/>
                <w:sz w:val="20"/>
                <w:szCs w:val="20"/>
              </w:rPr>
              <w:t>89,19</w:t>
            </w:r>
          </w:p>
        </w:tc>
        <w:tc>
          <w:tcPr>
            <w:tcW w:w="998" w:type="dxa"/>
            <w:tcBorders>
              <w:top w:val="single" w:sz="8" w:space="0" w:color="auto"/>
              <w:left w:val="nil"/>
              <w:bottom w:val="double" w:sz="6" w:space="0" w:color="auto"/>
              <w:right w:val="double" w:sz="6" w:space="0" w:color="auto"/>
            </w:tcBorders>
            <w:shd w:val="clear" w:color="auto" w:fill="auto"/>
            <w:noWrap/>
            <w:vAlign w:val="center"/>
            <w:hideMark/>
          </w:tcPr>
          <w:p w14:paraId="33E07107" w14:textId="77777777" w:rsidR="0036767C" w:rsidRPr="00BC53B8" w:rsidRDefault="0036767C" w:rsidP="0036767C">
            <w:pPr>
              <w:ind w:left="0" w:right="0" w:firstLine="0"/>
              <w:jc w:val="right"/>
              <w:rPr>
                <w:b/>
                <w:bCs/>
                <w:sz w:val="20"/>
                <w:szCs w:val="20"/>
              </w:rPr>
            </w:pPr>
            <w:r w:rsidRPr="00BC53B8">
              <w:rPr>
                <w:b/>
                <w:bCs/>
                <w:sz w:val="20"/>
                <w:szCs w:val="20"/>
              </w:rPr>
              <w:t>100,00</w:t>
            </w:r>
          </w:p>
        </w:tc>
      </w:tr>
    </w:tbl>
    <w:p w14:paraId="3CA42BC4" w14:textId="77777777" w:rsidR="00553CC5" w:rsidRDefault="00553CC5" w:rsidP="003413E6">
      <w:pPr>
        <w:ind w:left="0" w:right="-833" w:firstLine="0"/>
      </w:pPr>
    </w:p>
    <w:p w14:paraId="012FD3C7" w14:textId="77777777" w:rsidR="00DE3E77" w:rsidRDefault="00913B29" w:rsidP="00F93F97">
      <w:pPr>
        <w:ind w:left="0" w:right="-833" w:firstLine="720"/>
      </w:pPr>
      <w:r w:rsidRPr="00E55D2D">
        <w:t xml:space="preserve">У структури укупних буџетских </w:t>
      </w:r>
      <w:r>
        <w:t xml:space="preserve">прихода и примитака за </w:t>
      </w:r>
      <w:proofErr w:type="spellStart"/>
      <w:r>
        <w:t>нефинансијску</w:t>
      </w:r>
      <w:proofErr w:type="spellEnd"/>
      <w:r>
        <w:t xml:space="preserve"> имовину </w:t>
      </w:r>
      <w:r>
        <w:rPr>
          <w:lang w:val="sr-Cyrl-BA"/>
        </w:rPr>
        <w:t>највеће учешће имају</w:t>
      </w:r>
      <w:r w:rsidRPr="00E55D2D">
        <w:t xml:space="preserve"> п</w:t>
      </w:r>
      <w:r>
        <w:t xml:space="preserve">орески приходи са </w:t>
      </w:r>
      <w:r w:rsidR="003413E6">
        <w:t>67</w:t>
      </w:r>
      <w:r w:rsidR="0036767C">
        <w:t>,39</w:t>
      </w:r>
      <w:r w:rsidRPr="00E55D2D">
        <w:t>%,</w:t>
      </w:r>
      <w:r>
        <w:rPr>
          <w:lang w:val="sr-Cyrl-BA"/>
        </w:rPr>
        <w:t xml:space="preserve"> након којих слиједе</w:t>
      </w:r>
      <w:r w:rsidR="00BC53B8">
        <w:rPr>
          <w:lang w:val="sr-Latn-RS"/>
        </w:rPr>
        <w:t xml:space="preserve"> </w:t>
      </w:r>
      <w:r w:rsidR="00553CC5">
        <w:t xml:space="preserve">трансфери између или унутар јединица власти </w:t>
      </w:r>
      <w:r w:rsidRPr="00E55D2D">
        <w:t xml:space="preserve">са </w:t>
      </w:r>
      <w:r w:rsidR="0036767C">
        <w:t>15,76</w:t>
      </w:r>
      <w:r>
        <w:t>%</w:t>
      </w:r>
      <w:r>
        <w:rPr>
          <w:lang w:val="sr-Cyrl-BA"/>
        </w:rPr>
        <w:t>.</w:t>
      </w:r>
      <w:r w:rsidR="008E320B">
        <w:rPr>
          <w:lang w:val="sr-Latn-RS"/>
        </w:rPr>
        <w:t xml:space="preserve"> </w:t>
      </w:r>
      <w:proofErr w:type="spellStart"/>
      <w:r w:rsidR="00553CC5">
        <w:rPr>
          <w:lang w:val="sr-Cyrl-BA"/>
        </w:rPr>
        <w:t>Непорески</w:t>
      </w:r>
      <w:proofErr w:type="spellEnd"/>
      <w:r w:rsidR="00553CC5">
        <w:rPr>
          <w:lang w:val="sr-Cyrl-BA"/>
        </w:rPr>
        <w:t xml:space="preserve"> приходи</w:t>
      </w:r>
      <w:r w:rsidR="008E320B">
        <w:rPr>
          <w:lang w:val="sr-Latn-RS"/>
        </w:rPr>
        <w:t xml:space="preserve"> </w:t>
      </w:r>
      <w:r>
        <w:rPr>
          <w:lang w:val="sr-Cyrl-BA"/>
        </w:rPr>
        <w:t xml:space="preserve">учествују </w:t>
      </w:r>
      <w:r>
        <w:t xml:space="preserve">са </w:t>
      </w:r>
      <w:r w:rsidR="0036767C">
        <w:t>14,34</w:t>
      </w:r>
      <w:r>
        <w:t xml:space="preserve">%, грантови са </w:t>
      </w:r>
      <w:r w:rsidR="00A76A25">
        <w:t>1,</w:t>
      </w:r>
      <w:r w:rsidR="0036767C">
        <w:t>60</w:t>
      </w:r>
      <w:r>
        <w:t xml:space="preserve">% и примици за </w:t>
      </w:r>
      <w:proofErr w:type="spellStart"/>
      <w:r>
        <w:t>нефинансијску</w:t>
      </w:r>
      <w:proofErr w:type="spellEnd"/>
      <w:r>
        <w:t xml:space="preserve"> имовину са </w:t>
      </w:r>
      <w:r w:rsidR="003413E6">
        <w:t>0,</w:t>
      </w:r>
      <w:r w:rsidR="0036767C">
        <w:t>90</w:t>
      </w:r>
      <w:r>
        <w:t>%.</w:t>
      </w:r>
    </w:p>
    <w:p w14:paraId="22DC170B" w14:textId="77777777" w:rsidR="00F44033" w:rsidRDefault="00F44033" w:rsidP="00F93F97">
      <w:pPr>
        <w:ind w:left="0" w:right="-833" w:firstLine="720"/>
      </w:pPr>
    </w:p>
    <w:p w14:paraId="706CB8BE" w14:textId="77777777" w:rsidR="00F44033" w:rsidRDefault="00F44033" w:rsidP="00F44033">
      <w:pPr>
        <w:spacing w:before="120"/>
        <w:ind w:left="0" w:right="-794" w:firstLine="0"/>
        <w:jc w:val="center"/>
        <w:rPr>
          <w:noProof/>
          <w:lang w:eastAsia="en-US"/>
        </w:rPr>
      </w:pPr>
      <w:r>
        <w:rPr>
          <w:noProof/>
          <w:lang w:eastAsia="en-US"/>
        </w:rPr>
        <w:t>Граф бр. 1. Структура буџетских прихода и примитака за нефинансијску имовину</w:t>
      </w:r>
    </w:p>
    <w:p w14:paraId="15F83BC3" w14:textId="77777777" w:rsidR="00F44033" w:rsidRDefault="00F44033" w:rsidP="00F44033">
      <w:pPr>
        <w:ind w:left="0" w:right="-833" w:firstLine="0"/>
      </w:pPr>
      <w:r w:rsidRPr="00F44033">
        <w:rPr>
          <w:noProof/>
          <w:lang w:val="sr-Latn-RS" w:eastAsia="sr-Latn-RS"/>
        </w:rPr>
        <w:drawing>
          <wp:inline distT="0" distB="0" distL="0" distR="0" wp14:anchorId="72B6A10E" wp14:editId="634D8D5F">
            <wp:extent cx="6286500" cy="3200400"/>
            <wp:effectExtent l="114300" t="114300" r="95250" b="133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87127" cy="320071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F1964E7" w14:textId="77777777" w:rsidR="00F93F97" w:rsidRDefault="00F93F97" w:rsidP="00F93F97">
      <w:pPr>
        <w:ind w:left="0" w:right="-833" w:firstLine="720"/>
      </w:pPr>
    </w:p>
    <w:p w14:paraId="3C40F38B" w14:textId="77777777" w:rsidR="00DE3E77" w:rsidRDefault="00DE3E77" w:rsidP="00F93F97">
      <w:pPr>
        <w:ind w:left="0" w:right="-833" w:firstLine="720"/>
        <w:rPr>
          <w:bCs/>
          <w:lang w:val="sr-Cyrl-BA"/>
        </w:rPr>
      </w:pPr>
      <w:r>
        <w:rPr>
          <w:bCs/>
          <w:lang w:val="sr-Cyrl-BA"/>
        </w:rPr>
        <w:lastRenderedPageBreak/>
        <w:t xml:space="preserve">На остварење прихода у буџету </w:t>
      </w:r>
      <w:proofErr w:type="spellStart"/>
      <w:r>
        <w:rPr>
          <w:bCs/>
          <w:lang w:val="sr-Cyrl-BA"/>
        </w:rPr>
        <w:t>oпштине</w:t>
      </w:r>
      <w:proofErr w:type="spellEnd"/>
      <w:r>
        <w:rPr>
          <w:bCs/>
          <w:lang w:val="sr-Cyrl-BA"/>
        </w:rPr>
        <w:t xml:space="preserve"> Прњавор у </w:t>
      </w:r>
      <w:r w:rsidR="003413E6">
        <w:rPr>
          <w:bCs/>
          <w:lang w:val="sr-Cyrl-BA"/>
        </w:rPr>
        <w:t>посматраном периоду</w:t>
      </w:r>
      <w:r w:rsidR="008E320B">
        <w:rPr>
          <w:bCs/>
          <w:lang w:val="sr-Latn-RS"/>
        </w:rPr>
        <w:t xml:space="preserve"> </w:t>
      </w:r>
      <w:r w:rsidR="007C7896">
        <w:rPr>
          <w:bCs/>
          <w:lang w:val="sr-Cyrl-BA"/>
        </w:rPr>
        <w:t xml:space="preserve">велики утицај </w:t>
      </w:r>
      <w:r w:rsidR="007034F4">
        <w:rPr>
          <w:bCs/>
          <w:lang w:val="sr-Cyrl-BA"/>
        </w:rPr>
        <w:t>имало је ширење пандемије</w:t>
      </w:r>
      <w:r>
        <w:rPr>
          <w:bCs/>
          <w:lang w:val="sr-Cyrl-BA"/>
        </w:rPr>
        <w:t xml:space="preserve"> коронави</w:t>
      </w:r>
      <w:r w:rsidR="007C7896">
        <w:rPr>
          <w:bCs/>
          <w:lang w:val="sr-Cyrl-BA"/>
        </w:rPr>
        <w:t>руса, чије дјеловање се испољава</w:t>
      </w:r>
      <w:r w:rsidR="008E320B">
        <w:rPr>
          <w:bCs/>
          <w:lang w:val="sr-Latn-RS"/>
        </w:rPr>
        <w:t xml:space="preserve"> </w:t>
      </w:r>
      <w:r w:rsidR="007C7896">
        <w:rPr>
          <w:bCs/>
          <w:lang w:val="sr-Cyrl-BA"/>
        </w:rPr>
        <w:t>од</w:t>
      </w:r>
      <w:r w:rsidR="008E320B">
        <w:rPr>
          <w:bCs/>
          <w:lang w:val="sr-Latn-RS"/>
        </w:rPr>
        <w:t xml:space="preserve"> </w:t>
      </w:r>
      <w:r w:rsidR="007C7896">
        <w:rPr>
          <w:bCs/>
          <w:lang w:val="sr-Cyrl-BA"/>
        </w:rPr>
        <w:t>половине</w:t>
      </w:r>
      <w:r w:rsidR="00C837EB">
        <w:rPr>
          <w:bCs/>
          <w:lang w:val="sr-Cyrl-BA"/>
        </w:rPr>
        <w:t xml:space="preserve"> мјесеца марта</w:t>
      </w:r>
      <w:r w:rsidR="007C7896">
        <w:rPr>
          <w:bCs/>
          <w:lang w:val="sr-Cyrl-BA"/>
        </w:rPr>
        <w:t xml:space="preserve"> након појаве првих случајева заразе и </w:t>
      </w:r>
      <w:r w:rsidR="007034F4">
        <w:rPr>
          <w:bCs/>
          <w:lang w:val="sr-Cyrl-BA"/>
        </w:rPr>
        <w:t>проглашења ванредне ситуације за територију Републике Српске. Ванредна ситуација проглашена је одлуком Владе Републике Српске која је ступила на снагу 16.03.2020. године – Одлука о проглашењу ванредне ситуације за територију Републике Српске („Службени гласник Републике Српске“, број 25/20)</w:t>
      </w:r>
      <w:r w:rsidR="003E1AAD">
        <w:rPr>
          <w:bCs/>
          <w:lang w:val="sr-Cyrl-BA"/>
        </w:rPr>
        <w:t>.</w:t>
      </w:r>
      <w:r w:rsidR="008E320B">
        <w:rPr>
          <w:bCs/>
          <w:lang w:val="sr-Latn-RS"/>
        </w:rPr>
        <w:t xml:space="preserve"> </w:t>
      </w:r>
      <w:r w:rsidR="00027C79">
        <w:rPr>
          <w:bCs/>
          <w:lang w:val="sr-Cyrl-BA"/>
        </w:rPr>
        <w:t xml:space="preserve">Након проглашења ванредне ситуације, донесена је и Одлука о проглашењу ванредног стања за територију Републике Српске („Службени гласник Републике Српске“, број 31/20), која је ступила на снагу 03.04.2020. године. Увођење ванредне ситуације, одн. ванредног стања, довело је и до увођења рестриктивних мјера од стране </w:t>
      </w:r>
      <w:r w:rsidR="00027C79">
        <w:rPr>
          <w:bCs/>
        </w:rPr>
        <w:t>Р</w:t>
      </w:r>
      <w:proofErr w:type="spellStart"/>
      <w:r w:rsidR="00027C79">
        <w:rPr>
          <w:bCs/>
          <w:lang w:val="sr-Cyrl-BA"/>
        </w:rPr>
        <w:t>епубличког</w:t>
      </w:r>
      <w:proofErr w:type="spellEnd"/>
      <w:r w:rsidR="00027C79">
        <w:rPr>
          <w:bCs/>
          <w:lang w:val="sr-Cyrl-BA"/>
        </w:rPr>
        <w:t xml:space="preserve"> штаба за ванредне ситуације, као и Општинског штаба за ванредне ситуације општине Прњавор, које су утицале на рад привредних субјеката и кретање грађана, а тиме и на мање остварење прихода у буџету општине. </w:t>
      </w:r>
      <w:r w:rsidR="00D209E5">
        <w:rPr>
          <w:bCs/>
          <w:lang w:val="sr-Cyrl-BA"/>
        </w:rPr>
        <w:t xml:space="preserve">Највећи негативни ефекти на буџетске приходе испољили су се у мјесецу априлу и мају, након чега долази до </w:t>
      </w:r>
      <w:proofErr w:type="spellStart"/>
      <w:r w:rsidR="00D209E5">
        <w:rPr>
          <w:bCs/>
          <w:lang w:val="sr-Cyrl-BA"/>
        </w:rPr>
        <w:t>постепеног</w:t>
      </w:r>
      <w:proofErr w:type="spellEnd"/>
      <w:r w:rsidR="00D209E5">
        <w:rPr>
          <w:bCs/>
          <w:lang w:val="sr-Cyrl-BA"/>
        </w:rPr>
        <w:t xml:space="preserve"> опоравка буџетских прихода, након </w:t>
      </w:r>
      <w:r w:rsidR="00301109">
        <w:rPr>
          <w:bCs/>
          <w:lang w:val="sr-Cyrl-BA"/>
        </w:rPr>
        <w:t>што је у мају почело релаксирање</w:t>
      </w:r>
      <w:r w:rsidR="00A445A6">
        <w:rPr>
          <w:bCs/>
          <w:lang w:val="sr-Cyrl-BA"/>
        </w:rPr>
        <w:t xml:space="preserve"> уведених мјера ради </w:t>
      </w:r>
      <w:proofErr w:type="spellStart"/>
      <w:r w:rsidR="00A445A6">
        <w:rPr>
          <w:bCs/>
          <w:lang w:val="sr-Cyrl-BA"/>
        </w:rPr>
        <w:t>спречавања</w:t>
      </w:r>
      <w:proofErr w:type="spellEnd"/>
      <w:r w:rsidR="00A445A6">
        <w:rPr>
          <w:bCs/>
          <w:lang w:val="sr-Cyrl-BA"/>
        </w:rPr>
        <w:t xml:space="preserve"> ширења епидемије, и почетка рада бројних привредних субјеката чији је рад био забрањен или ограничен. </w:t>
      </w:r>
      <w:r w:rsidR="001A38C6">
        <w:rPr>
          <w:bCs/>
          <w:lang w:val="sr-Cyrl-BA"/>
        </w:rPr>
        <w:t xml:space="preserve">Одлука о укидању ванредног стања за територију Републике Српске („Службени гласник Републике Српске“, број 48/20) ступила је на снагу крајем маја, али је одлука о ванредној ситуацији још увијек на снази. Након побољшања прихода у јуну и јулу, </w:t>
      </w:r>
      <w:r w:rsidR="006F6499">
        <w:rPr>
          <w:bCs/>
          <w:lang w:val="sr-Cyrl-BA"/>
        </w:rPr>
        <w:t xml:space="preserve">од мјесеца августа </w:t>
      </w:r>
      <w:r w:rsidR="001A38C6">
        <w:rPr>
          <w:bCs/>
          <w:lang w:val="sr-Cyrl-BA"/>
        </w:rPr>
        <w:t>опет до</w:t>
      </w:r>
      <w:r w:rsidR="006F6499">
        <w:rPr>
          <w:bCs/>
          <w:lang w:val="sr-Cyrl-BA"/>
        </w:rPr>
        <w:t>лази</w:t>
      </w:r>
      <w:r w:rsidR="001A38C6">
        <w:rPr>
          <w:bCs/>
          <w:lang w:val="sr-Cyrl-BA"/>
        </w:rPr>
        <w:t xml:space="preserve"> до погоршања наплате прихода, </w:t>
      </w:r>
      <w:r w:rsidR="006F6499">
        <w:rPr>
          <w:bCs/>
          <w:lang w:val="sr-Cyrl-BA"/>
        </w:rPr>
        <w:t xml:space="preserve">тако да је 2020. година завршена са падом пореских и </w:t>
      </w:r>
      <w:proofErr w:type="spellStart"/>
      <w:r w:rsidR="006F6499">
        <w:rPr>
          <w:bCs/>
          <w:lang w:val="sr-Cyrl-BA"/>
        </w:rPr>
        <w:t>непореских</w:t>
      </w:r>
      <w:proofErr w:type="spellEnd"/>
      <w:r w:rsidR="006F6499">
        <w:rPr>
          <w:bCs/>
          <w:lang w:val="sr-Cyrl-BA"/>
        </w:rPr>
        <w:t xml:space="preserve"> прихода у односу на 2019. годину од 627.409,69 КМ или 4,70%. Међутим, веће остварење средстава </w:t>
      </w:r>
      <w:proofErr w:type="spellStart"/>
      <w:r w:rsidR="006F6499">
        <w:rPr>
          <w:bCs/>
          <w:lang w:val="sr-Cyrl-BA"/>
        </w:rPr>
        <w:t>гранта</w:t>
      </w:r>
      <w:proofErr w:type="spellEnd"/>
      <w:r w:rsidR="006F6499">
        <w:rPr>
          <w:bCs/>
          <w:lang w:val="sr-Cyrl-BA"/>
        </w:rPr>
        <w:t xml:space="preserve"> и трансфера од других јединица власти у односу на 2019. годину утицало је да остварење буџетских прихода у односу на 2019. годину буде веће за 634.457,12 КМ или 4,28%. </w:t>
      </w:r>
    </w:p>
    <w:p w14:paraId="22CBFEA1" w14:textId="77777777" w:rsidR="00B21878" w:rsidRDefault="006C69F8" w:rsidP="006C69F8">
      <w:pPr>
        <w:ind w:left="0" w:right="-833" w:firstLine="720"/>
        <w:rPr>
          <w:bCs/>
          <w:lang w:val="sr-Cyrl-BA"/>
        </w:rPr>
      </w:pPr>
      <w:r>
        <w:rPr>
          <w:bCs/>
          <w:lang w:val="sr-Cyrl-BA"/>
        </w:rPr>
        <w:t xml:space="preserve">Највећи пад прихода у посматраном периоду забиљежен је код прихода од индиректних пореза, који представља најзначајнији приход у буџету општине, од чијег остварења у највећој мјери зависи остварење буџета у цјелини. У </w:t>
      </w:r>
      <w:r w:rsidR="00DE3E77">
        <w:rPr>
          <w:bCs/>
          <w:lang w:val="sr-Cyrl-BA"/>
        </w:rPr>
        <w:t xml:space="preserve">првом кварталу 2020. године забиљежен је значајан раст </w:t>
      </w:r>
      <w:r>
        <w:rPr>
          <w:bCs/>
          <w:lang w:val="sr-Cyrl-BA"/>
        </w:rPr>
        <w:t xml:space="preserve">прихода од индиректних пореза од 309.301,98 КМ </w:t>
      </w:r>
      <w:r w:rsidR="00DE3E77">
        <w:rPr>
          <w:bCs/>
          <w:lang w:val="sr-Cyrl-BA"/>
        </w:rPr>
        <w:t xml:space="preserve">у односу на исти период претходне године. </w:t>
      </w:r>
      <w:r w:rsidR="00023DCE">
        <w:rPr>
          <w:bCs/>
          <w:lang w:val="sr-Cyrl-BA"/>
        </w:rPr>
        <w:t xml:space="preserve">У мјесецу априлу и мају дошло је до снажног пада прихода од индиректних пореза и мањег остварења у односу на исте мјесеце претходне године за </w:t>
      </w:r>
      <w:r w:rsidR="009B723A">
        <w:rPr>
          <w:bCs/>
          <w:lang w:val="sr-Cyrl-BA"/>
        </w:rPr>
        <w:t>633.833,64 КМ. Благи раст прихода у мјесецу јуну у к</w:t>
      </w:r>
      <w:r w:rsidR="003F084E">
        <w:rPr>
          <w:bCs/>
          <w:lang w:val="sr-Cyrl-BA"/>
        </w:rPr>
        <w:t>оначници је резултирао мањим остварењем</w:t>
      </w:r>
      <w:r w:rsidR="009B723A">
        <w:rPr>
          <w:bCs/>
          <w:lang w:val="sr-Cyrl-BA"/>
        </w:rPr>
        <w:t xml:space="preserve"> прихода од индиректних пореза </w:t>
      </w:r>
      <w:r w:rsidR="00A907AE">
        <w:rPr>
          <w:bCs/>
          <w:lang w:val="sr-Cyrl-BA"/>
        </w:rPr>
        <w:t xml:space="preserve">у другом </w:t>
      </w:r>
      <w:r w:rsidR="002972AA">
        <w:rPr>
          <w:bCs/>
          <w:lang w:val="sr-Cyrl-BA"/>
        </w:rPr>
        <w:t>кварталу</w:t>
      </w:r>
      <w:r w:rsidR="00A907AE">
        <w:rPr>
          <w:bCs/>
          <w:lang w:val="sr-Cyrl-BA"/>
        </w:rPr>
        <w:t xml:space="preserve"> од 599.618,10 КМ. </w:t>
      </w:r>
      <w:r w:rsidR="002972AA">
        <w:rPr>
          <w:bCs/>
          <w:lang w:val="sr-Cyrl-BA"/>
        </w:rPr>
        <w:t xml:space="preserve">У другом полугодишту долази до благог опоравка прихода од индиректних пореза, тако да је трећи квартал завршен са мањим падом у односу на други квартал од 236.714,49 КМ, док је у четвртом кварталу остварен раст од 116.272,15 КМ, тако да је 2020. година у коначници завршила са мањим остварењем </w:t>
      </w:r>
      <w:r w:rsidR="00B21878">
        <w:rPr>
          <w:bCs/>
          <w:lang w:val="sr-Cyrl-BA"/>
        </w:rPr>
        <w:t xml:space="preserve">прихода од индиректних пореза од 410.758,46 КМ у односу на 2019. годину. </w:t>
      </w:r>
    </w:p>
    <w:p w14:paraId="06F425E2" w14:textId="77777777" w:rsidR="009B723A" w:rsidRDefault="003028F6" w:rsidP="006C69F8">
      <w:pPr>
        <w:ind w:left="0" w:right="-833" w:firstLine="720"/>
        <w:rPr>
          <w:bCs/>
          <w:lang w:val="sr-Cyrl-BA"/>
        </w:rPr>
      </w:pPr>
      <w:r>
        <w:rPr>
          <w:bCs/>
          <w:lang w:val="sr-Cyrl-BA"/>
        </w:rPr>
        <w:t xml:space="preserve">Када посматрамо пореске и </w:t>
      </w:r>
      <w:proofErr w:type="spellStart"/>
      <w:r>
        <w:rPr>
          <w:bCs/>
          <w:lang w:val="sr-Cyrl-BA"/>
        </w:rPr>
        <w:t>непореске</w:t>
      </w:r>
      <w:proofErr w:type="spellEnd"/>
      <w:r>
        <w:rPr>
          <w:bCs/>
          <w:lang w:val="sr-Cyrl-BA"/>
        </w:rPr>
        <w:t xml:space="preserve"> приходе остварене </w:t>
      </w:r>
      <w:r w:rsidR="00BC53B8">
        <w:rPr>
          <w:bCs/>
          <w:lang w:val="sr-Cyrl-RS"/>
        </w:rPr>
        <w:t xml:space="preserve">у </w:t>
      </w:r>
      <w:r w:rsidR="00BC53B8">
        <w:rPr>
          <w:bCs/>
          <w:lang w:val="sr-Cyrl-BA"/>
        </w:rPr>
        <w:t>2020. години</w:t>
      </w:r>
      <w:r>
        <w:rPr>
          <w:bCs/>
          <w:lang w:val="sr-Cyrl-BA"/>
        </w:rPr>
        <w:t xml:space="preserve">, </w:t>
      </w:r>
      <w:r w:rsidR="00342817">
        <w:rPr>
          <w:bCs/>
          <w:lang w:val="sr-Cyrl-BA"/>
        </w:rPr>
        <w:t xml:space="preserve">такође је евидентиран снажан </w:t>
      </w:r>
      <w:r w:rsidR="005366C4">
        <w:rPr>
          <w:bCs/>
          <w:lang w:val="sr-Cyrl-BA"/>
        </w:rPr>
        <w:t>пад</w:t>
      </w:r>
      <w:r w:rsidR="00342817">
        <w:rPr>
          <w:bCs/>
          <w:lang w:val="sr-Cyrl-BA"/>
        </w:rPr>
        <w:t xml:space="preserve"> прихода у мјесецу априлу и мају од 811.984,45 КМ у односу на април и мај 2019. године, док </w:t>
      </w:r>
      <w:r w:rsidR="00B7321A">
        <w:rPr>
          <w:bCs/>
          <w:lang w:val="sr-Cyrl-BA"/>
        </w:rPr>
        <w:t xml:space="preserve">је на нивоу </w:t>
      </w:r>
      <w:r w:rsidR="0023606C">
        <w:rPr>
          <w:bCs/>
        </w:rPr>
        <w:t>цијеле године</w:t>
      </w:r>
      <w:r w:rsidR="00B7321A">
        <w:rPr>
          <w:bCs/>
          <w:lang w:val="sr-Cyrl-BA"/>
        </w:rPr>
        <w:t xml:space="preserve"> остварено</w:t>
      </w:r>
      <w:r w:rsidR="008E320B">
        <w:rPr>
          <w:bCs/>
          <w:lang w:val="sr-Latn-RS"/>
        </w:rPr>
        <w:t xml:space="preserve"> </w:t>
      </w:r>
      <w:r w:rsidR="0023606C">
        <w:rPr>
          <w:bCs/>
          <w:lang w:val="sr-Cyrl-BA"/>
        </w:rPr>
        <w:t>6</w:t>
      </w:r>
      <w:r w:rsidR="004D5E5E">
        <w:rPr>
          <w:bCs/>
          <w:lang w:val="sr-Cyrl-BA"/>
        </w:rPr>
        <w:t>27.</w:t>
      </w:r>
      <w:r w:rsidR="0023606C">
        <w:rPr>
          <w:bCs/>
          <w:lang w:val="sr-Cyrl-BA"/>
        </w:rPr>
        <w:t>409,69</w:t>
      </w:r>
      <w:r w:rsidR="00342817">
        <w:rPr>
          <w:bCs/>
          <w:lang w:val="sr-Cyrl-BA"/>
        </w:rPr>
        <w:t xml:space="preserve"> КМ </w:t>
      </w:r>
      <w:r w:rsidR="0023606C">
        <w:rPr>
          <w:bCs/>
          <w:lang w:val="sr-Cyrl-BA"/>
        </w:rPr>
        <w:t>мање</w:t>
      </w:r>
      <w:r w:rsidR="008E320B">
        <w:rPr>
          <w:bCs/>
          <w:lang w:val="sr-Latn-RS"/>
        </w:rPr>
        <w:t xml:space="preserve"> </w:t>
      </w:r>
      <w:r w:rsidR="00B7321A">
        <w:rPr>
          <w:bCs/>
          <w:lang w:val="sr-Cyrl-BA"/>
        </w:rPr>
        <w:t xml:space="preserve">пореских и </w:t>
      </w:r>
      <w:proofErr w:type="spellStart"/>
      <w:r w:rsidR="00B7321A">
        <w:rPr>
          <w:bCs/>
          <w:lang w:val="sr-Cyrl-BA"/>
        </w:rPr>
        <w:t>непореских</w:t>
      </w:r>
      <w:proofErr w:type="spellEnd"/>
      <w:r w:rsidR="0023606C">
        <w:rPr>
          <w:bCs/>
          <w:lang w:val="sr-Cyrl-BA"/>
        </w:rPr>
        <w:t xml:space="preserve"> прихода. </w:t>
      </w:r>
      <w:r w:rsidR="002A2838">
        <w:rPr>
          <w:bCs/>
          <w:lang w:val="sr-Cyrl-BA"/>
        </w:rPr>
        <w:t xml:space="preserve">Међутим, </w:t>
      </w:r>
      <w:proofErr w:type="spellStart"/>
      <w:r w:rsidR="002A2838">
        <w:rPr>
          <w:bCs/>
          <w:lang w:val="sr-Cyrl-BA"/>
        </w:rPr>
        <w:t>усљед</w:t>
      </w:r>
      <w:proofErr w:type="spellEnd"/>
      <w:r w:rsidR="002A2838">
        <w:rPr>
          <w:bCs/>
          <w:lang w:val="sr-Cyrl-BA"/>
        </w:rPr>
        <w:t xml:space="preserve"> већег остварења средстава </w:t>
      </w:r>
      <w:proofErr w:type="spellStart"/>
      <w:r w:rsidR="002A2838">
        <w:rPr>
          <w:bCs/>
          <w:lang w:val="sr-Cyrl-BA"/>
        </w:rPr>
        <w:t>гранта</w:t>
      </w:r>
      <w:proofErr w:type="spellEnd"/>
      <w:r w:rsidR="002A2838">
        <w:rPr>
          <w:bCs/>
          <w:lang w:val="sr-Cyrl-BA"/>
        </w:rPr>
        <w:t xml:space="preserve"> за 170.510,44 КМ или 215,17% у односу на 2019. годину, као и већих средстава од трансфера од других јединица власти за 1.091.356,37 КМ или 80,08%, на крају 2020. године остварење буџетских прихода веће је за 634.457,12 КМ или 4,29% у односу на 2019. годину. На ово повећање највише су утицала средства од </w:t>
      </w:r>
      <w:r w:rsidR="002A2838">
        <w:rPr>
          <w:iCs/>
        </w:rPr>
        <w:t xml:space="preserve">Фонда солидарности за обнову Републике Српске дозначена за сузбијање посљедица изазваних пандемијом корона вируса у износу од 835.470,00 КМ. Укупно дозначена средства општинама и градовима за сузбијање посљедица изазваних пандемијом корона вируса износила су 30 </w:t>
      </w:r>
      <w:proofErr w:type="spellStart"/>
      <w:r w:rsidR="002A2838">
        <w:rPr>
          <w:iCs/>
        </w:rPr>
        <w:t>мил</w:t>
      </w:r>
      <w:proofErr w:type="spellEnd"/>
      <w:r w:rsidR="002A2838">
        <w:rPr>
          <w:iCs/>
        </w:rPr>
        <w:t>. КМ.</w:t>
      </w:r>
      <w:r w:rsidR="003F084E">
        <w:rPr>
          <w:iCs/>
        </w:rPr>
        <w:t xml:space="preserve"> Иако су буџетски приходи у односу на 2019. годину остварени у већем износу, они су ипак остварили подбачај посматрано у односу на план за 2020. годину за 451.728,61 КМ или 2,84%.</w:t>
      </w:r>
    </w:p>
    <w:p w14:paraId="5F5DF5D7" w14:textId="77777777" w:rsidR="00663165" w:rsidRDefault="00663165" w:rsidP="00553CC5">
      <w:pPr>
        <w:pStyle w:val="Podnaslovi2"/>
        <w:ind w:firstLine="0"/>
      </w:pPr>
    </w:p>
    <w:p w14:paraId="32AD0F6D" w14:textId="77777777" w:rsidR="0080123E" w:rsidRPr="00383D4F" w:rsidRDefault="004A1A66" w:rsidP="003C0CC7">
      <w:pPr>
        <w:pStyle w:val="Podnaslovi2"/>
        <w:rPr>
          <w:sz w:val="24"/>
          <w:szCs w:val="24"/>
        </w:rPr>
      </w:pPr>
      <w:r w:rsidRPr="00383D4F">
        <w:rPr>
          <w:sz w:val="24"/>
          <w:szCs w:val="24"/>
        </w:rPr>
        <w:lastRenderedPageBreak/>
        <w:tab/>
      </w:r>
      <w:bookmarkStart w:id="21" w:name="_Toc530745868"/>
      <w:bookmarkStart w:id="22" w:name="_Toc50641187"/>
      <w:r w:rsidR="00C217A9" w:rsidRPr="00383D4F">
        <w:rPr>
          <w:sz w:val="24"/>
          <w:szCs w:val="24"/>
        </w:rPr>
        <w:t xml:space="preserve">А. </w:t>
      </w:r>
      <w:r w:rsidR="0080123E" w:rsidRPr="00383D4F">
        <w:rPr>
          <w:sz w:val="24"/>
          <w:szCs w:val="24"/>
        </w:rPr>
        <w:t>Порески приходи</w:t>
      </w:r>
      <w:bookmarkEnd w:id="21"/>
      <w:bookmarkEnd w:id="22"/>
    </w:p>
    <w:p w14:paraId="343585AA" w14:textId="77777777" w:rsidR="0080123E" w:rsidRDefault="0080123E" w:rsidP="00C66C04">
      <w:pPr>
        <w:ind w:left="0" w:right="-833" w:firstLine="0"/>
        <w:rPr>
          <w:b/>
          <w:bCs/>
          <w:i/>
          <w:lang w:val="sr-Cyrl-BA"/>
        </w:rPr>
      </w:pPr>
    </w:p>
    <w:p w14:paraId="0455A606" w14:textId="77777777" w:rsidR="001205A9" w:rsidRPr="001205A9" w:rsidRDefault="00246ED2" w:rsidP="00185C02">
      <w:pPr>
        <w:ind w:left="0" w:right="-835" w:firstLine="720"/>
        <w:rPr>
          <w:bCs/>
        </w:rPr>
      </w:pPr>
      <w:r w:rsidRPr="00246ED2">
        <w:rPr>
          <w:b/>
          <w:bCs/>
        </w:rPr>
        <w:t>Приходи од индиректних пореза</w:t>
      </w:r>
      <w:r>
        <w:rPr>
          <w:bCs/>
        </w:rPr>
        <w:t xml:space="preserve"> представљају највећи порески приход, и н</w:t>
      </w:r>
      <w:proofErr w:type="spellStart"/>
      <w:r w:rsidR="0080123E" w:rsidRPr="0080123E">
        <w:rPr>
          <w:bCs/>
          <w:lang w:val="sr-Cyrl-BA"/>
        </w:rPr>
        <w:t>ајвећи</w:t>
      </w:r>
      <w:proofErr w:type="spellEnd"/>
      <w:r w:rsidR="0080123E" w:rsidRPr="0080123E">
        <w:rPr>
          <w:bCs/>
          <w:lang w:val="sr-Cyrl-BA"/>
        </w:rPr>
        <w:t xml:space="preserve"> </w:t>
      </w:r>
      <w:r w:rsidR="0080123E">
        <w:rPr>
          <w:bCs/>
          <w:lang w:val="sr-Cyrl-BA"/>
        </w:rPr>
        <w:t xml:space="preserve">приход буџета општине, </w:t>
      </w:r>
      <w:r>
        <w:rPr>
          <w:bCs/>
          <w:lang w:val="sr-Cyrl-BA"/>
        </w:rPr>
        <w:t>са</w:t>
      </w:r>
      <w:r w:rsidR="003B061D">
        <w:rPr>
          <w:bCs/>
          <w:lang w:val="sr-Cyrl-BA"/>
        </w:rPr>
        <w:t xml:space="preserve"> учешће</w:t>
      </w:r>
      <w:r>
        <w:rPr>
          <w:bCs/>
          <w:lang w:val="sr-Cyrl-BA"/>
        </w:rPr>
        <w:t>м</w:t>
      </w:r>
      <w:r w:rsidR="003B061D">
        <w:rPr>
          <w:bCs/>
          <w:lang w:val="sr-Cyrl-BA"/>
        </w:rPr>
        <w:t xml:space="preserve"> у укупним </w:t>
      </w:r>
      <w:r w:rsidR="00BC53B8">
        <w:rPr>
          <w:bCs/>
          <w:lang w:val="sr-Cyrl-BA"/>
        </w:rPr>
        <w:t xml:space="preserve">буџетским </w:t>
      </w:r>
      <w:r w:rsidR="003B061D">
        <w:rPr>
          <w:bCs/>
          <w:lang w:val="sr-Cyrl-BA"/>
        </w:rPr>
        <w:t xml:space="preserve">приходима и примицима </w:t>
      </w:r>
      <w:r w:rsidR="00E445EE">
        <w:rPr>
          <w:bCs/>
          <w:lang w:val="sr-Cyrl-BA"/>
        </w:rPr>
        <w:t xml:space="preserve">за </w:t>
      </w:r>
      <w:proofErr w:type="spellStart"/>
      <w:r w:rsidR="00E445EE">
        <w:rPr>
          <w:bCs/>
          <w:lang w:val="sr-Cyrl-BA"/>
        </w:rPr>
        <w:t>нефинансијску</w:t>
      </w:r>
      <w:proofErr w:type="spellEnd"/>
      <w:r w:rsidR="00E445EE">
        <w:rPr>
          <w:bCs/>
          <w:lang w:val="sr-Cyrl-BA"/>
        </w:rPr>
        <w:t xml:space="preserve"> имовину </w:t>
      </w:r>
      <w:r>
        <w:rPr>
          <w:bCs/>
          <w:lang w:val="sr-Cyrl-BA"/>
        </w:rPr>
        <w:t>од</w:t>
      </w:r>
      <w:r w:rsidR="00BC53B8">
        <w:rPr>
          <w:bCs/>
          <w:lang w:val="sr-Cyrl-BA"/>
        </w:rPr>
        <w:t xml:space="preserve"> 60,24</w:t>
      </w:r>
      <w:r w:rsidR="00923D8F" w:rsidRPr="00E445EE">
        <w:rPr>
          <w:bCs/>
          <w:lang w:val="sr-Cyrl-BA"/>
        </w:rPr>
        <w:t>%</w:t>
      </w:r>
      <w:r w:rsidR="00E15798">
        <w:rPr>
          <w:bCs/>
          <w:lang w:val="sr-Cyrl-BA"/>
        </w:rPr>
        <w:t xml:space="preserve">. </w:t>
      </w:r>
      <w:r w:rsidR="00D63E83">
        <w:rPr>
          <w:bCs/>
          <w:lang w:val="sr-Cyrl-BA"/>
        </w:rPr>
        <w:t>Остварење п</w:t>
      </w:r>
      <w:r w:rsidR="0080123E">
        <w:rPr>
          <w:bCs/>
          <w:lang w:val="sr-Cyrl-BA"/>
        </w:rPr>
        <w:t>риход</w:t>
      </w:r>
      <w:r w:rsidR="00D63E83">
        <w:rPr>
          <w:bCs/>
          <w:lang w:val="sr-Cyrl-BA"/>
        </w:rPr>
        <w:t>а</w:t>
      </w:r>
      <w:r w:rsidR="0080123E">
        <w:rPr>
          <w:bCs/>
          <w:lang w:val="sr-Cyrl-BA"/>
        </w:rPr>
        <w:t xml:space="preserve"> од </w:t>
      </w:r>
      <w:r>
        <w:rPr>
          <w:bCs/>
          <w:lang w:val="sr-Cyrl-BA"/>
        </w:rPr>
        <w:t>индиректних пореза</w:t>
      </w:r>
      <w:r w:rsidR="0080123E">
        <w:rPr>
          <w:bCs/>
          <w:lang w:val="sr-Cyrl-BA"/>
        </w:rPr>
        <w:t xml:space="preserve"> у </w:t>
      </w:r>
      <w:r w:rsidR="00BA4C5C">
        <w:rPr>
          <w:bCs/>
        </w:rPr>
        <w:t>2020</w:t>
      </w:r>
      <w:r w:rsidR="003F084E">
        <w:rPr>
          <w:bCs/>
        </w:rPr>
        <w:t>. години</w:t>
      </w:r>
      <w:r w:rsidR="008E320B">
        <w:rPr>
          <w:bCs/>
          <w:lang w:val="sr-Latn-RS"/>
        </w:rPr>
        <w:t xml:space="preserve"> </w:t>
      </w:r>
      <w:r w:rsidR="00D63E83">
        <w:rPr>
          <w:bCs/>
          <w:lang w:val="sr-Cyrl-BA"/>
        </w:rPr>
        <w:t>износи</w:t>
      </w:r>
      <w:r w:rsidR="008E320B">
        <w:rPr>
          <w:bCs/>
          <w:lang w:val="sr-Latn-RS"/>
        </w:rPr>
        <w:t xml:space="preserve"> </w:t>
      </w:r>
      <w:r w:rsidR="003F084E">
        <w:rPr>
          <w:bCs/>
          <w:lang w:val="sr-Cyrl-BA"/>
        </w:rPr>
        <w:t>9.379.602,00</w:t>
      </w:r>
      <w:r w:rsidR="0080123E">
        <w:rPr>
          <w:bCs/>
          <w:lang w:val="sr-Cyrl-BA"/>
        </w:rPr>
        <w:t xml:space="preserve"> КМ</w:t>
      </w:r>
      <w:r w:rsidR="00D63E83">
        <w:rPr>
          <w:bCs/>
          <w:lang w:val="sr-Cyrl-BA"/>
        </w:rPr>
        <w:t>, што је</w:t>
      </w:r>
      <w:r w:rsidR="008E320B">
        <w:rPr>
          <w:bCs/>
          <w:lang w:val="sr-Latn-RS"/>
        </w:rPr>
        <w:t xml:space="preserve"> </w:t>
      </w:r>
      <w:r w:rsidR="003F084E">
        <w:rPr>
          <w:bCs/>
          <w:lang w:val="sr-Cyrl-BA"/>
        </w:rPr>
        <w:t>94,61</w:t>
      </w:r>
      <w:r w:rsidR="00913BC7">
        <w:rPr>
          <w:bCs/>
          <w:lang w:val="sr-Cyrl-BA"/>
        </w:rPr>
        <w:t xml:space="preserve">% </w:t>
      </w:r>
      <w:r w:rsidR="00BA4C5C">
        <w:rPr>
          <w:bCs/>
          <w:lang w:val="sr-Cyrl-BA"/>
        </w:rPr>
        <w:t>од планираних средстава за 2020</w:t>
      </w:r>
      <w:r w:rsidR="00913BC7">
        <w:rPr>
          <w:bCs/>
          <w:lang w:val="sr-Cyrl-BA"/>
        </w:rPr>
        <w:t>. годину</w:t>
      </w:r>
      <w:r w:rsidR="00BA4C5C">
        <w:rPr>
          <w:bCs/>
          <w:lang w:val="sr-Cyrl-BA"/>
        </w:rPr>
        <w:t xml:space="preserve">. Посматрано у односу на исти период претходне године, приходи од индиректних пореза </w:t>
      </w:r>
      <w:r w:rsidR="0032054A">
        <w:rPr>
          <w:bCs/>
          <w:lang w:val="sr-Cyrl-BA"/>
        </w:rPr>
        <w:t xml:space="preserve">су </w:t>
      </w:r>
      <w:r w:rsidR="00E15798">
        <w:rPr>
          <w:bCs/>
          <w:lang w:val="sr-Cyrl-RS"/>
        </w:rPr>
        <w:t xml:space="preserve">мањи </w:t>
      </w:r>
      <w:r w:rsidR="00AD61DA">
        <w:rPr>
          <w:bCs/>
          <w:lang w:val="sr-Cyrl-BA"/>
        </w:rPr>
        <w:t xml:space="preserve">за </w:t>
      </w:r>
      <w:r w:rsidR="003F084E">
        <w:rPr>
          <w:bCs/>
          <w:lang w:val="sr-Cyrl-BA"/>
        </w:rPr>
        <w:t>410.758,46</w:t>
      </w:r>
      <w:r w:rsidR="00AD61DA">
        <w:rPr>
          <w:bCs/>
          <w:lang w:val="sr-Cyrl-BA"/>
        </w:rPr>
        <w:t xml:space="preserve"> КМ или за </w:t>
      </w:r>
      <w:r w:rsidR="003F084E">
        <w:rPr>
          <w:bCs/>
          <w:lang w:val="sr-Cyrl-BA"/>
        </w:rPr>
        <w:t>4,20</w:t>
      </w:r>
      <w:r w:rsidR="00AD61DA">
        <w:rPr>
          <w:bCs/>
          <w:lang w:val="sr-Cyrl-BA"/>
        </w:rPr>
        <w:t>%</w:t>
      </w:r>
      <w:r w:rsidR="001205A9">
        <w:rPr>
          <w:bCs/>
        </w:rPr>
        <w:t>.</w:t>
      </w:r>
    </w:p>
    <w:p w14:paraId="64CEF0CB" w14:textId="77777777" w:rsidR="00577AF5" w:rsidRDefault="00620614" w:rsidP="00185C02">
      <w:pPr>
        <w:ind w:left="0" w:right="-835" w:firstLine="720"/>
        <w:rPr>
          <w:bCs/>
        </w:rPr>
      </w:pPr>
      <w:r>
        <w:rPr>
          <w:bCs/>
        </w:rPr>
        <w:t>У првом кварталу 2020. године остварење прихода од индиректних пореза било је веће за 14,80% или за 309.301,98 КМ у односу на остварење у истом периоду претходне године.</w:t>
      </w:r>
      <w:r w:rsidR="00955AB0">
        <w:rPr>
          <w:bCs/>
          <w:lang w:val="sr-Cyrl-RS"/>
        </w:rPr>
        <w:t xml:space="preserve"> </w:t>
      </w:r>
      <w:r>
        <w:rPr>
          <w:bCs/>
        </w:rPr>
        <w:t xml:space="preserve">У </w:t>
      </w:r>
      <w:proofErr w:type="spellStart"/>
      <w:r w:rsidR="001205A9">
        <w:rPr>
          <w:bCs/>
        </w:rPr>
        <w:t>мјесецу</w:t>
      </w:r>
      <w:proofErr w:type="spellEnd"/>
      <w:r w:rsidR="001205A9">
        <w:rPr>
          <w:bCs/>
        </w:rPr>
        <w:t xml:space="preserve"> </w:t>
      </w:r>
      <w:r>
        <w:rPr>
          <w:bCs/>
        </w:rPr>
        <w:t xml:space="preserve">априлу заустављен је тренд раста прихода од индиректних пореза због </w:t>
      </w:r>
      <w:proofErr w:type="spellStart"/>
      <w:r>
        <w:rPr>
          <w:bCs/>
        </w:rPr>
        <w:t>дјеловања</w:t>
      </w:r>
      <w:proofErr w:type="spellEnd"/>
      <w:r>
        <w:rPr>
          <w:bCs/>
        </w:rPr>
        <w:t xml:space="preserve"> коронавируса на економију БиХ. Према подацима Управе за индиректно опорезивање БиХ</w:t>
      </w:r>
      <w:r>
        <w:rPr>
          <w:rStyle w:val="Referencafusnote"/>
          <w:bCs/>
        </w:rPr>
        <w:footnoteReference w:id="1"/>
      </w:r>
      <w:r w:rsidR="00411A78">
        <w:rPr>
          <w:bCs/>
        </w:rPr>
        <w:t>,</w:t>
      </w:r>
      <w:r w:rsidR="00955AB0">
        <w:rPr>
          <w:bCs/>
          <w:lang w:val="sr-Cyrl-RS"/>
        </w:rPr>
        <w:t xml:space="preserve"> </w:t>
      </w:r>
      <w:r w:rsidR="00411A78">
        <w:rPr>
          <w:bCs/>
        </w:rPr>
        <w:t xml:space="preserve">нето наплата прихода од индиректних пореза у </w:t>
      </w:r>
      <w:proofErr w:type="spellStart"/>
      <w:r w:rsidR="00411A78">
        <w:rPr>
          <w:bCs/>
        </w:rPr>
        <w:t>мјесецу</w:t>
      </w:r>
      <w:proofErr w:type="spellEnd"/>
      <w:r w:rsidR="00411A78">
        <w:rPr>
          <w:bCs/>
        </w:rPr>
        <w:t xml:space="preserve"> априлу била је мања за 22,2% или за 119,5 </w:t>
      </w:r>
      <w:proofErr w:type="spellStart"/>
      <w:r w:rsidR="00411A78">
        <w:rPr>
          <w:bCs/>
        </w:rPr>
        <w:t>мил</w:t>
      </w:r>
      <w:proofErr w:type="spellEnd"/>
      <w:r w:rsidR="00411A78">
        <w:rPr>
          <w:bCs/>
        </w:rPr>
        <w:t xml:space="preserve">. КМ у односу на април 2019. године. </w:t>
      </w:r>
      <w:r w:rsidR="00E17B8D">
        <w:rPr>
          <w:bCs/>
        </w:rPr>
        <w:t xml:space="preserve">У буџету општине Прњавор у </w:t>
      </w:r>
      <w:proofErr w:type="spellStart"/>
      <w:r w:rsidR="00E17B8D">
        <w:rPr>
          <w:bCs/>
        </w:rPr>
        <w:t>мјесецу</w:t>
      </w:r>
      <w:proofErr w:type="spellEnd"/>
      <w:r w:rsidR="00E17B8D">
        <w:rPr>
          <w:bCs/>
        </w:rPr>
        <w:t xml:space="preserve"> априлу </w:t>
      </w:r>
      <w:r w:rsidR="00810E5C">
        <w:rPr>
          <w:bCs/>
        </w:rPr>
        <w:t>остварено је 303.587,40 KM мање прихода од индиректних пореза у односу на април 2019. године, што значи да је в</w:t>
      </w:r>
      <w:r w:rsidR="00411A78">
        <w:rPr>
          <w:bCs/>
        </w:rPr>
        <w:t xml:space="preserve">елики </w:t>
      </w:r>
      <w:r w:rsidR="00810E5C">
        <w:rPr>
          <w:bCs/>
        </w:rPr>
        <w:t>пад прихода у априлу анулирао</w:t>
      </w:r>
      <w:r w:rsidR="00411A78">
        <w:rPr>
          <w:bCs/>
        </w:rPr>
        <w:t xml:space="preserve"> остварени суфицит у наплати из првог квартала 2020. године. </w:t>
      </w:r>
      <w:r w:rsidR="00810E5C">
        <w:rPr>
          <w:bCs/>
        </w:rPr>
        <w:t xml:space="preserve">У </w:t>
      </w:r>
      <w:proofErr w:type="spellStart"/>
      <w:r w:rsidR="00810E5C">
        <w:rPr>
          <w:bCs/>
        </w:rPr>
        <w:t>мјесецу</w:t>
      </w:r>
      <w:proofErr w:type="spellEnd"/>
      <w:r w:rsidR="00810E5C">
        <w:rPr>
          <w:bCs/>
        </w:rPr>
        <w:t xml:space="preserve"> мају такође је евидентиран </w:t>
      </w:r>
      <w:r w:rsidR="00E94B76">
        <w:rPr>
          <w:bCs/>
          <w:lang w:val="sr-Cyrl-RS"/>
        </w:rPr>
        <w:t>велики</w:t>
      </w:r>
      <w:r w:rsidR="00810E5C">
        <w:rPr>
          <w:bCs/>
        </w:rPr>
        <w:t xml:space="preserve"> пад прихода од 330.246,24 КМ у односу на мај 2019. године, док је у </w:t>
      </w:r>
      <w:proofErr w:type="spellStart"/>
      <w:r w:rsidR="00810E5C">
        <w:rPr>
          <w:bCs/>
        </w:rPr>
        <w:t>мјесецу</w:t>
      </w:r>
      <w:proofErr w:type="spellEnd"/>
      <w:r w:rsidR="00810E5C">
        <w:rPr>
          <w:bCs/>
        </w:rPr>
        <w:t xml:space="preserve"> јуну заустављен пад наплате прихода од индиректних пореза </w:t>
      </w:r>
      <w:proofErr w:type="spellStart"/>
      <w:r w:rsidR="00810E5C">
        <w:rPr>
          <w:bCs/>
        </w:rPr>
        <w:t>усљед</w:t>
      </w:r>
      <w:proofErr w:type="spellEnd"/>
      <w:r w:rsidR="00810E5C">
        <w:rPr>
          <w:bCs/>
        </w:rPr>
        <w:t xml:space="preserve"> ублажавања или укидања одређених рестриктивних </w:t>
      </w:r>
      <w:proofErr w:type="spellStart"/>
      <w:r w:rsidR="00810E5C">
        <w:rPr>
          <w:bCs/>
        </w:rPr>
        <w:t>мјера</w:t>
      </w:r>
      <w:proofErr w:type="spellEnd"/>
      <w:r w:rsidR="00810E5C">
        <w:rPr>
          <w:bCs/>
        </w:rPr>
        <w:t xml:space="preserve"> половином </w:t>
      </w:r>
      <w:proofErr w:type="spellStart"/>
      <w:r w:rsidR="00810E5C">
        <w:rPr>
          <w:bCs/>
        </w:rPr>
        <w:t>мјесеца</w:t>
      </w:r>
      <w:proofErr w:type="spellEnd"/>
      <w:r w:rsidR="00810E5C">
        <w:rPr>
          <w:bCs/>
        </w:rPr>
        <w:t xml:space="preserve"> маја.</w:t>
      </w:r>
      <w:r w:rsidR="00072101">
        <w:rPr>
          <w:bCs/>
        </w:rPr>
        <w:t xml:space="preserve"> У </w:t>
      </w:r>
      <w:proofErr w:type="spellStart"/>
      <w:r w:rsidR="00072101">
        <w:rPr>
          <w:bCs/>
        </w:rPr>
        <w:t>мјесецу</w:t>
      </w:r>
      <w:proofErr w:type="spellEnd"/>
      <w:r w:rsidR="00072101">
        <w:rPr>
          <w:bCs/>
        </w:rPr>
        <w:t xml:space="preserve"> јуну приходи од индиректних пореза остварени су за 34.215,54 КМ више у односу на јун 2019. године, што је у коначници </w:t>
      </w:r>
      <w:proofErr w:type="spellStart"/>
      <w:r w:rsidR="00072101">
        <w:rPr>
          <w:bCs/>
        </w:rPr>
        <w:t>резулт</w:t>
      </w:r>
      <w:r w:rsidR="00E94B76">
        <w:rPr>
          <w:bCs/>
          <w:lang w:val="sr-Cyrl-RS"/>
        </w:rPr>
        <w:t>ирало</w:t>
      </w:r>
      <w:proofErr w:type="spellEnd"/>
      <w:r w:rsidR="00072101">
        <w:rPr>
          <w:bCs/>
        </w:rPr>
        <w:t xml:space="preserve"> смањењем прихода од индиректних пореза од 290.316,12 КМ у првом полугодишту текуће у односу на претходну годину.</w:t>
      </w:r>
      <w:r w:rsidR="00955AB0">
        <w:rPr>
          <w:bCs/>
          <w:lang w:val="sr-Cyrl-RS"/>
        </w:rPr>
        <w:t xml:space="preserve"> </w:t>
      </w:r>
      <w:r w:rsidR="00577AF5">
        <w:rPr>
          <w:bCs/>
        </w:rPr>
        <w:t xml:space="preserve">У другом полугодишту 2020. године, и поред попуштања уведених </w:t>
      </w:r>
      <w:proofErr w:type="spellStart"/>
      <w:r w:rsidR="00577AF5">
        <w:rPr>
          <w:bCs/>
        </w:rPr>
        <w:t>мјера</w:t>
      </w:r>
      <w:proofErr w:type="spellEnd"/>
      <w:r w:rsidR="00577AF5">
        <w:rPr>
          <w:bCs/>
        </w:rPr>
        <w:t xml:space="preserve"> ради спречавања ширења вируса, остварен је пад индиректних пореза у износу од</w:t>
      </w:r>
      <w:r w:rsidR="00955AB0">
        <w:rPr>
          <w:bCs/>
          <w:lang w:val="sr-Cyrl-RS"/>
        </w:rPr>
        <w:t xml:space="preserve">      </w:t>
      </w:r>
      <w:r w:rsidR="00577AF5">
        <w:rPr>
          <w:bCs/>
        </w:rPr>
        <w:t xml:space="preserve"> 120.442,34 КМ, што је посљедица највише, како се сматра, ограничења доласка нерезидената. </w:t>
      </w:r>
    </w:p>
    <w:p w14:paraId="71F899EC" w14:textId="77777777" w:rsidR="00577AF5" w:rsidRDefault="00F72792" w:rsidP="00185C02">
      <w:pPr>
        <w:ind w:left="0" w:right="-835" w:firstLine="720"/>
        <w:rPr>
          <w:bCs/>
        </w:rPr>
      </w:pPr>
      <w:r>
        <w:rPr>
          <w:bCs/>
        </w:rPr>
        <w:t xml:space="preserve">У извршење прихода од индиректних пореза у </w:t>
      </w:r>
      <w:r w:rsidR="00577AF5">
        <w:rPr>
          <w:bCs/>
        </w:rPr>
        <w:t>2020. години</w:t>
      </w:r>
      <w:r>
        <w:rPr>
          <w:bCs/>
        </w:rPr>
        <w:t xml:space="preserve"> укључени су </w:t>
      </w:r>
      <w:r w:rsidR="00577AF5">
        <w:rPr>
          <w:bCs/>
        </w:rPr>
        <w:t xml:space="preserve">и </w:t>
      </w:r>
      <w:r>
        <w:rPr>
          <w:bCs/>
        </w:rPr>
        <w:t>приходи по основу поравнања са Федерацијом БиХ</w:t>
      </w:r>
      <w:r w:rsidR="00736F97">
        <w:rPr>
          <w:bCs/>
        </w:rPr>
        <w:t xml:space="preserve"> за 2012. годи</w:t>
      </w:r>
      <w:r w:rsidR="00955AB0">
        <w:rPr>
          <w:bCs/>
        </w:rPr>
        <w:t>ну и за период 2014-2019. година</w:t>
      </w:r>
      <w:r w:rsidR="00736F97">
        <w:rPr>
          <w:bCs/>
        </w:rPr>
        <w:t xml:space="preserve"> у износу од </w:t>
      </w:r>
      <w:r w:rsidR="00577AF5">
        <w:rPr>
          <w:bCs/>
        </w:rPr>
        <w:t>143.239,86</w:t>
      </w:r>
      <w:r w:rsidR="00736F97">
        <w:rPr>
          <w:bCs/>
        </w:rPr>
        <w:t xml:space="preserve"> КМ. Поравнање </w:t>
      </w:r>
      <w:r w:rsidR="00577AF5">
        <w:rPr>
          <w:bCs/>
        </w:rPr>
        <w:t>је</w:t>
      </w:r>
      <w:r w:rsidR="00736F97">
        <w:rPr>
          <w:bCs/>
        </w:rPr>
        <w:t xml:space="preserve"> изврш</w:t>
      </w:r>
      <w:r w:rsidR="00577AF5">
        <w:rPr>
          <w:bCs/>
        </w:rPr>
        <w:t>ено</w:t>
      </w:r>
      <w:r w:rsidR="00736F97">
        <w:rPr>
          <w:bCs/>
        </w:rPr>
        <w:t xml:space="preserve"> у шест рата </w:t>
      </w:r>
      <w:r w:rsidR="00577AF5">
        <w:rPr>
          <w:bCs/>
        </w:rPr>
        <w:t>по 23.873,31 КМ у другој половини године, и имало је утицаја на мањи пад прихода од индиректних пореза у другом, у односу на прво полугодиште.</w:t>
      </w:r>
    </w:p>
    <w:p w14:paraId="6935EE70" w14:textId="77777777" w:rsidR="003B061D" w:rsidRPr="00D63E83" w:rsidRDefault="003B061D" w:rsidP="00185C02">
      <w:pPr>
        <w:ind w:left="0" w:right="-835" w:firstLine="720"/>
        <w:rPr>
          <w:bCs/>
        </w:rPr>
      </w:pPr>
      <w:r>
        <w:rPr>
          <w:bCs/>
          <w:lang w:val="sr-Cyrl-BA"/>
        </w:rPr>
        <w:t xml:space="preserve">Приходи од </w:t>
      </w:r>
      <w:r w:rsidR="00246ED2">
        <w:rPr>
          <w:bCs/>
          <w:lang w:val="sr-Cyrl-BA"/>
        </w:rPr>
        <w:t>индиректних пореза</w:t>
      </w:r>
      <w:r>
        <w:rPr>
          <w:bCs/>
          <w:lang w:val="sr-Cyrl-BA"/>
        </w:rPr>
        <w:t xml:space="preserve"> који у расподјели припадају општинама (24% од износа који добије Република Српска, након одбитка средстава за сервисирање спољњег дуга)</w:t>
      </w:r>
      <w:r w:rsidR="00955AB0">
        <w:rPr>
          <w:bCs/>
          <w:lang w:val="sr-Cyrl-BA"/>
        </w:rPr>
        <w:t xml:space="preserve"> </w:t>
      </w:r>
      <w:r>
        <w:rPr>
          <w:bCs/>
        </w:rPr>
        <w:t xml:space="preserve">између општина се </w:t>
      </w:r>
      <w:proofErr w:type="spellStart"/>
      <w:r>
        <w:rPr>
          <w:bCs/>
        </w:rPr>
        <w:t>расподјељују</w:t>
      </w:r>
      <w:proofErr w:type="spellEnd"/>
      <w:r>
        <w:rPr>
          <w:bCs/>
        </w:rPr>
        <w:t xml:space="preserve"> на основу коефицијената </w:t>
      </w:r>
      <w:proofErr w:type="spellStart"/>
      <w:r>
        <w:rPr>
          <w:bCs/>
        </w:rPr>
        <w:t>расподјеле</w:t>
      </w:r>
      <w:proofErr w:type="spellEnd"/>
      <w:r>
        <w:rPr>
          <w:bCs/>
        </w:rPr>
        <w:t xml:space="preserve"> прописаних Одлуком о </w:t>
      </w:r>
      <w:r>
        <w:t xml:space="preserve">учешћу </w:t>
      </w:r>
      <w:r w:rsidRPr="00066CA2">
        <w:rPr>
          <w:bCs/>
        </w:rPr>
        <w:t>општина и градова у приходима од индиректних пореза и начину распоређивања тих прихода</w:t>
      </w:r>
      <w:r>
        <w:rPr>
          <w:bCs/>
        </w:rPr>
        <w:t xml:space="preserve"> („Службени гласник Републике Српске“, број 56/14 и 41/15).</w:t>
      </w:r>
      <w:r w:rsidR="00D63E83">
        <w:rPr>
          <w:bCs/>
        </w:rPr>
        <w:t xml:space="preserve"> Коефицијент учешћа општине Прњавор у приходима од </w:t>
      </w:r>
      <w:r w:rsidR="00663165">
        <w:rPr>
          <w:bCs/>
        </w:rPr>
        <w:t>индиректних пореза</w:t>
      </w:r>
      <w:r w:rsidR="00D63E83">
        <w:rPr>
          <w:bCs/>
        </w:rPr>
        <w:t xml:space="preserve"> у складу са наведеном одлуком износи 0,027849.</w:t>
      </w:r>
    </w:p>
    <w:p w14:paraId="55093AB1" w14:textId="77777777" w:rsidR="003F7318" w:rsidRDefault="003F7318" w:rsidP="00CC2400">
      <w:pPr>
        <w:ind w:left="0" w:right="-835" w:firstLine="720"/>
        <w:rPr>
          <w:bCs/>
        </w:rPr>
      </w:pPr>
    </w:p>
    <w:p w14:paraId="5E1D89BE" w14:textId="77777777" w:rsidR="00127F17" w:rsidRPr="00B049C6" w:rsidRDefault="00127F17" w:rsidP="00CC2400">
      <w:pPr>
        <w:ind w:left="0" w:right="-835" w:firstLine="720"/>
        <w:rPr>
          <w:bCs/>
        </w:rPr>
      </w:pPr>
      <w:r w:rsidRPr="003B061D">
        <w:rPr>
          <w:b/>
          <w:bCs/>
        </w:rPr>
        <w:t xml:space="preserve">Приходи од пореза на лична примања и приходе од самосталне </w:t>
      </w:r>
      <w:proofErr w:type="spellStart"/>
      <w:r w:rsidRPr="003B061D">
        <w:rPr>
          <w:b/>
          <w:bCs/>
        </w:rPr>
        <w:t>дјелатности</w:t>
      </w:r>
      <w:proofErr w:type="spellEnd"/>
      <w:r w:rsidR="00955AB0">
        <w:rPr>
          <w:b/>
          <w:bCs/>
          <w:lang w:val="sr-Cyrl-RS"/>
        </w:rPr>
        <w:t xml:space="preserve"> </w:t>
      </w:r>
      <w:r w:rsidR="00B95254">
        <w:rPr>
          <w:bCs/>
        </w:rPr>
        <w:t xml:space="preserve">представљају други по значају приход општине. У </w:t>
      </w:r>
      <w:proofErr w:type="spellStart"/>
      <w:r w:rsidR="00B95254">
        <w:rPr>
          <w:bCs/>
        </w:rPr>
        <w:t>извјештајном</w:t>
      </w:r>
      <w:proofErr w:type="spellEnd"/>
      <w:r w:rsidR="00B95254">
        <w:rPr>
          <w:bCs/>
        </w:rPr>
        <w:t xml:space="preserve"> периоду остварени су у износу од </w:t>
      </w:r>
      <w:r w:rsidR="009516BE">
        <w:rPr>
          <w:bCs/>
        </w:rPr>
        <w:t>880.795,06</w:t>
      </w:r>
      <w:r w:rsidR="00B95254">
        <w:rPr>
          <w:bCs/>
        </w:rPr>
        <w:t xml:space="preserve"> КМ, </w:t>
      </w:r>
      <w:r w:rsidR="00246ED2">
        <w:rPr>
          <w:bCs/>
        </w:rPr>
        <w:t xml:space="preserve">што је </w:t>
      </w:r>
      <w:r w:rsidR="009516BE">
        <w:rPr>
          <w:bCs/>
        </w:rPr>
        <w:t>за 3,62</w:t>
      </w:r>
      <w:r w:rsidR="00246ED2">
        <w:rPr>
          <w:bCs/>
        </w:rPr>
        <w:t xml:space="preserve">% </w:t>
      </w:r>
      <w:r w:rsidR="009516BE">
        <w:rPr>
          <w:bCs/>
        </w:rPr>
        <w:t xml:space="preserve"> више </w:t>
      </w:r>
      <w:r w:rsidR="0064625C">
        <w:rPr>
          <w:bCs/>
        </w:rPr>
        <w:t xml:space="preserve">од </w:t>
      </w:r>
      <w:r w:rsidR="00663165">
        <w:rPr>
          <w:bCs/>
        </w:rPr>
        <w:t xml:space="preserve">планираних </w:t>
      </w:r>
      <w:r w:rsidR="009669FF">
        <w:rPr>
          <w:bCs/>
        </w:rPr>
        <w:t>средстава</w:t>
      </w:r>
      <w:r w:rsidR="0064625C">
        <w:rPr>
          <w:bCs/>
        </w:rPr>
        <w:t xml:space="preserve">. </w:t>
      </w:r>
      <w:r w:rsidR="00C96DA7">
        <w:rPr>
          <w:bCs/>
        </w:rPr>
        <w:t xml:space="preserve">Порез на приходе од обављања самосталне </w:t>
      </w:r>
      <w:proofErr w:type="spellStart"/>
      <w:r w:rsidR="00C96DA7">
        <w:rPr>
          <w:bCs/>
        </w:rPr>
        <w:t>дјелатности</w:t>
      </w:r>
      <w:proofErr w:type="spellEnd"/>
      <w:r w:rsidR="00C96DA7">
        <w:rPr>
          <w:bCs/>
        </w:rPr>
        <w:t xml:space="preserve"> остварен је </w:t>
      </w:r>
      <w:r w:rsidR="009516BE">
        <w:rPr>
          <w:bCs/>
        </w:rPr>
        <w:t>за</w:t>
      </w:r>
      <w:r w:rsidR="008E320B">
        <w:rPr>
          <w:bCs/>
          <w:lang w:val="sr-Latn-RS"/>
        </w:rPr>
        <w:t xml:space="preserve"> </w:t>
      </w:r>
      <w:r w:rsidR="009516BE">
        <w:rPr>
          <w:bCs/>
        </w:rPr>
        <w:t>13.612,87 КМ или 10,47</w:t>
      </w:r>
      <w:r w:rsidR="00C96DA7">
        <w:rPr>
          <w:bCs/>
        </w:rPr>
        <w:t xml:space="preserve">% </w:t>
      </w:r>
      <w:r w:rsidR="009516BE">
        <w:rPr>
          <w:bCs/>
        </w:rPr>
        <w:t xml:space="preserve">више </w:t>
      </w:r>
      <w:r w:rsidR="00C96DA7">
        <w:rPr>
          <w:bCs/>
        </w:rPr>
        <w:t xml:space="preserve">у односу на </w:t>
      </w:r>
      <w:r w:rsidR="009516BE">
        <w:rPr>
          <w:bCs/>
        </w:rPr>
        <w:t xml:space="preserve">годишњи </w:t>
      </w:r>
      <w:r w:rsidR="00C96DA7">
        <w:rPr>
          <w:bCs/>
        </w:rPr>
        <w:t xml:space="preserve">план, док је порез на лична примања остварен </w:t>
      </w:r>
      <w:r w:rsidR="009516BE">
        <w:rPr>
          <w:bCs/>
        </w:rPr>
        <w:t>за 17.182,19 КМ или</w:t>
      </w:r>
      <w:r w:rsidR="008E320B">
        <w:rPr>
          <w:bCs/>
          <w:lang w:val="sr-Latn-RS"/>
        </w:rPr>
        <w:t xml:space="preserve"> </w:t>
      </w:r>
      <w:r w:rsidR="009516BE">
        <w:rPr>
          <w:bCs/>
        </w:rPr>
        <w:t>2,39</w:t>
      </w:r>
      <w:r w:rsidR="00C96DA7">
        <w:rPr>
          <w:bCs/>
        </w:rPr>
        <w:t xml:space="preserve">% </w:t>
      </w:r>
      <w:r w:rsidR="009516BE">
        <w:rPr>
          <w:bCs/>
        </w:rPr>
        <w:t xml:space="preserve">више у односу на план. У односу на 2019. годину ови порези су остварени за 44.623,75 КМ или 5,34% више, због раста </w:t>
      </w:r>
      <w:proofErr w:type="spellStart"/>
      <w:r w:rsidR="009516BE">
        <w:rPr>
          <w:bCs/>
        </w:rPr>
        <w:t>просјечне</w:t>
      </w:r>
      <w:proofErr w:type="spellEnd"/>
      <w:r w:rsidR="009516BE">
        <w:rPr>
          <w:bCs/>
        </w:rPr>
        <w:t xml:space="preserve"> плате у Републици у односу на 2019. годину. </w:t>
      </w:r>
      <w:r w:rsidR="00072AD7">
        <w:rPr>
          <w:bCs/>
        </w:rPr>
        <w:t xml:space="preserve">Приходи од пореза на лична примања и пореза на приходе од обављања самосталне </w:t>
      </w:r>
      <w:proofErr w:type="spellStart"/>
      <w:r w:rsidR="00072AD7">
        <w:rPr>
          <w:bCs/>
        </w:rPr>
        <w:t>дјелатности</w:t>
      </w:r>
      <w:proofErr w:type="spellEnd"/>
      <w:r w:rsidR="00072AD7">
        <w:rPr>
          <w:bCs/>
        </w:rPr>
        <w:t xml:space="preserve"> </w:t>
      </w:r>
      <w:proofErr w:type="spellStart"/>
      <w:r w:rsidR="001519EA">
        <w:t>дијеле</w:t>
      </w:r>
      <w:proofErr w:type="spellEnd"/>
      <w:r w:rsidR="001519EA">
        <w:t xml:space="preserve"> </w:t>
      </w:r>
      <w:r w:rsidR="00072AD7">
        <w:t xml:space="preserve">се </w:t>
      </w:r>
      <w:r w:rsidR="001519EA">
        <w:t xml:space="preserve">између буџета Републике и буџета општине/града у </w:t>
      </w:r>
      <w:proofErr w:type="spellStart"/>
      <w:r w:rsidR="001519EA">
        <w:t>омјеру</w:t>
      </w:r>
      <w:proofErr w:type="spellEnd"/>
      <w:r w:rsidR="001519EA">
        <w:t xml:space="preserve"> 75:25</w:t>
      </w:r>
      <w:r w:rsidR="00B049C6">
        <w:t>.</w:t>
      </w:r>
    </w:p>
    <w:p w14:paraId="2E3A1804" w14:textId="77777777" w:rsidR="00E07D00" w:rsidRDefault="00E07D00" w:rsidP="00CC2400">
      <w:pPr>
        <w:ind w:left="0" w:right="-835" w:firstLine="720"/>
        <w:rPr>
          <w:bCs/>
        </w:rPr>
      </w:pPr>
    </w:p>
    <w:p w14:paraId="05B80AB4" w14:textId="77777777" w:rsidR="007B322F" w:rsidRPr="00AE27ED" w:rsidRDefault="00FA07A2" w:rsidP="007B322F">
      <w:pPr>
        <w:ind w:left="0" w:right="-835" w:firstLine="720"/>
      </w:pPr>
      <w:r w:rsidRPr="003B061D">
        <w:rPr>
          <w:b/>
          <w:bCs/>
        </w:rPr>
        <w:lastRenderedPageBreak/>
        <w:t>Приходи од пореза на имовину – пореза на непокретности</w:t>
      </w:r>
      <w:r>
        <w:rPr>
          <w:bCs/>
        </w:rPr>
        <w:t xml:space="preserve"> остварени су у износу од </w:t>
      </w:r>
      <w:r w:rsidR="002E089A">
        <w:rPr>
          <w:bCs/>
        </w:rPr>
        <w:t xml:space="preserve">199.007,25 </w:t>
      </w:r>
      <w:r>
        <w:rPr>
          <w:bCs/>
        </w:rPr>
        <w:t xml:space="preserve">КМ, што је </w:t>
      </w:r>
      <w:r w:rsidR="002E089A">
        <w:rPr>
          <w:bCs/>
        </w:rPr>
        <w:t xml:space="preserve">за </w:t>
      </w:r>
      <w:r w:rsidR="00D91579">
        <w:rPr>
          <w:bCs/>
          <w:lang w:val="sr-Latn-RS"/>
        </w:rPr>
        <w:t>86,52</w:t>
      </w:r>
      <w:r w:rsidR="002E089A">
        <w:rPr>
          <w:bCs/>
        </w:rPr>
        <w:t xml:space="preserve">% </w:t>
      </w:r>
      <w:r>
        <w:rPr>
          <w:bCs/>
        </w:rPr>
        <w:t xml:space="preserve">у односу на план. </w:t>
      </w:r>
      <w:r w:rsidR="00384D1F">
        <w:rPr>
          <w:bCs/>
        </w:rPr>
        <w:t xml:space="preserve">У односу на остварење у </w:t>
      </w:r>
      <w:r w:rsidR="002E089A">
        <w:rPr>
          <w:bCs/>
        </w:rPr>
        <w:t>2019. години</w:t>
      </w:r>
      <w:r w:rsidR="00D91579">
        <w:rPr>
          <w:bCs/>
          <w:lang w:val="sr-Latn-RS"/>
        </w:rPr>
        <w:t xml:space="preserve"> </w:t>
      </w:r>
      <w:r w:rsidR="00C84BC0">
        <w:rPr>
          <w:bCs/>
        </w:rPr>
        <w:t xml:space="preserve">приходи од пореза на имовину – пореза на непокретности остварени су за </w:t>
      </w:r>
      <w:r w:rsidR="002E089A">
        <w:rPr>
          <w:bCs/>
        </w:rPr>
        <w:t>52.184,79</w:t>
      </w:r>
      <w:r w:rsidR="00C84BC0">
        <w:rPr>
          <w:bCs/>
        </w:rPr>
        <w:t xml:space="preserve"> КМ </w:t>
      </w:r>
      <w:r w:rsidR="007B322F">
        <w:rPr>
          <w:bCs/>
        </w:rPr>
        <w:t xml:space="preserve">или </w:t>
      </w:r>
      <w:r w:rsidR="002E089A">
        <w:rPr>
          <w:bCs/>
        </w:rPr>
        <w:t>20,77</w:t>
      </w:r>
      <w:r w:rsidR="007B322F">
        <w:rPr>
          <w:bCs/>
        </w:rPr>
        <w:t xml:space="preserve">% </w:t>
      </w:r>
      <w:r w:rsidR="00C84BC0">
        <w:rPr>
          <w:bCs/>
        </w:rPr>
        <w:t>мање.</w:t>
      </w:r>
      <w:r w:rsidR="008E320B">
        <w:rPr>
          <w:bCs/>
          <w:lang w:val="sr-Latn-RS"/>
        </w:rPr>
        <w:t xml:space="preserve"> </w:t>
      </w:r>
      <w:r w:rsidR="007B322F">
        <w:t xml:space="preserve">Мање остварење прихода од пореза на имовину-пореза на непокретности у односу на претходну годину </w:t>
      </w:r>
      <w:r w:rsidR="00911D1D">
        <w:t>посљедица је</w:t>
      </w:r>
      <w:r w:rsidR="00D91579">
        <w:rPr>
          <w:lang w:val="sr-Latn-RS"/>
        </w:rPr>
        <w:t xml:space="preserve"> </w:t>
      </w:r>
      <w:r w:rsidR="00ED285D">
        <w:t>кашњења са уручењем пореских рачуна за порез на непокретности</w:t>
      </w:r>
      <w:r w:rsidR="00421C2D">
        <w:t xml:space="preserve"> за 2020. годину</w:t>
      </w:r>
      <w:r w:rsidR="00ED285D">
        <w:t xml:space="preserve">, чије је издавање почело тек у </w:t>
      </w:r>
      <w:proofErr w:type="spellStart"/>
      <w:r w:rsidR="00ED285D">
        <w:t>мјесецу</w:t>
      </w:r>
      <w:proofErr w:type="spellEnd"/>
      <w:r w:rsidR="00ED285D">
        <w:t xml:space="preserve"> јулу</w:t>
      </w:r>
      <w:r w:rsidR="007B322F">
        <w:t xml:space="preserve">, када су регистроване и прве уплате за текућу годину. Кашњење у издавању пореских рачуна за текућу годину произилази из </w:t>
      </w:r>
      <w:proofErr w:type="spellStart"/>
      <w:r w:rsidR="007B322F">
        <w:t>помјерања</w:t>
      </w:r>
      <w:proofErr w:type="spellEnd"/>
      <w:r w:rsidR="007B322F">
        <w:t xml:space="preserve"> рокова за издавање пореских рачуна за порез на непокретности за 2020. годину</w:t>
      </w:r>
      <w:r w:rsidR="008E320B">
        <w:rPr>
          <w:lang w:val="sr-Latn-RS"/>
        </w:rPr>
        <w:t xml:space="preserve"> </w:t>
      </w:r>
      <w:r w:rsidR="007B322F">
        <w:t>са 31.03. на 30.06.2020. године,</w:t>
      </w:r>
      <w:r w:rsidR="008E320B">
        <w:rPr>
          <w:lang w:val="sr-Latn-RS"/>
        </w:rPr>
        <w:t xml:space="preserve"> </w:t>
      </w:r>
      <w:r w:rsidR="00421C2D">
        <w:t xml:space="preserve">усвајањем </w:t>
      </w:r>
      <w:r w:rsidR="00421C2D">
        <w:rPr>
          <w:bCs/>
        </w:rPr>
        <w:t>Уредбе</w:t>
      </w:r>
      <w:r w:rsidR="007B322F" w:rsidRPr="00FF7418">
        <w:rPr>
          <w:bCs/>
        </w:rPr>
        <w:t xml:space="preserve"> са законском снагом о пореским </w:t>
      </w:r>
      <w:proofErr w:type="spellStart"/>
      <w:r w:rsidR="007B322F" w:rsidRPr="00FF7418">
        <w:rPr>
          <w:bCs/>
        </w:rPr>
        <w:t>мјерама</w:t>
      </w:r>
      <w:proofErr w:type="spellEnd"/>
      <w:r w:rsidR="007B322F" w:rsidRPr="00FF7418">
        <w:rPr>
          <w:bCs/>
        </w:rPr>
        <w:t xml:space="preserve"> за ублажавање економских посљедица насталих </w:t>
      </w:r>
      <w:proofErr w:type="spellStart"/>
      <w:r w:rsidR="007B322F" w:rsidRPr="00FF7418">
        <w:rPr>
          <w:bCs/>
        </w:rPr>
        <w:t>усљед</w:t>
      </w:r>
      <w:proofErr w:type="spellEnd"/>
      <w:r w:rsidR="007B322F" w:rsidRPr="00FF7418">
        <w:rPr>
          <w:bCs/>
        </w:rPr>
        <w:t xml:space="preserve"> болести COVID-19 изазване вирусом SARS-CoV-2 („Службени гласник Републике Српске“</w:t>
      </w:r>
      <w:r w:rsidR="007B322F">
        <w:rPr>
          <w:bCs/>
        </w:rPr>
        <w:t xml:space="preserve">, број 35/20). Уредбом су такође, </w:t>
      </w:r>
      <w:r w:rsidR="007B322F">
        <w:t xml:space="preserve">као </w:t>
      </w:r>
      <w:proofErr w:type="spellStart"/>
      <w:r w:rsidR="007B322F">
        <w:t>мјера</w:t>
      </w:r>
      <w:proofErr w:type="spellEnd"/>
      <w:r w:rsidR="007B322F">
        <w:t xml:space="preserve"> за ублажавање економских посљедица насталих </w:t>
      </w:r>
      <w:proofErr w:type="spellStart"/>
      <w:r w:rsidR="007B322F">
        <w:t>дјеловањем</w:t>
      </w:r>
      <w:proofErr w:type="spellEnd"/>
      <w:r w:rsidR="007B322F">
        <w:t xml:space="preserve"> </w:t>
      </w:r>
      <w:proofErr w:type="spellStart"/>
      <w:r w:rsidR="007B322F">
        <w:t>коронавирусa</w:t>
      </w:r>
      <w:proofErr w:type="spellEnd"/>
      <w:r w:rsidR="007B322F">
        <w:t>,</w:t>
      </w:r>
      <w:r w:rsidR="00D91579">
        <w:rPr>
          <w:lang w:val="sr-Latn-RS"/>
        </w:rPr>
        <w:t xml:space="preserve"> </w:t>
      </w:r>
      <w:proofErr w:type="spellStart"/>
      <w:r w:rsidR="007B322F">
        <w:t>помјерени</w:t>
      </w:r>
      <w:proofErr w:type="spellEnd"/>
      <w:r w:rsidR="007B322F" w:rsidRPr="00FF7418">
        <w:t xml:space="preserve"> и рокови за плаћање </w:t>
      </w:r>
      <w:r w:rsidR="007B322F">
        <w:t>овог пореза</w:t>
      </w:r>
      <w:r w:rsidR="007B322F" w:rsidRPr="00FF7418">
        <w:t xml:space="preserve">, са 30. јуна на 30. септембар за плаћање првог </w:t>
      </w:r>
      <w:proofErr w:type="spellStart"/>
      <w:r w:rsidR="007B322F" w:rsidRPr="00FF7418">
        <w:t>дијела</w:t>
      </w:r>
      <w:proofErr w:type="spellEnd"/>
      <w:r w:rsidR="007B322F" w:rsidRPr="00FF7418">
        <w:t xml:space="preserve"> пореза, и са 30. септембра </w:t>
      </w:r>
      <w:r w:rsidR="00243837">
        <w:t>на 31. децембар</w:t>
      </w:r>
      <w:r w:rsidR="007B322F" w:rsidRPr="00FF7418">
        <w:t xml:space="preserve"> з</w:t>
      </w:r>
      <w:r w:rsidR="007B322F">
        <w:t xml:space="preserve">а плаћање другог </w:t>
      </w:r>
      <w:proofErr w:type="spellStart"/>
      <w:r w:rsidR="007B322F">
        <w:t>дијела</w:t>
      </w:r>
      <w:proofErr w:type="spellEnd"/>
      <w:r w:rsidR="007B322F">
        <w:t xml:space="preserve"> пореза.  </w:t>
      </w:r>
    </w:p>
    <w:p w14:paraId="007F462E" w14:textId="77777777" w:rsidR="00BA0272" w:rsidRDefault="00C05DE6" w:rsidP="00FA07A2">
      <w:pPr>
        <w:ind w:left="0" w:right="-835" w:firstLine="720"/>
      </w:pPr>
      <w:r w:rsidRPr="00FF7418">
        <w:t xml:space="preserve">Пореска стопа за опорезивање непокретности на подручју општине Прњавор у 2020. години износи 0,05% за све непокретности, и није </w:t>
      </w:r>
      <w:proofErr w:type="spellStart"/>
      <w:r w:rsidRPr="00FF7418">
        <w:t>мијењана</w:t>
      </w:r>
      <w:proofErr w:type="spellEnd"/>
      <w:r w:rsidRPr="00FF7418">
        <w:t xml:space="preserve"> од 2017. године.</w:t>
      </w:r>
      <w:r w:rsidR="008E320B">
        <w:rPr>
          <w:lang w:val="sr-Latn-RS"/>
        </w:rPr>
        <w:t xml:space="preserve"> </w:t>
      </w:r>
      <w:r w:rsidR="00C727AA">
        <w:rPr>
          <w:bCs/>
          <w:lang w:val="sr-Cyrl-BA"/>
        </w:rPr>
        <w:t xml:space="preserve">Пореску стопу за опорезивање непокретности усваја </w:t>
      </w:r>
      <w:r w:rsidR="005F495B">
        <w:rPr>
          <w:bCs/>
          <w:lang w:val="sr-Cyrl-BA"/>
        </w:rPr>
        <w:t xml:space="preserve">Скупштина општине за сваку годину, а Законом о порезу на непокретности је утврђено да </w:t>
      </w:r>
      <w:r w:rsidR="005F495B">
        <w:t xml:space="preserve">пореска стопа може износити </w:t>
      </w:r>
      <w:r w:rsidR="005F495B" w:rsidRPr="00627B91">
        <w:rPr>
          <w:b/>
        </w:rPr>
        <w:t>до</w:t>
      </w:r>
      <w:r w:rsidR="008E320B">
        <w:rPr>
          <w:b/>
          <w:lang w:val="sr-Latn-RS"/>
        </w:rPr>
        <w:t xml:space="preserve"> </w:t>
      </w:r>
      <w:r w:rsidR="005F495B" w:rsidRPr="002631D8">
        <w:rPr>
          <w:b/>
        </w:rPr>
        <w:t>0,20%,</w:t>
      </w:r>
      <w:r w:rsidR="005F495B">
        <w:t xml:space="preserve"> изузев за непокретности у којима се непосредно обавља производна </w:t>
      </w:r>
      <w:proofErr w:type="spellStart"/>
      <w:r w:rsidR="005F495B">
        <w:t>дјелатност</w:t>
      </w:r>
      <w:proofErr w:type="spellEnd"/>
      <w:r w:rsidR="005F495B">
        <w:t xml:space="preserve"> </w:t>
      </w:r>
      <w:proofErr w:type="spellStart"/>
      <w:r w:rsidR="005F495B">
        <w:t>гдје</w:t>
      </w:r>
      <w:proofErr w:type="spellEnd"/>
      <w:r w:rsidR="005F495B">
        <w:t xml:space="preserve"> пореска стопа може износити </w:t>
      </w:r>
      <w:r w:rsidR="005F495B" w:rsidRPr="00627B91">
        <w:rPr>
          <w:b/>
        </w:rPr>
        <w:t>до</w:t>
      </w:r>
      <w:r w:rsidR="008E320B">
        <w:rPr>
          <w:b/>
          <w:lang w:val="sr-Latn-RS"/>
        </w:rPr>
        <w:t xml:space="preserve"> </w:t>
      </w:r>
      <w:r w:rsidR="005F495B" w:rsidRPr="002631D8">
        <w:rPr>
          <w:b/>
        </w:rPr>
        <w:t>0,10%</w:t>
      </w:r>
      <w:r w:rsidR="00877003" w:rsidRPr="002631D8">
        <w:rPr>
          <w:b/>
        </w:rPr>
        <w:t>.</w:t>
      </w:r>
      <w:r w:rsidR="008E320B">
        <w:rPr>
          <w:b/>
          <w:lang w:val="sr-Latn-RS"/>
        </w:rPr>
        <w:t xml:space="preserve"> </w:t>
      </w:r>
      <w:r w:rsidR="00C727AA">
        <w:t xml:space="preserve">Скупштина општине утврђује и почетне </w:t>
      </w:r>
      <w:proofErr w:type="spellStart"/>
      <w:r w:rsidR="00C727AA">
        <w:t>вриједности</w:t>
      </w:r>
      <w:proofErr w:type="spellEnd"/>
      <w:r w:rsidR="00C727AA">
        <w:t xml:space="preserve"> непокретности на својој територији, које служе Пореској управи за утврђивање коначне, тржишне </w:t>
      </w:r>
      <w:proofErr w:type="spellStart"/>
      <w:r w:rsidR="00C727AA">
        <w:t>вриједности</w:t>
      </w:r>
      <w:proofErr w:type="spellEnd"/>
      <w:r w:rsidR="00C727AA">
        <w:t xml:space="preserve"> непокретно</w:t>
      </w:r>
      <w:r w:rsidR="00F413D1">
        <w:t xml:space="preserve">сти као основице за опорезивање. </w:t>
      </w:r>
      <w:r w:rsidR="00BA0272">
        <w:t xml:space="preserve">Због </w:t>
      </w:r>
      <w:proofErr w:type="spellStart"/>
      <w:r w:rsidR="00BA0272">
        <w:t>измјена</w:t>
      </w:r>
      <w:proofErr w:type="spellEnd"/>
      <w:r w:rsidR="00BA0272">
        <w:t xml:space="preserve"> </w:t>
      </w:r>
      <w:r w:rsidR="00AE27ED">
        <w:t xml:space="preserve">и допуна </w:t>
      </w:r>
      <w:r w:rsidR="00BA0272">
        <w:t xml:space="preserve">Одлуке о уређењу простора и грађевинском земљишту које су усвојене </w:t>
      </w:r>
      <w:r w:rsidR="002E089A">
        <w:t>2019.</w:t>
      </w:r>
      <w:r w:rsidR="00BA0272">
        <w:t xml:space="preserve"> године, а којима је дошло до одређених </w:t>
      </w:r>
      <w:proofErr w:type="spellStart"/>
      <w:r w:rsidR="00BA0272">
        <w:t>промјена</w:t>
      </w:r>
      <w:proofErr w:type="spellEnd"/>
      <w:r w:rsidR="00BA0272">
        <w:t xml:space="preserve"> у границама између зона градског грађевинског земљишта, </w:t>
      </w:r>
      <w:r w:rsidR="00575FB4">
        <w:t>дошло је до</w:t>
      </w:r>
      <w:r w:rsidR="00D91579">
        <w:rPr>
          <w:lang w:val="sr-Latn-RS"/>
        </w:rPr>
        <w:t xml:space="preserve"> </w:t>
      </w:r>
      <w:r w:rsidR="00575FB4">
        <w:t xml:space="preserve">благог повећања </w:t>
      </w:r>
      <w:r w:rsidR="00F413D1">
        <w:t>висине задужења пореза на непокретности за текућу годину</w:t>
      </w:r>
      <w:r w:rsidR="00BA0272">
        <w:t xml:space="preserve"> у односу на претходну годину. </w:t>
      </w:r>
      <w:r w:rsidR="00575FB4">
        <w:t xml:space="preserve">Ове </w:t>
      </w:r>
      <w:proofErr w:type="spellStart"/>
      <w:r w:rsidR="00575FB4">
        <w:t>измјене</w:t>
      </w:r>
      <w:proofErr w:type="spellEnd"/>
      <w:r w:rsidR="00575FB4">
        <w:t xml:space="preserve"> нису значајније утицале</w:t>
      </w:r>
      <w:r w:rsidR="008E320B">
        <w:rPr>
          <w:lang w:val="sr-Latn-RS"/>
        </w:rPr>
        <w:t xml:space="preserve"> </w:t>
      </w:r>
      <w:r w:rsidR="00575FB4">
        <w:t>на висину</w:t>
      </w:r>
      <w:r w:rsidR="00BA0272">
        <w:t xml:space="preserve"> годишњег задужења, будући да су </w:t>
      </w:r>
      <w:proofErr w:type="spellStart"/>
      <w:r w:rsidR="00BA0272">
        <w:t>вриједности</w:t>
      </w:r>
      <w:proofErr w:type="spellEnd"/>
      <w:r w:rsidR="00BA0272">
        <w:t xml:space="preserve"> непокретности по </w:t>
      </w:r>
      <w:r w:rsidR="005816E1">
        <w:t>зонама градског грађевинског и осталог земљишта, по одлуци Скупштине општине,</w:t>
      </w:r>
      <w:r w:rsidR="00BA0272">
        <w:t xml:space="preserve"> остале </w:t>
      </w:r>
      <w:proofErr w:type="spellStart"/>
      <w:r w:rsidR="00BA0272">
        <w:t>непромијење</w:t>
      </w:r>
      <w:r w:rsidR="00575FB4">
        <w:t>не</w:t>
      </w:r>
      <w:proofErr w:type="spellEnd"/>
      <w:r w:rsidR="00575FB4">
        <w:t xml:space="preserve"> у односу на претходну годину, као и пореска стопа.</w:t>
      </w:r>
      <w:r w:rsidR="00483CF0">
        <w:rPr>
          <w:lang w:val="sr-Latn-RS"/>
        </w:rPr>
        <w:t xml:space="preserve"> </w:t>
      </w:r>
      <w:r w:rsidR="00AE27ED">
        <w:t xml:space="preserve">Према </w:t>
      </w:r>
      <w:r w:rsidR="002C1A28">
        <w:t>подацима</w:t>
      </w:r>
      <w:r w:rsidR="00AE27ED">
        <w:t xml:space="preserve"> Пореске управе РС укупан износ задужења пореза на непокретности за 2020. годину износи </w:t>
      </w:r>
      <w:r w:rsidR="002C1A28">
        <w:t xml:space="preserve">око </w:t>
      </w:r>
      <w:r w:rsidR="002C1A28" w:rsidRPr="002C1A28">
        <w:t>211</w:t>
      </w:r>
      <w:r w:rsidR="005816E1" w:rsidRPr="002C1A28">
        <w:t>.</w:t>
      </w:r>
      <w:r w:rsidR="002C1A28" w:rsidRPr="002C1A28">
        <w:t>000,00</w:t>
      </w:r>
      <w:r w:rsidR="00575FB4" w:rsidRPr="002C1A28">
        <w:t xml:space="preserve"> КМ,</w:t>
      </w:r>
      <w:r w:rsidR="00575FB4">
        <w:t xml:space="preserve"> док је задужење за 2019. годину износило око 201.000,00 КМ.</w:t>
      </w:r>
    </w:p>
    <w:p w14:paraId="2DB3FB53" w14:textId="77777777" w:rsidR="00FA07A2" w:rsidRDefault="00FA07A2" w:rsidP="00CC2400">
      <w:pPr>
        <w:ind w:left="0" w:right="-835" w:firstLine="720"/>
        <w:rPr>
          <w:bCs/>
        </w:rPr>
      </w:pPr>
    </w:p>
    <w:p w14:paraId="6CBD63DC" w14:textId="77777777" w:rsidR="008F46CB" w:rsidRPr="00FF7418" w:rsidRDefault="002631D8" w:rsidP="008F46CB">
      <w:pPr>
        <w:tabs>
          <w:tab w:val="left" w:pos="5103"/>
        </w:tabs>
        <w:ind w:left="0" w:firstLine="709"/>
        <w:rPr>
          <w:bCs/>
        </w:rPr>
      </w:pPr>
      <w:r w:rsidRPr="002631D8">
        <w:rPr>
          <w:b/>
          <w:bCs/>
        </w:rPr>
        <w:t>Приход од</w:t>
      </w:r>
      <w:r w:rsidR="00E94B76">
        <w:rPr>
          <w:b/>
          <w:bCs/>
          <w:lang w:val="sr-Cyrl-RS"/>
        </w:rPr>
        <w:t xml:space="preserve"> </w:t>
      </w:r>
      <w:r w:rsidRPr="002631D8">
        <w:rPr>
          <w:b/>
          <w:bCs/>
        </w:rPr>
        <w:t>пореза на добитке од игара на срећу</w:t>
      </w:r>
      <w:r w:rsidR="00483CF0">
        <w:rPr>
          <w:b/>
          <w:bCs/>
          <w:lang w:val="sr-Latn-RS"/>
        </w:rPr>
        <w:t xml:space="preserve"> </w:t>
      </w:r>
      <w:r>
        <w:t xml:space="preserve">у </w:t>
      </w:r>
      <w:proofErr w:type="spellStart"/>
      <w:r>
        <w:t>извјештајном</w:t>
      </w:r>
      <w:proofErr w:type="spellEnd"/>
      <w:r>
        <w:t xml:space="preserve"> периоду је остварен у износу од </w:t>
      </w:r>
      <w:r w:rsidR="002E089A">
        <w:t>30.275,39</w:t>
      </w:r>
      <w:r>
        <w:t xml:space="preserve"> КМ, што је </w:t>
      </w:r>
      <w:r w:rsidR="002E089A">
        <w:t xml:space="preserve">за 51,38% више </w:t>
      </w:r>
      <w:r>
        <w:t>од планираних средстава.</w:t>
      </w:r>
      <w:r w:rsidR="00483CF0">
        <w:rPr>
          <w:lang w:val="sr-Latn-RS"/>
        </w:rPr>
        <w:t xml:space="preserve"> </w:t>
      </w:r>
      <w:r w:rsidR="008F46CB">
        <w:t xml:space="preserve">У односу на исти период претходне године овај порез остварен је за </w:t>
      </w:r>
      <w:r w:rsidR="002E089A">
        <w:t>12.201,60 КМ или 67,51</w:t>
      </w:r>
      <w:r w:rsidR="008F46CB">
        <w:t xml:space="preserve">% више. </w:t>
      </w:r>
      <w:r w:rsidR="008F46CB" w:rsidRPr="00FF7418">
        <w:t xml:space="preserve">На повећање пореза на добитке од игара на срећу утицало је доношење </w:t>
      </w:r>
      <w:r w:rsidR="008F46CB" w:rsidRPr="00FF7418">
        <w:rPr>
          <w:bCs/>
        </w:rPr>
        <w:t>новог Закона о играма на срећу („Службени гласник Републике Српске“, број 22/19), који је ступио на снагу у марту 2019. године. Док је ранијим законом била прописана јединствена пореска стопа од 15%, новим законом је уведена прогресивна стопа пореза у односу на висину оствареног добитка (од 10% до 30%). Новим законом је такође проширен обухват добитака од игара на срећу на које се плаћа порез на добитке од игара на срећу. Порез на добитке од игара на срећу плаћа се на добитке који прелазе износ од 1.000,00 КМ</w:t>
      </w:r>
      <w:r w:rsidR="008F46CB">
        <w:rPr>
          <w:bCs/>
        </w:rPr>
        <w:t>.</w:t>
      </w:r>
    </w:p>
    <w:p w14:paraId="38ACE9EB" w14:textId="77777777" w:rsidR="002631D8" w:rsidRDefault="002631D8" w:rsidP="008F46CB">
      <w:pPr>
        <w:tabs>
          <w:tab w:val="left" w:pos="5103"/>
        </w:tabs>
        <w:ind w:left="0" w:firstLine="709"/>
        <w:rPr>
          <w:bCs/>
        </w:rPr>
      </w:pPr>
    </w:p>
    <w:p w14:paraId="5C96A952" w14:textId="77777777" w:rsidR="00216D85" w:rsidRDefault="0026006F" w:rsidP="00CC2400">
      <w:pPr>
        <w:ind w:left="0" w:right="-835" w:firstLine="720"/>
        <w:rPr>
          <w:bCs/>
        </w:rPr>
      </w:pPr>
      <w:r>
        <w:rPr>
          <w:bCs/>
        </w:rPr>
        <w:t xml:space="preserve">У оквиру пореских прихода </w:t>
      </w:r>
      <w:proofErr w:type="spellStart"/>
      <w:r>
        <w:rPr>
          <w:bCs/>
        </w:rPr>
        <w:t>забиљежено</w:t>
      </w:r>
      <w:proofErr w:type="spellEnd"/>
      <w:r>
        <w:rPr>
          <w:bCs/>
        </w:rPr>
        <w:t xml:space="preserve"> је још и остварење </w:t>
      </w:r>
      <w:r w:rsidR="008F46CB">
        <w:rPr>
          <w:bCs/>
        </w:rPr>
        <w:t xml:space="preserve">прихода од пореза на промет производа и услуга, који су остварени у износу од </w:t>
      </w:r>
      <w:r w:rsidR="00BC76B6">
        <w:rPr>
          <w:bCs/>
        </w:rPr>
        <w:t>4.022,40</w:t>
      </w:r>
      <w:r w:rsidR="008F46CB">
        <w:rPr>
          <w:bCs/>
        </w:rPr>
        <w:t xml:space="preserve"> КМ, </w:t>
      </w:r>
      <w:r w:rsidR="00911D1D">
        <w:rPr>
          <w:bCs/>
        </w:rPr>
        <w:t>што је</w:t>
      </w:r>
      <w:r w:rsidR="008F46CB">
        <w:rPr>
          <w:bCs/>
        </w:rPr>
        <w:t xml:space="preserve"> за </w:t>
      </w:r>
      <w:r w:rsidR="00BC76B6">
        <w:rPr>
          <w:bCs/>
        </w:rPr>
        <w:t>28,17</w:t>
      </w:r>
      <w:r w:rsidR="008F46CB">
        <w:rPr>
          <w:bCs/>
        </w:rPr>
        <w:t xml:space="preserve">% </w:t>
      </w:r>
      <w:r w:rsidR="00BC76B6">
        <w:rPr>
          <w:bCs/>
        </w:rPr>
        <w:t xml:space="preserve">мање у односу на годишњи план. </w:t>
      </w:r>
      <w:r>
        <w:rPr>
          <w:bCs/>
        </w:rPr>
        <w:t xml:space="preserve">Уплате ових пореза односе се на заостала дуговања из ранијих година, </w:t>
      </w:r>
      <w:r w:rsidR="00BD3C98">
        <w:rPr>
          <w:bCs/>
        </w:rPr>
        <w:t xml:space="preserve">односно из периода прије увођења пореза на додату </w:t>
      </w:r>
      <w:proofErr w:type="spellStart"/>
      <w:r w:rsidR="00BD3C98">
        <w:rPr>
          <w:bCs/>
        </w:rPr>
        <w:t>вриједност</w:t>
      </w:r>
      <w:proofErr w:type="spellEnd"/>
      <w:r w:rsidR="00BD3C98">
        <w:rPr>
          <w:bCs/>
        </w:rPr>
        <w:t xml:space="preserve"> (прије 2007. године), </w:t>
      </w:r>
      <w:r>
        <w:rPr>
          <w:bCs/>
        </w:rPr>
        <w:t xml:space="preserve">јер су </w:t>
      </w:r>
      <w:r w:rsidR="00BC76B6">
        <w:rPr>
          <w:bCs/>
        </w:rPr>
        <w:t>ови порези укинути увођењем ПДВ-а</w:t>
      </w:r>
      <w:r>
        <w:rPr>
          <w:bCs/>
        </w:rPr>
        <w:t xml:space="preserve">. </w:t>
      </w:r>
    </w:p>
    <w:p w14:paraId="1AEA9D89" w14:textId="77777777" w:rsidR="00C00579" w:rsidRPr="00E912EF" w:rsidRDefault="00C00579" w:rsidP="004D07F1">
      <w:pPr>
        <w:ind w:left="0" w:right="-833" w:firstLine="0"/>
        <w:rPr>
          <w:bCs/>
        </w:rPr>
      </w:pPr>
    </w:p>
    <w:p w14:paraId="35AA5614" w14:textId="77777777" w:rsidR="00FA4661" w:rsidRPr="00383D4F" w:rsidRDefault="00FA4661" w:rsidP="003C0CC7">
      <w:pPr>
        <w:pStyle w:val="Podnaslovi2"/>
        <w:spacing w:before="120"/>
        <w:rPr>
          <w:sz w:val="24"/>
          <w:szCs w:val="24"/>
        </w:rPr>
      </w:pPr>
      <w:r w:rsidRPr="00383D4F">
        <w:rPr>
          <w:sz w:val="24"/>
          <w:szCs w:val="24"/>
        </w:rPr>
        <w:tab/>
      </w:r>
      <w:bookmarkStart w:id="23" w:name="_Toc530745869"/>
      <w:bookmarkStart w:id="24" w:name="_Toc50641188"/>
      <w:r w:rsidR="00C217A9" w:rsidRPr="00383D4F">
        <w:rPr>
          <w:sz w:val="24"/>
          <w:szCs w:val="24"/>
        </w:rPr>
        <w:t xml:space="preserve">Б. </w:t>
      </w:r>
      <w:proofErr w:type="spellStart"/>
      <w:r w:rsidRPr="00383D4F">
        <w:rPr>
          <w:sz w:val="24"/>
          <w:szCs w:val="24"/>
        </w:rPr>
        <w:t>Непорески</w:t>
      </w:r>
      <w:proofErr w:type="spellEnd"/>
      <w:r w:rsidRPr="00383D4F">
        <w:rPr>
          <w:sz w:val="24"/>
          <w:szCs w:val="24"/>
        </w:rPr>
        <w:t xml:space="preserve"> приходи</w:t>
      </w:r>
      <w:bookmarkEnd w:id="23"/>
      <w:bookmarkEnd w:id="24"/>
    </w:p>
    <w:p w14:paraId="62B517C7" w14:textId="77777777" w:rsidR="00FA4661" w:rsidRPr="00FA4661" w:rsidRDefault="00FA4661" w:rsidP="00A92A07">
      <w:pPr>
        <w:ind w:left="0" w:right="-833" w:firstLine="0"/>
        <w:rPr>
          <w:bCs/>
        </w:rPr>
      </w:pPr>
    </w:p>
    <w:p w14:paraId="585E1751" w14:textId="77777777" w:rsidR="00BF6DCB" w:rsidRDefault="000F4C3B" w:rsidP="00FC26C1">
      <w:pPr>
        <w:ind w:left="0" w:firstLine="0"/>
      </w:pPr>
      <w:r>
        <w:rPr>
          <w:bCs/>
          <w:lang w:val="sr-Latn-CS"/>
        </w:rPr>
        <w:tab/>
      </w:r>
      <w:r w:rsidR="00AE27ED">
        <w:rPr>
          <w:bCs/>
        </w:rPr>
        <w:t xml:space="preserve">У </w:t>
      </w:r>
      <w:r w:rsidR="002C1A28">
        <w:rPr>
          <w:bCs/>
        </w:rPr>
        <w:t>2020. години</w:t>
      </w:r>
      <w:r w:rsidR="00AE27ED">
        <w:rPr>
          <w:bCs/>
        </w:rPr>
        <w:t xml:space="preserve"> </w:t>
      </w:r>
      <w:proofErr w:type="spellStart"/>
      <w:r w:rsidR="00AE27ED">
        <w:rPr>
          <w:bCs/>
        </w:rPr>
        <w:t>н</w:t>
      </w:r>
      <w:r w:rsidR="00654099">
        <w:rPr>
          <w:bCs/>
        </w:rPr>
        <w:t>епорески</w:t>
      </w:r>
      <w:proofErr w:type="spellEnd"/>
      <w:r w:rsidR="00335AE5">
        <w:rPr>
          <w:bCs/>
        </w:rPr>
        <w:t xml:space="preserve"> пр</w:t>
      </w:r>
      <w:r w:rsidR="00E912EF">
        <w:rPr>
          <w:bCs/>
        </w:rPr>
        <w:t xml:space="preserve">иходи су </w:t>
      </w:r>
      <w:r w:rsidR="00335AE5">
        <w:rPr>
          <w:bCs/>
        </w:rPr>
        <w:t xml:space="preserve">остварени </w:t>
      </w:r>
      <w:r w:rsidR="00EF1926">
        <w:rPr>
          <w:bCs/>
        </w:rPr>
        <w:t xml:space="preserve">у износу од </w:t>
      </w:r>
      <w:r w:rsidR="002C1A28">
        <w:rPr>
          <w:bCs/>
        </w:rPr>
        <w:t>2.232.629,96</w:t>
      </w:r>
      <w:r w:rsidR="00EF1926">
        <w:rPr>
          <w:bCs/>
        </w:rPr>
        <w:t xml:space="preserve"> КМ или </w:t>
      </w:r>
      <w:r w:rsidR="00335AE5">
        <w:rPr>
          <w:bCs/>
        </w:rPr>
        <w:t xml:space="preserve">са </w:t>
      </w:r>
      <w:r w:rsidR="002C1A28">
        <w:rPr>
          <w:bCs/>
        </w:rPr>
        <w:t>99,18</w:t>
      </w:r>
      <w:r w:rsidR="00335AE5">
        <w:rPr>
          <w:bCs/>
        </w:rPr>
        <w:t>% у</w:t>
      </w:r>
      <w:r w:rsidR="00654099">
        <w:rPr>
          <w:bCs/>
        </w:rPr>
        <w:t xml:space="preserve"> односу на </w:t>
      </w:r>
      <w:r w:rsidR="00E912EF">
        <w:rPr>
          <w:bCs/>
        </w:rPr>
        <w:t>план.</w:t>
      </w:r>
      <w:r w:rsidR="008E320B">
        <w:rPr>
          <w:bCs/>
          <w:lang w:val="sr-Latn-RS"/>
        </w:rPr>
        <w:t xml:space="preserve"> </w:t>
      </w:r>
      <w:proofErr w:type="spellStart"/>
      <w:r w:rsidR="00FC26C1">
        <w:t>Непорески</w:t>
      </w:r>
      <w:proofErr w:type="spellEnd"/>
      <w:r w:rsidR="00FC26C1">
        <w:t xml:space="preserve"> приходи обухватају приходе од закупа и ренте, приходе од камата на депозитна средства, накнаде, таксе, приходе од пружања јавних услуга, новчане казне, приходе од финансијске и </w:t>
      </w:r>
      <w:proofErr w:type="spellStart"/>
      <w:r w:rsidR="00FC26C1">
        <w:t>нефинансијске</w:t>
      </w:r>
      <w:proofErr w:type="spellEnd"/>
      <w:r w:rsidR="00FC26C1">
        <w:t xml:space="preserve"> имовине и трансакција размјене између или унутар јединица власти и остале општинске </w:t>
      </w:r>
      <w:proofErr w:type="spellStart"/>
      <w:r w:rsidR="00FC26C1">
        <w:t>непореске</w:t>
      </w:r>
      <w:proofErr w:type="spellEnd"/>
      <w:r w:rsidR="00FC26C1">
        <w:t xml:space="preserve"> приходе.</w:t>
      </w:r>
    </w:p>
    <w:p w14:paraId="2CB15917" w14:textId="77777777" w:rsidR="00FC26C1" w:rsidRDefault="00FC26C1" w:rsidP="00FC26C1">
      <w:pPr>
        <w:ind w:left="0" w:firstLine="0"/>
      </w:pPr>
    </w:p>
    <w:p w14:paraId="2AB398F4" w14:textId="77777777" w:rsidR="00BF6DCB" w:rsidRPr="00BD2211" w:rsidRDefault="00BF6DCB" w:rsidP="00BF6DCB">
      <w:pPr>
        <w:ind w:left="0" w:firstLine="0"/>
        <w:rPr>
          <w:i/>
        </w:rPr>
      </w:pPr>
      <w:r>
        <w:rPr>
          <w:b/>
        </w:rPr>
        <w:tab/>
      </w:r>
      <w:r w:rsidRPr="00475C3D">
        <w:rPr>
          <w:b/>
        </w:rPr>
        <w:t>Приходи од закупа и ренте</w:t>
      </w:r>
      <w:r w:rsidRPr="002D5398">
        <w:t xml:space="preserve"> су остварени у износу од </w:t>
      </w:r>
      <w:r w:rsidR="002C1A28">
        <w:t>174.876,75</w:t>
      </w:r>
      <w:r w:rsidRPr="002D5398">
        <w:t xml:space="preserve"> КМ, </w:t>
      </w:r>
      <w:r>
        <w:t>или</w:t>
      </w:r>
      <w:r w:rsidR="00DE0920">
        <w:rPr>
          <w:lang w:val="sr-Latn-RS"/>
        </w:rPr>
        <w:t xml:space="preserve"> </w:t>
      </w:r>
      <w:r w:rsidR="00023BD1">
        <w:t xml:space="preserve">са </w:t>
      </w:r>
      <w:r w:rsidR="002C1A28">
        <w:t>89,91</w:t>
      </w:r>
      <w:r w:rsidRPr="002D5398">
        <w:t xml:space="preserve">% </w:t>
      </w:r>
      <w:r>
        <w:t>у односу на план</w:t>
      </w:r>
      <w:r w:rsidR="00BD2211">
        <w:t>. У приходе од закупа и ренте спадају приходи од давања у закуп општинских пословних простора, приходи од земљишне ренте и приходи од закупнине земљишта у својини Републике Српске.</w:t>
      </w:r>
    </w:p>
    <w:p w14:paraId="46FF9B10" w14:textId="77777777" w:rsidR="00BF6DCB" w:rsidRDefault="00BF6DCB" w:rsidP="00BF6DCB">
      <w:pPr>
        <w:rPr>
          <w:rFonts w:eastAsia="TimesNewRomanPSMT"/>
        </w:rPr>
      </w:pPr>
    </w:p>
    <w:p w14:paraId="56EC8728" w14:textId="77777777" w:rsidR="00BF6DCB" w:rsidRPr="007E61EA" w:rsidRDefault="00BF6DCB" w:rsidP="00BF6DCB">
      <w:pPr>
        <w:ind w:left="0" w:firstLine="0"/>
      </w:pPr>
      <w:r>
        <w:rPr>
          <w:b/>
          <w:i/>
        </w:rPr>
        <w:tab/>
      </w:r>
      <w:r w:rsidRPr="00DF5760">
        <w:rPr>
          <w:b/>
          <w:i/>
        </w:rPr>
        <w:t>Приходи</w:t>
      </w:r>
      <w:r w:rsidR="008E320B">
        <w:rPr>
          <w:b/>
          <w:i/>
          <w:lang w:val="sr-Latn-RS"/>
        </w:rPr>
        <w:t xml:space="preserve"> </w:t>
      </w:r>
      <w:r w:rsidRPr="00DF5760">
        <w:rPr>
          <w:b/>
          <w:i/>
        </w:rPr>
        <w:t xml:space="preserve">од </w:t>
      </w:r>
      <w:r>
        <w:rPr>
          <w:b/>
          <w:i/>
        </w:rPr>
        <w:t>давања у закуп</w:t>
      </w:r>
      <w:r w:rsidRPr="00DF5760">
        <w:rPr>
          <w:b/>
          <w:i/>
        </w:rPr>
        <w:t xml:space="preserve"> општинских пословних простора </w:t>
      </w:r>
      <w:r>
        <w:t xml:space="preserve">су </w:t>
      </w:r>
      <w:r w:rsidRPr="00DF5760">
        <w:t xml:space="preserve">остварени у износу од </w:t>
      </w:r>
      <w:r w:rsidR="002C1A28">
        <w:t>18.445,71</w:t>
      </w:r>
      <w:r>
        <w:t xml:space="preserve"> КМ, што је</w:t>
      </w:r>
      <w:r w:rsidR="008E320B">
        <w:rPr>
          <w:lang w:val="sr-Latn-RS"/>
        </w:rPr>
        <w:t xml:space="preserve"> </w:t>
      </w:r>
      <w:r w:rsidR="002C1A28">
        <w:t>за 36,63</w:t>
      </w:r>
      <w:r>
        <w:t>%</w:t>
      </w:r>
      <w:r w:rsidR="008E320B">
        <w:rPr>
          <w:lang w:val="sr-Latn-RS"/>
        </w:rPr>
        <w:t xml:space="preserve"> </w:t>
      </w:r>
      <w:r w:rsidR="002C1A28">
        <w:t xml:space="preserve">више </w:t>
      </w:r>
      <w:r w:rsidRPr="00DF5760">
        <w:t xml:space="preserve">у односу на </w:t>
      </w:r>
      <w:r>
        <w:t>план</w:t>
      </w:r>
      <w:r w:rsidRPr="00DF5760">
        <w:t xml:space="preserve">. </w:t>
      </w:r>
      <w:r w:rsidR="000111E8">
        <w:t xml:space="preserve">На приходе по основу закупа општинских пословних простора односи се </w:t>
      </w:r>
      <w:r w:rsidR="002C1A28" w:rsidRPr="002C1A28">
        <w:t>15.469,36</w:t>
      </w:r>
      <w:r w:rsidR="000111E8" w:rsidRPr="002C1A28">
        <w:t xml:space="preserve"> КМ</w:t>
      </w:r>
      <w:r w:rsidR="000111E8">
        <w:t xml:space="preserve">, док се </w:t>
      </w:r>
      <w:r w:rsidR="002C1A28" w:rsidRPr="002C1A28">
        <w:t>2.976,35</w:t>
      </w:r>
      <w:r w:rsidR="000111E8" w:rsidRPr="002C1A28">
        <w:t xml:space="preserve"> КМ</w:t>
      </w:r>
      <w:r w:rsidR="008E320B">
        <w:rPr>
          <w:lang w:val="sr-Latn-RS"/>
        </w:rPr>
        <w:t xml:space="preserve"> </w:t>
      </w:r>
      <w:r w:rsidR="000111E8">
        <w:t>односи на приходе по основу закупа стамбени</w:t>
      </w:r>
      <w:r w:rsidR="00044F06">
        <w:t xml:space="preserve">х јединица социјалног становања који се наплаћују у складу са Одлуком о висини закупнине за коришћење стамбених јединица социјалног становања („Службени гласник општине Прњавор број 7/20) и </w:t>
      </w:r>
      <w:r w:rsidR="0013249D">
        <w:t xml:space="preserve">Одлуком о поступку субвенционисања закупнине („Службени гласник општине Прњавор број 7/20). </w:t>
      </w:r>
      <w:r w:rsidR="00A52759">
        <w:t>Током 2020. године приходи од закупа општинских пословних простора наплаћивали су се на основу 8 закључених уговора</w:t>
      </w:r>
      <w:r w:rsidR="00654B4A">
        <w:rPr>
          <w:lang w:val="sr-Latn-RS"/>
        </w:rPr>
        <w:t xml:space="preserve"> </w:t>
      </w:r>
      <w:r w:rsidR="00A52759">
        <w:t>и једне судске пресуде</w:t>
      </w:r>
      <w:r>
        <w:t xml:space="preserve">, </w:t>
      </w:r>
      <w:r w:rsidR="007919DF">
        <w:t>а укупно</w:t>
      </w:r>
      <w:r>
        <w:t xml:space="preserve"> задужење</w:t>
      </w:r>
      <w:r w:rsidR="009D5002">
        <w:t xml:space="preserve"> за 2020</w:t>
      </w:r>
      <w:r>
        <w:t xml:space="preserve">. годину </w:t>
      </w:r>
      <w:r w:rsidR="00A52759">
        <w:t xml:space="preserve">износи </w:t>
      </w:r>
      <w:r w:rsidR="00813EB7">
        <w:t>25.</w:t>
      </w:r>
      <w:r w:rsidR="002C1A28">
        <w:t>696,30</w:t>
      </w:r>
      <w:r w:rsidRPr="0091691D">
        <w:t xml:space="preserve"> КМ</w:t>
      </w:r>
      <w:r w:rsidR="007E61EA">
        <w:t xml:space="preserve">, док је </w:t>
      </w:r>
      <w:r w:rsidR="0013249D">
        <w:t xml:space="preserve">за </w:t>
      </w:r>
      <w:r w:rsidR="007E61EA">
        <w:t xml:space="preserve">стамбене јединице социјалног становања закључено </w:t>
      </w:r>
      <w:r w:rsidR="007919DF">
        <w:t>14</w:t>
      </w:r>
      <w:r w:rsidR="008E320B">
        <w:rPr>
          <w:lang w:val="sr-Latn-RS"/>
        </w:rPr>
        <w:t xml:space="preserve"> </w:t>
      </w:r>
      <w:r w:rsidR="007E61EA">
        <w:t xml:space="preserve">уговора са </w:t>
      </w:r>
      <w:r w:rsidR="007919DF">
        <w:t>задужењем за 2020. годину</w:t>
      </w:r>
      <w:r w:rsidR="007E61EA">
        <w:t xml:space="preserve"> од </w:t>
      </w:r>
      <w:r w:rsidR="007919DF">
        <w:t xml:space="preserve">3.789,59 </w:t>
      </w:r>
      <w:r w:rsidR="007E61EA" w:rsidRPr="007919DF">
        <w:t>КМ.</w:t>
      </w:r>
      <w:r w:rsidR="007919DF">
        <w:t xml:space="preserve"> Задужења и уплате закупа за стамбене јединице социјалног становања почели су од </w:t>
      </w:r>
      <w:proofErr w:type="spellStart"/>
      <w:r w:rsidR="007919DF">
        <w:t>мјесеца</w:t>
      </w:r>
      <w:proofErr w:type="spellEnd"/>
      <w:r w:rsidR="007919DF">
        <w:t xml:space="preserve"> јуна </w:t>
      </w:r>
      <w:r w:rsidR="002C1A28">
        <w:t>2020.</w:t>
      </w:r>
      <w:r w:rsidR="007919DF">
        <w:t xml:space="preserve"> године.</w:t>
      </w:r>
    </w:p>
    <w:p w14:paraId="4B09FB46" w14:textId="77777777" w:rsidR="00BF6DCB" w:rsidRDefault="00BF6DCB" w:rsidP="00BF6DCB">
      <w:pPr>
        <w:rPr>
          <w:rFonts w:eastAsia="TimesNewRomanPSMT"/>
        </w:rPr>
      </w:pPr>
    </w:p>
    <w:p w14:paraId="58F97BED" w14:textId="77777777" w:rsidR="00D10FDB" w:rsidRDefault="00BF6DCB" w:rsidP="00BF6DCB">
      <w:pPr>
        <w:ind w:left="0" w:firstLine="357"/>
      </w:pPr>
      <w:r>
        <w:rPr>
          <w:b/>
          <w:i/>
        </w:rPr>
        <w:tab/>
      </w:r>
      <w:r w:rsidRPr="00FB6ABE">
        <w:rPr>
          <w:b/>
          <w:i/>
        </w:rPr>
        <w:t>Приход</w:t>
      </w:r>
      <w:r w:rsidR="004C320B">
        <w:rPr>
          <w:b/>
          <w:i/>
        </w:rPr>
        <w:t>и</w:t>
      </w:r>
      <w:r w:rsidRPr="00FB6ABE">
        <w:rPr>
          <w:b/>
          <w:i/>
        </w:rPr>
        <w:t xml:space="preserve"> од земљишне ренте</w:t>
      </w:r>
      <w:r w:rsidR="008E320B">
        <w:rPr>
          <w:b/>
          <w:i/>
          <w:lang w:val="sr-Latn-RS"/>
        </w:rPr>
        <w:t xml:space="preserve"> </w:t>
      </w:r>
      <w:r w:rsidRPr="00FB6ABE">
        <w:t>остварен</w:t>
      </w:r>
      <w:r w:rsidR="004C320B">
        <w:t>и су</w:t>
      </w:r>
      <w:r w:rsidRPr="00FB6ABE">
        <w:t xml:space="preserve"> у износу од </w:t>
      </w:r>
      <w:r w:rsidR="004B589A">
        <w:t>150.111,34</w:t>
      </w:r>
      <w:r w:rsidRPr="00FB6ABE">
        <w:t xml:space="preserve"> КМ, што је </w:t>
      </w:r>
      <w:r w:rsidR="00654B4A">
        <w:rPr>
          <w:lang w:val="sr-Latn-RS"/>
        </w:rPr>
        <w:t>88,30</w:t>
      </w:r>
      <w:r w:rsidR="00C36909">
        <w:t xml:space="preserve">% </w:t>
      </w:r>
      <w:r>
        <w:t>од планираних с</w:t>
      </w:r>
      <w:r w:rsidR="009D5002">
        <w:t>редстава за 2020</w:t>
      </w:r>
      <w:r>
        <w:t>. годину</w:t>
      </w:r>
      <w:r w:rsidR="00BD2211">
        <w:t xml:space="preserve">. У односу на </w:t>
      </w:r>
      <w:r w:rsidR="00CD7D67">
        <w:t xml:space="preserve">остварење у </w:t>
      </w:r>
      <w:r w:rsidR="009D5002">
        <w:t>истом периоду 2019. године</w:t>
      </w:r>
      <w:r w:rsidR="00E94B76">
        <w:t xml:space="preserve">, приходи од земљишне ренте већи су </w:t>
      </w:r>
      <w:r w:rsidR="00F276A1">
        <w:t xml:space="preserve">за </w:t>
      </w:r>
      <w:r w:rsidR="004B589A">
        <w:t>8,85</w:t>
      </w:r>
      <w:r w:rsidR="009D5002">
        <w:t xml:space="preserve">% </w:t>
      </w:r>
      <w:r w:rsidR="00E94B76">
        <w:t>или 12.205,51 КМ</w:t>
      </w:r>
      <w:r w:rsidR="00F276A1">
        <w:t xml:space="preserve">. </w:t>
      </w:r>
    </w:p>
    <w:p w14:paraId="76142895" w14:textId="77777777" w:rsidR="003818C6" w:rsidRDefault="005D288A" w:rsidP="008277EA">
      <w:pPr>
        <w:ind w:left="0" w:firstLine="720"/>
      </w:pPr>
      <w:r>
        <w:t>Приходи од земљишне ренте</w:t>
      </w:r>
      <w:r w:rsidR="00D10FDB">
        <w:t xml:space="preserve"> остварују се у поступку издавања грађевинских дозвола за грађење објеката </w:t>
      </w:r>
      <w:r w:rsidR="00B55D28">
        <w:t>у зони</w:t>
      </w:r>
      <w:r w:rsidR="00D10FDB">
        <w:t xml:space="preserve"> обухвата градског грађевинског земљишта</w:t>
      </w:r>
      <w:r w:rsidR="004268BD">
        <w:t>.</w:t>
      </w:r>
      <w:r w:rsidR="008E320B">
        <w:rPr>
          <w:lang w:val="sr-Latn-RS"/>
        </w:rPr>
        <w:t xml:space="preserve"> </w:t>
      </w:r>
      <w:r w:rsidR="004268BD">
        <w:t xml:space="preserve">Висина остварених прихода од земљишне ренте у највећем обиму зависи од </w:t>
      </w:r>
      <w:r w:rsidR="00B55D28">
        <w:t>степена и обима градње у зони обухвата</w:t>
      </w:r>
      <w:r w:rsidR="008277EA">
        <w:t xml:space="preserve"> градског грађевинског земљишта</w:t>
      </w:r>
      <w:r w:rsidR="00695FB3">
        <w:t>,</w:t>
      </w:r>
      <w:r w:rsidR="00654B4A">
        <w:rPr>
          <w:lang w:val="sr-Latn-RS"/>
        </w:rPr>
        <w:t xml:space="preserve"> </w:t>
      </w:r>
      <w:r w:rsidR="00695FB3">
        <w:t xml:space="preserve">затим од висине </w:t>
      </w:r>
      <w:proofErr w:type="spellStart"/>
      <w:r w:rsidR="00695FB3" w:rsidRPr="00DA6EB4">
        <w:t>просјечне</w:t>
      </w:r>
      <w:proofErr w:type="spellEnd"/>
      <w:r w:rsidR="00695FB3" w:rsidRPr="00DA6EB4">
        <w:t xml:space="preserve"> коначне грађевинске </w:t>
      </w:r>
      <w:proofErr w:type="spellStart"/>
      <w:r w:rsidR="00695FB3" w:rsidRPr="00DA6EB4">
        <w:t>цијене</w:t>
      </w:r>
      <w:proofErr w:type="spellEnd"/>
      <w:r w:rsidR="00695FB3" w:rsidRPr="00DA6EB4">
        <w:t xml:space="preserve"> једног м</w:t>
      </w:r>
      <w:r w:rsidR="00695FB3" w:rsidRPr="00312576">
        <w:rPr>
          <w:vertAlign w:val="superscript"/>
        </w:rPr>
        <w:t>2</w:t>
      </w:r>
      <w:r w:rsidR="00695FB3" w:rsidRPr="00DA6EB4">
        <w:t xml:space="preserve"> корисног</w:t>
      </w:r>
      <w:r w:rsidR="00695FB3">
        <w:t xml:space="preserve"> стамбеног и пословног простора за годину која претходи години у којој се земљишна рента обрачунава</w:t>
      </w:r>
      <w:r w:rsidR="003818C6">
        <w:t xml:space="preserve">, закључивања уговора о одложеном плаћању и др. Земљишна рента обрачунава се у проценту од </w:t>
      </w:r>
      <w:proofErr w:type="spellStart"/>
      <w:r w:rsidR="003818C6">
        <w:t>просјечне</w:t>
      </w:r>
      <w:proofErr w:type="spellEnd"/>
      <w:r w:rsidR="003818C6">
        <w:t xml:space="preserve"> коначне грађевинске </w:t>
      </w:r>
      <w:proofErr w:type="spellStart"/>
      <w:r w:rsidR="003818C6">
        <w:t>цијене</w:t>
      </w:r>
      <w:proofErr w:type="spellEnd"/>
      <w:r w:rsidR="0045179B">
        <w:t xml:space="preserve">, у зависности од зоне градског грађевинског земљишта. Иако у односу на претходну годину није било </w:t>
      </w:r>
      <w:proofErr w:type="spellStart"/>
      <w:r w:rsidR="0045179B">
        <w:t>измјена</w:t>
      </w:r>
      <w:proofErr w:type="spellEnd"/>
      <w:r w:rsidR="0045179B">
        <w:t xml:space="preserve"> </w:t>
      </w:r>
      <w:proofErr w:type="spellStart"/>
      <w:r w:rsidR="0045179B">
        <w:t>просјечне</w:t>
      </w:r>
      <w:proofErr w:type="spellEnd"/>
      <w:r w:rsidR="0045179B">
        <w:t xml:space="preserve"> коначне грађевинске </w:t>
      </w:r>
      <w:proofErr w:type="spellStart"/>
      <w:r w:rsidR="0045179B">
        <w:t>цијене</w:t>
      </w:r>
      <w:proofErr w:type="spellEnd"/>
      <w:r w:rsidR="0045179B">
        <w:t xml:space="preserve">, усвајање Одлуке о </w:t>
      </w:r>
      <w:proofErr w:type="spellStart"/>
      <w:r w:rsidR="0045179B">
        <w:t>измјенама</w:t>
      </w:r>
      <w:proofErr w:type="spellEnd"/>
      <w:r w:rsidR="0045179B">
        <w:t xml:space="preserve"> и допунама Одлуке о уређењу простора и грађевинском земљишту („Службени гласник општине Прњавор“, број 15/19)</w:t>
      </w:r>
      <w:r w:rsidR="008E320B">
        <w:rPr>
          <w:lang w:val="sr-Latn-RS"/>
        </w:rPr>
        <w:t xml:space="preserve"> </w:t>
      </w:r>
      <w:r w:rsidR="0045179B">
        <w:t xml:space="preserve">и Одлуке о допуни Одлуке о уређењу простора и грађевинском земљишту („Службени гласник општине Прњавор“, број 17/19), којима је дошло до </w:t>
      </w:r>
      <w:proofErr w:type="spellStart"/>
      <w:r w:rsidR="0045179B">
        <w:t>помјерања</w:t>
      </w:r>
      <w:proofErr w:type="spellEnd"/>
      <w:r w:rsidR="0045179B">
        <w:t xml:space="preserve"> граница између зона градског грађевинског земљишта и увођења шесте зоне градског грађевинског земљишта</w:t>
      </w:r>
      <w:r w:rsidR="005B578E">
        <w:t>,</w:t>
      </w:r>
      <w:r w:rsidR="0045179B">
        <w:t xml:space="preserve"> има</w:t>
      </w:r>
      <w:r w:rsidR="00775CE4">
        <w:t>ло је</w:t>
      </w:r>
      <w:r w:rsidR="0045179B">
        <w:t xml:space="preserve"> позитиван ефекат на приходе од земљишне ренте у 2020. години. </w:t>
      </w:r>
    </w:p>
    <w:p w14:paraId="7E65D522" w14:textId="77777777" w:rsidR="0045179B" w:rsidRPr="00C47E1A" w:rsidRDefault="0045179B" w:rsidP="008277EA">
      <w:pPr>
        <w:ind w:left="0" w:firstLine="720"/>
      </w:pPr>
    </w:p>
    <w:p w14:paraId="23AE870B" w14:textId="77777777" w:rsidR="00BF6DCB" w:rsidRDefault="00BF6DCB" w:rsidP="00BF6DCB">
      <w:pPr>
        <w:ind w:left="0" w:firstLine="0"/>
      </w:pPr>
      <w:r>
        <w:rPr>
          <w:b/>
          <w:i/>
        </w:rPr>
        <w:tab/>
        <w:t>Приходи од закупнине земљишта</w:t>
      </w:r>
      <w:r w:rsidR="00654B4A">
        <w:rPr>
          <w:b/>
          <w:i/>
          <w:lang w:val="sr-Latn-RS"/>
        </w:rPr>
        <w:t xml:space="preserve"> </w:t>
      </w:r>
      <w:r w:rsidRPr="00DF5760">
        <w:t>остварен</w:t>
      </w:r>
      <w:r>
        <w:t>и су</w:t>
      </w:r>
      <w:r w:rsidRPr="00DF5760">
        <w:t xml:space="preserve"> у износу од </w:t>
      </w:r>
      <w:r w:rsidR="00775CE4">
        <w:t>6.319</w:t>
      </w:r>
      <w:r w:rsidR="00B30F44">
        <w:t>,70</w:t>
      </w:r>
      <w:r w:rsidR="008E320B">
        <w:rPr>
          <w:lang w:val="sr-Latn-RS"/>
        </w:rPr>
        <w:t xml:space="preserve"> </w:t>
      </w:r>
      <w:r w:rsidRPr="00DF5760">
        <w:t>КМ</w:t>
      </w:r>
      <w:r>
        <w:t xml:space="preserve">, што је </w:t>
      </w:r>
      <w:r w:rsidR="00654B4A">
        <w:rPr>
          <w:lang w:val="sr-Latn-RS"/>
        </w:rPr>
        <w:t>57,45</w:t>
      </w:r>
      <w:r w:rsidR="00C47E1A">
        <w:t xml:space="preserve">% </w:t>
      </w:r>
      <w:r w:rsidR="00C726CF">
        <w:t>од плана</w:t>
      </w:r>
      <w:r>
        <w:t xml:space="preserve">. </w:t>
      </w:r>
      <w:r w:rsidR="00775CE4">
        <w:t xml:space="preserve">У односу на 2019. годину приходи од закупнине земљишта остварени су за 59,61% или 9.328,55 КМ мање. </w:t>
      </w:r>
      <w:r w:rsidRPr="00735B54">
        <w:t xml:space="preserve">Овај приход се уплаћује по основу закупа земљишта које је у својини Републике, а налази се на подручју општине Прњавор. </w:t>
      </w:r>
      <w:r w:rsidR="00196B8D">
        <w:t xml:space="preserve">Приходи од закупнине земљишта </w:t>
      </w:r>
      <w:proofErr w:type="spellStart"/>
      <w:r w:rsidR="00196B8D">
        <w:t>дијеле</w:t>
      </w:r>
      <w:proofErr w:type="spellEnd"/>
      <w:r w:rsidR="00196B8D">
        <w:t xml:space="preserve"> се </w:t>
      </w:r>
      <w:r w:rsidR="00196B8D" w:rsidRPr="00735B54">
        <w:t>између буџета Републике и буџета општине у сразмјери 50:50</w:t>
      </w:r>
      <w:r w:rsidR="00196B8D">
        <w:t>, и на основу 9 важећих уговора о закупу</w:t>
      </w:r>
      <w:r w:rsidR="00654B4A">
        <w:rPr>
          <w:lang w:val="sr-Latn-RS"/>
        </w:rPr>
        <w:t xml:space="preserve"> </w:t>
      </w:r>
      <w:r w:rsidR="00196B8D">
        <w:t>општини Прњавор на годи</w:t>
      </w:r>
      <w:r w:rsidR="00691FFF">
        <w:t>шњем нивоу припада 11.642,13 КМ.</w:t>
      </w:r>
      <w:r w:rsidR="008E320B">
        <w:rPr>
          <w:lang w:val="sr-Latn-RS"/>
        </w:rPr>
        <w:t xml:space="preserve"> </w:t>
      </w:r>
      <w:r w:rsidR="00691FFF">
        <w:t xml:space="preserve">Обавезе по основу закупа </w:t>
      </w:r>
      <w:r w:rsidR="00691FFF">
        <w:lastRenderedPageBreak/>
        <w:t xml:space="preserve">пољопривредног земљишта закупопримци су дужни уплатити 30 дана </w:t>
      </w:r>
      <w:proofErr w:type="spellStart"/>
      <w:r w:rsidR="00691FFF">
        <w:t>унапријед</w:t>
      </w:r>
      <w:proofErr w:type="spellEnd"/>
      <w:r w:rsidR="00691FFF">
        <w:t xml:space="preserve"> за наредну календарску годину на рачун јавних прихода Републике Српске.</w:t>
      </w:r>
    </w:p>
    <w:p w14:paraId="797F770D" w14:textId="77777777" w:rsidR="00654B49" w:rsidRPr="00691FFF" w:rsidRDefault="00654B49" w:rsidP="00BF6DCB">
      <w:pPr>
        <w:ind w:left="0" w:firstLine="0"/>
      </w:pPr>
    </w:p>
    <w:p w14:paraId="2A07278F" w14:textId="77777777" w:rsidR="00B30F44" w:rsidRPr="00567CB2" w:rsidRDefault="00BF6DCB" w:rsidP="00B30F44">
      <w:pPr>
        <w:ind w:left="0" w:firstLine="357"/>
      </w:pPr>
      <w:r w:rsidRPr="00DF5760">
        <w:tab/>
      </w:r>
      <w:r w:rsidRPr="00DF5760">
        <w:rPr>
          <w:b/>
        </w:rPr>
        <w:t>Приходи од камата на готовину и готовинске еквиваленте</w:t>
      </w:r>
      <w:r w:rsidR="00654B4A">
        <w:rPr>
          <w:b/>
          <w:lang w:val="sr-Latn-RS"/>
        </w:rPr>
        <w:t xml:space="preserve"> </w:t>
      </w:r>
      <w:r>
        <w:t xml:space="preserve">су у </w:t>
      </w:r>
      <w:proofErr w:type="spellStart"/>
      <w:r>
        <w:t>извјештајном</w:t>
      </w:r>
      <w:proofErr w:type="spellEnd"/>
      <w:r>
        <w:t xml:space="preserve"> периоду </w:t>
      </w:r>
      <w:r w:rsidRPr="00DF5760">
        <w:t xml:space="preserve">остварени у износу од </w:t>
      </w:r>
      <w:r w:rsidR="00775CE4">
        <w:t>950,02</w:t>
      </w:r>
      <w:r w:rsidRPr="00DF5760">
        <w:t xml:space="preserve"> КМ, што је </w:t>
      </w:r>
      <w:r w:rsidR="00775CE4">
        <w:t>78,77</w:t>
      </w:r>
      <w:r w:rsidRPr="00DF5760">
        <w:t xml:space="preserve">% </w:t>
      </w:r>
      <w:r>
        <w:t>од плана</w:t>
      </w:r>
      <w:r w:rsidR="00E14347">
        <w:t xml:space="preserve">. </w:t>
      </w:r>
      <w:r w:rsidR="00B30F44">
        <w:t>Разлог за мање остварење прихода од камата на средства на жиро-рачунима општине у односу на план је прије свега мањи износ новчаних средстава на рачунима општине у односу на претходну годину.</w:t>
      </w:r>
    </w:p>
    <w:p w14:paraId="6F8559E9" w14:textId="77777777" w:rsidR="00BF6DCB" w:rsidRDefault="00BF6DCB" w:rsidP="00B30F44">
      <w:pPr>
        <w:ind w:left="0" w:firstLine="357"/>
      </w:pPr>
    </w:p>
    <w:p w14:paraId="69D72BFD" w14:textId="77777777" w:rsidR="0011414B" w:rsidRPr="006F5A21" w:rsidRDefault="00BF6DCB" w:rsidP="006F5A21">
      <w:pPr>
        <w:ind w:left="0" w:right="-835" w:firstLine="720"/>
      </w:pPr>
      <w:r w:rsidRPr="00F14109">
        <w:rPr>
          <w:b/>
        </w:rPr>
        <w:t>Приход</w:t>
      </w:r>
      <w:r>
        <w:rPr>
          <w:b/>
        </w:rPr>
        <w:t>и</w:t>
      </w:r>
      <w:r w:rsidRPr="00F14109">
        <w:rPr>
          <w:b/>
        </w:rPr>
        <w:t xml:space="preserve"> од административних такса</w:t>
      </w:r>
      <w:r>
        <w:t xml:space="preserve"> су</w:t>
      </w:r>
      <w:r w:rsidRPr="00F14109">
        <w:t xml:space="preserve"> остварен</w:t>
      </w:r>
      <w:r>
        <w:t>и</w:t>
      </w:r>
      <w:r w:rsidRPr="00F14109">
        <w:t xml:space="preserve"> у</w:t>
      </w:r>
      <w:r>
        <w:t xml:space="preserve"> износу од </w:t>
      </w:r>
      <w:r w:rsidR="00775CE4">
        <w:t>166.249,36</w:t>
      </w:r>
      <w:r>
        <w:t xml:space="preserve"> КМ, што</w:t>
      </w:r>
      <w:r w:rsidRPr="00F14109">
        <w:t xml:space="preserve"> је </w:t>
      </w:r>
      <w:r w:rsidR="00775CE4">
        <w:t>97,79</w:t>
      </w:r>
      <w:r w:rsidRPr="00F14109">
        <w:t>%</w:t>
      </w:r>
      <w:r>
        <w:t xml:space="preserve"> од планираних средстава</w:t>
      </w:r>
      <w:r w:rsidR="0013522D">
        <w:t>, и односе се</w:t>
      </w:r>
      <w:r w:rsidR="00654B4A">
        <w:rPr>
          <w:lang w:val="sr-Latn-RS"/>
        </w:rPr>
        <w:t xml:space="preserve"> </w:t>
      </w:r>
      <w:r w:rsidR="005C42EA">
        <w:t xml:space="preserve">на </w:t>
      </w:r>
      <w:r w:rsidR="00E14347">
        <w:t>приходе који се наплаћују у складу са тарифом утврђеном</w:t>
      </w:r>
      <w:r>
        <w:rPr>
          <w:lang w:val="sr-Cyrl-BA"/>
        </w:rPr>
        <w:t xml:space="preserve"> Одлуком о општинским административним таксама </w:t>
      </w:r>
      <w:r w:rsidRPr="0049488B">
        <w:rPr>
          <w:lang w:val="sr-Cyrl-BA"/>
        </w:rPr>
        <w:t>(„</w:t>
      </w:r>
      <w:r w:rsidRPr="0049488B">
        <w:rPr>
          <w:rFonts w:eastAsia="TimesNewRomanPSMT"/>
        </w:rPr>
        <w:t xml:space="preserve">Службени гласник </w:t>
      </w:r>
      <w:r w:rsidRPr="0049488B">
        <w:rPr>
          <w:rFonts w:eastAsia="TimesNewRomanPSMT"/>
          <w:lang w:val="sr-Cyrl-BA"/>
        </w:rPr>
        <w:t>општине Прњавор</w:t>
      </w:r>
      <w:r w:rsidRPr="0049488B">
        <w:rPr>
          <w:rFonts w:eastAsia="TimesNewRomanPSMT"/>
        </w:rPr>
        <w:t xml:space="preserve">“, број </w:t>
      </w:r>
      <w:r w:rsidRPr="0049488B">
        <w:rPr>
          <w:rFonts w:eastAsia="TimesNewRomanPSMT"/>
          <w:lang w:val="sr-Cyrl-BA"/>
        </w:rPr>
        <w:t>20</w:t>
      </w:r>
      <w:r w:rsidRPr="0049488B">
        <w:rPr>
          <w:rFonts w:eastAsia="TimesNewRomanPSMT"/>
        </w:rPr>
        <w:t>/12</w:t>
      </w:r>
      <w:r>
        <w:rPr>
          <w:rFonts w:eastAsia="TimesNewRomanPSMT"/>
        </w:rPr>
        <w:t>, 33/13, 37/13 и 21/15</w:t>
      </w:r>
      <w:r w:rsidRPr="0049488B">
        <w:rPr>
          <w:rFonts w:eastAsia="TimesNewRomanPSMT"/>
        </w:rPr>
        <w:t>)</w:t>
      </w:r>
      <w:r w:rsidR="0011414B">
        <w:rPr>
          <w:rFonts w:eastAsia="TimesNewRomanPSMT"/>
        </w:rPr>
        <w:t>.</w:t>
      </w:r>
      <w:r w:rsidR="008E320B">
        <w:rPr>
          <w:rFonts w:eastAsia="TimesNewRomanPSMT"/>
          <w:lang w:val="sr-Latn-RS"/>
        </w:rPr>
        <w:t xml:space="preserve"> </w:t>
      </w:r>
      <w:r w:rsidR="0013249D">
        <w:t xml:space="preserve">У односу на остварење у </w:t>
      </w:r>
      <w:r w:rsidR="00775CE4">
        <w:t>2019. години</w:t>
      </w:r>
      <w:r w:rsidR="0013249D">
        <w:t xml:space="preserve">, </w:t>
      </w:r>
      <w:r w:rsidR="0013249D">
        <w:rPr>
          <w:rFonts w:eastAsia="TimesNewRomanPSMT"/>
        </w:rPr>
        <w:t>приходи</w:t>
      </w:r>
      <w:r w:rsidR="006F5A21">
        <w:rPr>
          <w:rFonts w:eastAsia="TimesNewRomanPSMT"/>
        </w:rPr>
        <w:t xml:space="preserve"> од </w:t>
      </w:r>
      <w:r w:rsidR="00654B4A">
        <w:rPr>
          <w:rFonts w:eastAsia="TimesNewRomanPSMT"/>
          <w:lang w:val="sr-Cyrl-RS"/>
        </w:rPr>
        <w:t xml:space="preserve">општинских </w:t>
      </w:r>
      <w:r w:rsidR="006F5A21">
        <w:rPr>
          <w:rFonts w:eastAsia="TimesNewRomanPSMT"/>
        </w:rPr>
        <w:t xml:space="preserve">административних такса </w:t>
      </w:r>
      <w:r w:rsidR="0013249D">
        <w:rPr>
          <w:rFonts w:eastAsia="TimesNewRomanPSMT"/>
        </w:rPr>
        <w:t xml:space="preserve">остварени су за </w:t>
      </w:r>
      <w:r w:rsidR="00775CE4">
        <w:rPr>
          <w:rFonts w:eastAsia="TimesNewRomanPSMT"/>
        </w:rPr>
        <w:t>3,14</w:t>
      </w:r>
      <w:r w:rsidR="0013249D">
        <w:rPr>
          <w:rFonts w:eastAsia="TimesNewRomanPSMT"/>
        </w:rPr>
        <w:t xml:space="preserve">% или </w:t>
      </w:r>
      <w:r w:rsidR="00775CE4">
        <w:rPr>
          <w:rFonts w:eastAsia="TimesNewRomanPSMT"/>
        </w:rPr>
        <w:t>5.065,92</w:t>
      </w:r>
      <w:r w:rsidR="0013249D">
        <w:rPr>
          <w:rFonts w:eastAsia="TimesNewRomanPSMT"/>
        </w:rPr>
        <w:t xml:space="preserve"> КМ </w:t>
      </w:r>
      <w:r w:rsidR="00775CE4">
        <w:rPr>
          <w:rFonts w:eastAsia="TimesNewRomanPSMT"/>
        </w:rPr>
        <w:t>више</w:t>
      </w:r>
      <w:r w:rsidR="0013249D">
        <w:rPr>
          <w:rFonts w:eastAsia="TimesNewRomanPSMT"/>
        </w:rPr>
        <w:t>.</w:t>
      </w:r>
    </w:p>
    <w:p w14:paraId="7EBF7BEC" w14:textId="77777777" w:rsidR="003A2A85" w:rsidRDefault="003A2A85" w:rsidP="00BF6DCB">
      <w:pPr>
        <w:ind w:left="0" w:firstLine="720"/>
        <w:rPr>
          <w:lang w:val="sr-Cyrl-BA"/>
        </w:rPr>
      </w:pPr>
    </w:p>
    <w:p w14:paraId="130205F9" w14:textId="77777777" w:rsidR="006F5A21" w:rsidRDefault="00BF6DCB" w:rsidP="006F5A21">
      <w:pPr>
        <w:ind w:left="0" w:firstLine="720"/>
      </w:pPr>
      <w:r w:rsidRPr="00DF5760">
        <w:rPr>
          <w:b/>
        </w:rPr>
        <w:t xml:space="preserve">Приходи од </w:t>
      </w:r>
      <w:r w:rsidRPr="00DF5760">
        <w:rPr>
          <w:b/>
          <w:bCs/>
          <w:iCs/>
        </w:rPr>
        <w:t>комуналних такса</w:t>
      </w:r>
      <w:r w:rsidRPr="00DF5760">
        <w:t xml:space="preserve"> остварени су у укупном износу од </w:t>
      </w:r>
      <w:r w:rsidR="008E6E7D">
        <w:t>600.232,20</w:t>
      </w:r>
      <w:r w:rsidRPr="00DF5760">
        <w:t xml:space="preserve"> КМ, </w:t>
      </w:r>
      <w:r w:rsidR="008E6E7D">
        <w:t>што је за 1,12</w:t>
      </w:r>
      <w:r w:rsidRPr="00DF5760">
        <w:t xml:space="preserve">% </w:t>
      </w:r>
      <w:r w:rsidR="008E6E7D">
        <w:t xml:space="preserve">више </w:t>
      </w:r>
      <w:r w:rsidRPr="00DF5760">
        <w:t xml:space="preserve">у односу на </w:t>
      </w:r>
      <w:r>
        <w:t>план</w:t>
      </w:r>
      <w:r w:rsidR="005C42EA">
        <w:t xml:space="preserve">. </w:t>
      </w:r>
      <w:r w:rsidRPr="00DF5760">
        <w:rPr>
          <w:rFonts w:eastAsia="TimesNewRomanPSMT"/>
        </w:rPr>
        <w:t xml:space="preserve">Одлуком о комуналним таксама </w:t>
      </w:r>
      <w:r w:rsidRPr="002E7CA2">
        <w:rPr>
          <w:rFonts w:eastAsia="TimesNewRomanPSMT"/>
        </w:rPr>
        <w:t>(„Службени гласник општине Прњавор“, број 20/12</w:t>
      </w:r>
      <w:r w:rsidRPr="002C48D4">
        <w:rPr>
          <w:rFonts w:eastAsia="TimesNewRomanPSMT"/>
        </w:rPr>
        <w:t>, 13/14</w:t>
      </w:r>
      <w:r w:rsidR="0013249D">
        <w:rPr>
          <w:rFonts w:eastAsia="TimesNewRomanPSMT"/>
        </w:rPr>
        <w:t>, 17/14,</w:t>
      </w:r>
      <w:r>
        <w:rPr>
          <w:rFonts w:eastAsia="TimesNewRomanPSMT"/>
        </w:rPr>
        <w:t xml:space="preserve"> 9/16</w:t>
      </w:r>
      <w:r w:rsidR="0013249D">
        <w:rPr>
          <w:rFonts w:eastAsia="TimesNewRomanPSMT"/>
        </w:rPr>
        <w:t xml:space="preserve"> и 5/18</w:t>
      </w:r>
      <w:r w:rsidRPr="002E7CA2">
        <w:rPr>
          <w:rFonts w:eastAsia="TimesNewRomanPSMT"/>
        </w:rPr>
        <w:t>)</w:t>
      </w:r>
      <w:r w:rsidRPr="00DF5760">
        <w:rPr>
          <w:rFonts w:eastAsia="TimesNewRomanPSMT"/>
        </w:rPr>
        <w:t>, утврђене су врсте, висина, рокови</w:t>
      </w:r>
      <w:r>
        <w:rPr>
          <w:rFonts w:eastAsia="TimesNewRomanPSMT"/>
        </w:rPr>
        <w:t>, начин плаћања комуналних такса</w:t>
      </w:r>
      <w:r w:rsidRPr="00DF5760">
        <w:rPr>
          <w:rFonts w:eastAsia="TimesNewRomanPSMT"/>
        </w:rPr>
        <w:t>, као и основ за ослобађ</w:t>
      </w:r>
      <w:r>
        <w:rPr>
          <w:rFonts w:eastAsia="TimesNewRomanPSMT"/>
        </w:rPr>
        <w:t xml:space="preserve">ање од обавезе плаћања комуналних такса </w:t>
      </w:r>
      <w:r w:rsidRPr="006C7089">
        <w:rPr>
          <w:rFonts w:eastAsia="TimesNewRomanPSMT"/>
        </w:rPr>
        <w:t>на подручју општине Прњавор</w:t>
      </w:r>
      <w:r w:rsidRPr="009B0CDE">
        <w:rPr>
          <w:rFonts w:eastAsia="TimesNewRomanPSMT"/>
        </w:rPr>
        <w:t>.</w:t>
      </w:r>
      <w:r>
        <w:rPr>
          <w:rFonts w:eastAsia="TimesNewRomanPSMT"/>
        </w:rPr>
        <w:t xml:space="preserve"> Новчана средства наплаћена од комуналних такса представљају</w:t>
      </w:r>
      <w:r w:rsidR="006F5A21">
        <w:rPr>
          <w:rFonts w:eastAsia="TimesNewRomanPSMT"/>
        </w:rPr>
        <w:t xml:space="preserve"> 100%</w:t>
      </w:r>
      <w:r>
        <w:rPr>
          <w:rFonts w:eastAsia="TimesNewRomanPSMT"/>
        </w:rPr>
        <w:t xml:space="preserve"> приход буџета општине Прњавор. </w:t>
      </w:r>
      <w:r w:rsidR="006F5A21">
        <w:rPr>
          <w:rFonts w:eastAsia="TimesNewRomanPSMT"/>
        </w:rPr>
        <w:t xml:space="preserve">Најзначајније комуналне таксе остварене у </w:t>
      </w:r>
      <w:r w:rsidR="008E6E7D">
        <w:rPr>
          <w:rFonts w:eastAsia="TimesNewRomanPSMT"/>
        </w:rPr>
        <w:t>2020. години</w:t>
      </w:r>
      <w:r w:rsidR="006F5A21">
        <w:rPr>
          <w:rFonts w:eastAsia="TimesNewRomanPSMT"/>
        </w:rPr>
        <w:t xml:space="preserve"> су комунална такса на фирму, комунална такса за коришћење простора на јавним површинама или испред пословног простора у пословне сврхе и к</w:t>
      </w:r>
      <w:r w:rsidR="006F5A21" w:rsidRPr="0069653A">
        <w:rPr>
          <w:rFonts w:eastAsia="TimesNewRomanPSMT"/>
        </w:rPr>
        <w:t xml:space="preserve">омунална такса за </w:t>
      </w:r>
      <w:r w:rsidR="006F5A21">
        <w:rPr>
          <w:rFonts w:eastAsia="TimesNewRomanPSMT"/>
        </w:rPr>
        <w:t>коришћење простора за паркирање.</w:t>
      </w:r>
    </w:p>
    <w:p w14:paraId="4FABD109" w14:textId="77777777" w:rsidR="00BF6DCB" w:rsidRDefault="00BF6DCB" w:rsidP="00BF6DCB">
      <w:pPr>
        <w:ind w:left="-357"/>
      </w:pPr>
    </w:p>
    <w:p w14:paraId="0D7F2D39" w14:textId="77777777" w:rsidR="00F369DA" w:rsidRDefault="00BF6DCB" w:rsidP="00BF6DCB">
      <w:pPr>
        <w:ind w:left="0" w:firstLine="357"/>
      </w:pPr>
      <w:r>
        <w:rPr>
          <w:b/>
          <w:i/>
        </w:rPr>
        <w:tab/>
      </w:r>
      <w:r w:rsidRPr="005F0B26">
        <w:t>Приходи од</w:t>
      </w:r>
      <w:r>
        <w:rPr>
          <w:b/>
          <w:i/>
        </w:rPr>
        <w:t xml:space="preserve"> Комуналне</w:t>
      </w:r>
      <w:r w:rsidRPr="00F14109">
        <w:rPr>
          <w:b/>
          <w:i/>
        </w:rPr>
        <w:t xml:space="preserve"> такс</w:t>
      </w:r>
      <w:r>
        <w:rPr>
          <w:b/>
          <w:i/>
        </w:rPr>
        <w:t>е</w:t>
      </w:r>
      <w:r w:rsidRPr="00F14109">
        <w:rPr>
          <w:b/>
          <w:i/>
        </w:rPr>
        <w:t xml:space="preserve"> на фирму</w:t>
      </w:r>
      <w:r w:rsidR="00654B4A">
        <w:rPr>
          <w:b/>
          <w:i/>
          <w:lang w:val="sr-Cyrl-RS"/>
        </w:rPr>
        <w:t xml:space="preserve"> </w:t>
      </w:r>
      <w:r>
        <w:t>су</w:t>
      </w:r>
      <w:r w:rsidR="00654B4A">
        <w:rPr>
          <w:lang w:val="sr-Cyrl-RS"/>
        </w:rPr>
        <w:t xml:space="preserve"> </w:t>
      </w:r>
      <w:r>
        <w:t xml:space="preserve">у </w:t>
      </w:r>
      <w:proofErr w:type="spellStart"/>
      <w:r>
        <w:t>извјештајном</w:t>
      </w:r>
      <w:proofErr w:type="spellEnd"/>
      <w:r>
        <w:t xml:space="preserve"> периоду </w:t>
      </w:r>
      <w:r w:rsidRPr="00767C37">
        <w:t>о</w:t>
      </w:r>
      <w:r>
        <w:t xml:space="preserve">стварени у </w:t>
      </w:r>
      <w:r>
        <w:rPr>
          <w:lang w:val="sr-Cyrl-BA"/>
        </w:rPr>
        <w:t xml:space="preserve">износу </w:t>
      </w:r>
      <w:r w:rsidRPr="00F31EB2">
        <w:rPr>
          <w:lang w:val="sr-Cyrl-BA"/>
        </w:rPr>
        <w:t xml:space="preserve">од </w:t>
      </w:r>
      <w:r w:rsidR="008E6E7D">
        <w:t>410.701,14</w:t>
      </w:r>
      <w:r w:rsidRPr="00F31EB2">
        <w:t xml:space="preserve"> КМ, што</w:t>
      </w:r>
      <w:r>
        <w:t xml:space="preserve"> је </w:t>
      </w:r>
      <w:r w:rsidR="008E6E7D">
        <w:t>за 2,68</w:t>
      </w:r>
      <w:r w:rsidR="00691FFF">
        <w:t xml:space="preserve">% </w:t>
      </w:r>
      <w:r w:rsidR="008E6E7D">
        <w:t xml:space="preserve">више </w:t>
      </w:r>
      <w:r w:rsidR="00691FFF">
        <w:t xml:space="preserve">од планираних средстава. </w:t>
      </w:r>
      <w:r w:rsidR="008E6E7D">
        <w:t xml:space="preserve">У односу на 2019. годину приходи од комуналне таксе остварени су за 3,04% или 12.110,64 КМ више. </w:t>
      </w:r>
      <w:r>
        <w:t xml:space="preserve">Комуналну таксу на фирму плаћају правна лица или предузетници за истицање пословног имена на улазу у пословни простор у коме обављају </w:t>
      </w:r>
      <w:proofErr w:type="spellStart"/>
      <w:r>
        <w:t>дјелатност</w:t>
      </w:r>
      <w:proofErr w:type="spellEnd"/>
      <w:r>
        <w:t>. Према Одлуци о комуналним таксама („Службени гласник општине Прњавор“, бр</w:t>
      </w:r>
      <w:r w:rsidRPr="002C48D4">
        <w:t>. 20/12, 13/14</w:t>
      </w:r>
      <w:r w:rsidR="00DD79B2">
        <w:t>, 17/14,</w:t>
      </w:r>
      <w:r>
        <w:t xml:space="preserve"> 9/16</w:t>
      </w:r>
      <w:r w:rsidR="008E320B">
        <w:rPr>
          <w:lang w:val="sr-Latn-RS"/>
        </w:rPr>
        <w:t xml:space="preserve"> </w:t>
      </w:r>
      <w:r w:rsidR="00DD79B2">
        <w:t>и 5/18</w:t>
      </w:r>
      <w:r>
        <w:t xml:space="preserve">), таксени обвезници су дужни пријавити таксену обавезу најкасније до 31.03. текуће године, а уплату комуналне таксе извршити најкасније до 30. јуна текуће године. </w:t>
      </w:r>
      <w:r w:rsidR="00D1125E">
        <w:t xml:space="preserve">Скупштина општине Прњавор је, као </w:t>
      </w:r>
      <w:proofErr w:type="spellStart"/>
      <w:r w:rsidR="00D1125E">
        <w:t>мјеру</w:t>
      </w:r>
      <w:proofErr w:type="spellEnd"/>
      <w:r w:rsidR="00D1125E">
        <w:t xml:space="preserve"> помоћи пословним субјектима за ублажавање економских посљедица насталих </w:t>
      </w:r>
      <w:proofErr w:type="spellStart"/>
      <w:r w:rsidR="00D1125E">
        <w:t>усљед</w:t>
      </w:r>
      <w:proofErr w:type="spellEnd"/>
      <w:r w:rsidR="00D1125E">
        <w:t xml:space="preserve"> </w:t>
      </w:r>
      <w:proofErr w:type="spellStart"/>
      <w:r w:rsidR="00D1125E">
        <w:t>дјеловања</w:t>
      </w:r>
      <w:proofErr w:type="spellEnd"/>
      <w:r w:rsidR="00D1125E">
        <w:t xml:space="preserve"> корона вируса, усвојила Одлуку о субвенцији комуналне таксе за истицање пословног имена („Службени гласник општине Прњавор“, број 32/20). </w:t>
      </w:r>
      <w:r w:rsidR="00250BD5">
        <w:t xml:space="preserve">Од укупно остварених средстава од комуналне таксе на фирму у 2020. години, на приходе по основу одобрених субвенција привредним субјектима односи се 40.945,35 КМ. </w:t>
      </w:r>
    </w:p>
    <w:p w14:paraId="62F6AD36" w14:textId="77777777" w:rsidR="00BF6DCB" w:rsidRDefault="00BF6DCB" w:rsidP="00BF6DCB">
      <w:pPr>
        <w:ind w:left="0" w:firstLine="357"/>
      </w:pPr>
      <w:r>
        <w:tab/>
      </w:r>
    </w:p>
    <w:p w14:paraId="2C5FD1BA" w14:textId="77777777" w:rsidR="003110D0" w:rsidRDefault="009C78CF" w:rsidP="0004477D">
      <w:pPr>
        <w:ind w:left="0" w:firstLine="720"/>
      </w:pPr>
      <w:r w:rsidRPr="009C78CF">
        <w:rPr>
          <w:b/>
          <w:i/>
        </w:rPr>
        <w:t>К</w:t>
      </w:r>
      <w:r w:rsidRPr="009C78CF">
        <w:rPr>
          <w:rFonts w:eastAsia="TimesNewRomanPSMT"/>
          <w:b/>
          <w:i/>
        </w:rPr>
        <w:t>омунална такса за коришћење простора на јавним површинама или испред пословног простора у пословне сврхе</w:t>
      </w:r>
      <w:r w:rsidR="00654B4A">
        <w:rPr>
          <w:rFonts w:eastAsia="TimesNewRomanPSMT"/>
          <w:b/>
          <w:i/>
          <w:lang w:val="sr-Cyrl-RS"/>
        </w:rPr>
        <w:t xml:space="preserve"> </w:t>
      </w:r>
      <w:r>
        <w:rPr>
          <w:rFonts w:eastAsia="TimesNewRomanPSMT"/>
        </w:rPr>
        <w:t xml:space="preserve">у </w:t>
      </w:r>
      <w:proofErr w:type="spellStart"/>
      <w:r>
        <w:rPr>
          <w:rFonts w:eastAsia="TimesNewRomanPSMT"/>
        </w:rPr>
        <w:t>извјештајном</w:t>
      </w:r>
      <w:proofErr w:type="spellEnd"/>
      <w:r>
        <w:rPr>
          <w:rFonts w:eastAsia="TimesNewRomanPSMT"/>
        </w:rPr>
        <w:t xml:space="preserve"> периоду остварена је у износу од </w:t>
      </w:r>
      <w:r w:rsidR="008E6E7D">
        <w:rPr>
          <w:rFonts w:eastAsia="TimesNewRomanPSMT"/>
        </w:rPr>
        <w:t>15.079,08</w:t>
      </w:r>
      <w:r>
        <w:rPr>
          <w:rFonts w:eastAsia="TimesNewRomanPSMT"/>
        </w:rPr>
        <w:t xml:space="preserve"> КМ, што је </w:t>
      </w:r>
      <w:r w:rsidR="008E6E7D">
        <w:rPr>
          <w:rFonts w:eastAsia="TimesNewRomanPSMT"/>
        </w:rPr>
        <w:t>75,40</w:t>
      </w:r>
      <w:r>
        <w:rPr>
          <w:rFonts w:eastAsia="TimesNewRomanPSMT"/>
        </w:rPr>
        <w:t xml:space="preserve">% </w:t>
      </w:r>
      <w:r w:rsidR="00F454AE">
        <w:rPr>
          <w:rFonts w:eastAsia="TimesNewRomanPSMT"/>
        </w:rPr>
        <w:t>у односу на планирана средства</w:t>
      </w:r>
      <w:r w:rsidR="0083734C">
        <w:rPr>
          <w:rFonts w:eastAsia="TimesNewRomanPSMT"/>
        </w:rPr>
        <w:t xml:space="preserve">, а за </w:t>
      </w:r>
      <w:r w:rsidR="008E6E7D">
        <w:rPr>
          <w:rFonts w:eastAsia="TimesNewRomanPSMT"/>
        </w:rPr>
        <w:t>56,87</w:t>
      </w:r>
      <w:r w:rsidR="0083734C">
        <w:rPr>
          <w:rFonts w:eastAsia="TimesNewRomanPSMT"/>
        </w:rPr>
        <w:t xml:space="preserve">% или </w:t>
      </w:r>
      <w:r w:rsidR="008E6E7D">
        <w:rPr>
          <w:rFonts w:eastAsia="TimesNewRomanPSMT"/>
        </w:rPr>
        <w:t>19.886,23</w:t>
      </w:r>
      <w:r w:rsidR="0083734C">
        <w:rPr>
          <w:rFonts w:eastAsia="TimesNewRomanPSMT"/>
        </w:rPr>
        <w:t xml:space="preserve"> КМ мање у односу на остварење у </w:t>
      </w:r>
      <w:r w:rsidR="001B70AB">
        <w:rPr>
          <w:rFonts w:eastAsia="TimesNewRomanPSMT"/>
        </w:rPr>
        <w:t>2019. години</w:t>
      </w:r>
      <w:r w:rsidR="0083734C">
        <w:rPr>
          <w:rFonts w:eastAsia="TimesNewRomanPSMT"/>
        </w:rPr>
        <w:t>.</w:t>
      </w:r>
      <w:r w:rsidR="008E320B">
        <w:rPr>
          <w:rFonts w:eastAsia="TimesNewRomanPSMT"/>
          <w:lang w:val="sr-Latn-RS"/>
        </w:rPr>
        <w:t xml:space="preserve"> </w:t>
      </w:r>
      <w:r w:rsidR="0004477D" w:rsidRPr="001D1ECD">
        <w:rPr>
          <w:rFonts w:eastAsia="TimesNewRomanPSMT"/>
        </w:rPr>
        <w:t xml:space="preserve">На ову шифру прихода наплаћује се комунална такса за коришћење простора испред пословних простора (баште), од чега је у </w:t>
      </w:r>
      <w:proofErr w:type="spellStart"/>
      <w:r w:rsidR="0004477D" w:rsidRPr="001D1ECD">
        <w:rPr>
          <w:rFonts w:eastAsia="TimesNewRomanPSMT"/>
        </w:rPr>
        <w:t>извјештајном</w:t>
      </w:r>
      <w:proofErr w:type="spellEnd"/>
      <w:r w:rsidR="0004477D" w:rsidRPr="001D1ECD">
        <w:rPr>
          <w:rFonts w:eastAsia="TimesNewRomanPSMT"/>
        </w:rPr>
        <w:t xml:space="preserve"> периоду остварено </w:t>
      </w:r>
      <w:r w:rsidR="009B4882" w:rsidRPr="009B4882">
        <w:rPr>
          <w:rFonts w:eastAsia="TimesNewRomanPSMT"/>
        </w:rPr>
        <w:t>10.603,26</w:t>
      </w:r>
      <w:r w:rsidR="0004477D" w:rsidRPr="009B4882">
        <w:rPr>
          <w:rFonts w:eastAsia="TimesNewRomanPSMT"/>
        </w:rPr>
        <w:t xml:space="preserve"> КМ</w:t>
      </w:r>
      <w:r w:rsidR="008E320B">
        <w:rPr>
          <w:rFonts w:eastAsia="TimesNewRomanPSMT"/>
          <w:lang w:val="sr-Latn-RS"/>
        </w:rPr>
        <w:t xml:space="preserve"> </w:t>
      </w:r>
      <w:r w:rsidR="0004477D" w:rsidRPr="001D1ECD">
        <w:rPr>
          <w:rFonts w:eastAsia="TimesNewRomanPSMT"/>
        </w:rPr>
        <w:t xml:space="preserve">и закуп путног земљишта за постављене подземне инсталације </w:t>
      </w:r>
      <w:r w:rsidR="0004477D" w:rsidRPr="001D1ECD">
        <w:t xml:space="preserve">(телекомуникацијске, кабловске телевизије, нисконапонске и високонапонске мреже и др.), од чега је у </w:t>
      </w:r>
      <w:proofErr w:type="spellStart"/>
      <w:r w:rsidR="0004477D" w:rsidRPr="001D1ECD">
        <w:t>извјештајном</w:t>
      </w:r>
      <w:proofErr w:type="spellEnd"/>
      <w:r w:rsidR="0004477D" w:rsidRPr="001D1ECD">
        <w:t xml:space="preserve"> периоду </w:t>
      </w:r>
      <w:r w:rsidR="0004477D" w:rsidRPr="009B4882">
        <w:t xml:space="preserve">остварено </w:t>
      </w:r>
      <w:r w:rsidR="00B12919" w:rsidRPr="009B4882">
        <w:t>4.475</w:t>
      </w:r>
      <w:r w:rsidR="00102661" w:rsidRPr="009B4882">
        <w:t>,82</w:t>
      </w:r>
      <w:r w:rsidR="0004477D" w:rsidRPr="009B4882">
        <w:t xml:space="preserve"> КМ.</w:t>
      </w:r>
    </w:p>
    <w:p w14:paraId="72FD8FA1" w14:textId="77777777" w:rsidR="0004477D" w:rsidRPr="00D1125E" w:rsidRDefault="0004477D" w:rsidP="0004477D">
      <w:pPr>
        <w:ind w:left="0" w:firstLine="720"/>
      </w:pPr>
      <w:r>
        <w:t xml:space="preserve">Скупштина општине Прњавор је, као </w:t>
      </w:r>
      <w:proofErr w:type="spellStart"/>
      <w:r>
        <w:t>мјеру</w:t>
      </w:r>
      <w:proofErr w:type="spellEnd"/>
      <w:r>
        <w:t xml:space="preserve"> помоћи пословним субјектима за ублажавање економских посљедица насталих </w:t>
      </w:r>
      <w:proofErr w:type="spellStart"/>
      <w:r>
        <w:t>усљед</w:t>
      </w:r>
      <w:proofErr w:type="spellEnd"/>
      <w:r>
        <w:t xml:space="preserve"> </w:t>
      </w:r>
      <w:proofErr w:type="spellStart"/>
      <w:r>
        <w:t>дјеловања</w:t>
      </w:r>
      <w:proofErr w:type="spellEnd"/>
      <w:r>
        <w:t xml:space="preserve"> корона вируса, усвојила Одлуку о ослобађању плаћања закупа за заузимање јавне површине за 2020. годину („Службени гласник општине </w:t>
      </w:r>
      <w:r>
        <w:lastRenderedPageBreak/>
        <w:t xml:space="preserve">Прњавор“, број 32/20). </w:t>
      </w:r>
      <w:proofErr w:type="spellStart"/>
      <w:r w:rsidR="003110D0">
        <w:t>Oва</w:t>
      </w:r>
      <w:proofErr w:type="spellEnd"/>
      <w:r w:rsidR="003110D0">
        <w:t xml:space="preserve"> одлука односи се на ослобађање плаћања комуналне таксе по основу закупа јавне површине за баште и киоске, за период трај</w:t>
      </w:r>
      <w:r w:rsidR="00FF0388">
        <w:t xml:space="preserve">ања забране или ограничења рада, за пословне субјекте који немају обавезе према општини Прњавор са 31.12.2019. године. </w:t>
      </w:r>
      <w:r w:rsidR="00336C1C">
        <w:t xml:space="preserve">На основу наведене одлуке </w:t>
      </w:r>
      <w:r w:rsidR="001B70AB">
        <w:t>до краја 2020. године</w:t>
      </w:r>
      <w:r w:rsidR="008E320B">
        <w:rPr>
          <w:lang w:val="sr-Latn-RS"/>
        </w:rPr>
        <w:t xml:space="preserve"> </w:t>
      </w:r>
      <w:r w:rsidR="00FF0388">
        <w:t>и</w:t>
      </w:r>
      <w:r w:rsidR="00786FE6">
        <w:t>зда</w:t>
      </w:r>
      <w:r w:rsidR="00336C1C">
        <w:t xml:space="preserve">то </w:t>
      </w:r>
      <w:r w:rsidR="00336C1C" w:rsidRPr="00B12919">
        <w:t xml:space="preserve">је </w:t>
      </w:r>
      <w:r w:rsidR="001B70AB">
        <w:t>13</w:t>
      </w:r>
      <w:r w:rsidR="00786FE6" w:rsidRPr="00B12919">
        <w:t xml:space="preserve"> </w:t>
      </w:r>
      <w:proofErr w:type="spellStart"/>
      <w:r w:rsidR="00786FE6" w:rsidRPr="00B12919">
        <w:t>рјешења</w:t>
      </w:r>
      <w:proofErr w:type="spellEnd"/>
      <w:r w:rsidR="00786FE6">
        <w:t xml:space="preserve"> о ослобађању плаћања </w:t>
      </w:r>
      <w:proofErr w:type="spellStart"/>
      <w:r w:rsidR="00FF0388">
        <w:t>дијела</w:t>
      </w:r>
      <w:proofErr w:type="spellEnd"/>
      <w:r w:rsidR="00FF0388">
        <w:t xml:space="preserve"> обавезе по основу закупа</w:t>
      </w:r>
      <w:r w:rsidR="00654B4A">
        <w:rPr>
          <w:lang w:val="sr-Cyrl-RS"/>
        </w:rPr>
        <w:t xml:space="preserve"> </w:t>
      </w:r>
      <w:r w:rsidR="001C48B3">
        <w:t>јавне површине за башту.</w:t>
      </w:r>
    </w:p>
    <w:p w14:paraId="047C0323" w14:textId="77777777" w:rsidR="009C78CF" w:rsidRPr="003110D0" w:rsidRDefault="009C78CF" w:rsidP="00E148C9">
      <w:pPr>
        <w:ind w:left="0" w:firstLine="0"/>
        <w:rPr>
          <w:b/>
          <w:i/>
        </w:rPr>
      </w:pPr>
    </w:p>
    <w:p w14:paraId="2490FBB5" w14:textId="77777777" w:rsidR="00BF6DCB" w:rsidRPr="001B70AB" w:rsidRDefault="00BF6DCB" w:rsidP="00BF6DCB">
      <w:pPr>
        <w:ind w:left="0" w:firstLine="357"/>
      </w:pPr>
      <w:r>
        <w:rPr>
          <w:b/>
          <w:i/>
        </w:rPr>
        <w:tab/>
        <w:t xml:space="preserve">Комунална такса за коришћење простора за паркирање моторних, друмских и прикључних возила на уређеним и </w:t>
      </w:r>
      <w:proofErr w:type="spellStart"/>
      <w:r>
        <w:rPr>
          <w:b/>
          <w:i/>
        </w:rPr>
        <w:t>обиљеженим</w:t>
      </w:r>
      <w:proofErr w:type="spellEnd"/>
      <w:r>
        <w:rPr>
          <w:b/>
          <w:i/>
        </w:rPr>
        <w:t xml:space="preserve"> </w:t>
      </w:r>
      <w:proofErr w:type="spellStart"/>
      <w:r>
        <w:rPr>
          <w:b/>
          <w:i/>
        </w:rPr>
        <w:t>мјестима</w:t>
      </w:r>
      <w:proofErr w:type="spellEnd"/>
      <w:r>
        <w:rPr>
          <w:b/>
          <w:i/>
        </w:rPr>
        <w:t xml:space="preserve"> која је за то одредила скупштина општине </w:t>
      </w:r>
      <w:r>
        <w:t xml:space="preserve">је други по величини приход у овој групи прихода и остварена је у износу од </w:t>
      </w:r>
      <w:r w:rsidR="001B70AB">
        <w:t>152.958,40</w:t>
      </w:r>
      <w:r>
        <w:t xml:space="preserve"> КМ, што је </w:t>
      </w:r>
      <w:r w:rsidR="001B70AB">
        <w:t>за 1,97% више</w:t>
      </w:r>
      <w:r w:rsidR="0083734C">
        <w:t xml:space="preserve"> од планираних средстава за 2020. годину</w:t>
      </w:r>
      <w:r>
        <w:t>.</w:t>
      </w:r>
      <w:r w:rsidR="0083734C">
        <w:t xml:space="preserve"> У односу на остварење у </w:t>
      </w:r>
      <w:r w:rsidR="001B70AB">
        <w:t>2019. години</w:t>
      </w:r>
      <w:r w:rsidR="0083734C">
        <w:t xml:space="preserve">, комунална такса за паркирање остварена је </w:t>
      </w:r>
      <w:r w:rsidR="0002342C">
        <w:t xml:space="preserve">за </w:t>
      </w:r>
      <w:r w:rsidR="001B70AB">
        <w:t>14,11</w:t>
      </w:r>
      <w:r w:rsidR="0002342C">
        <w:t xml:space="preserve">% или </w:t>
      </w:r>
      <w:r w:rsidR="001B70AB">
        <w:t xml:space="preserve">         25.135,92</w:t>
      </w:r>
      <w:r w:rsidR="0002342C">
        <w:t xml:space="preserve"> КМ мање</w:t>
      </w:r>
      <w:r w:rsidR="00DE6EA0">
        <w:t>.</w:t>
      </w:r>
      <w:r w:rsidR="00D52069">
        <w:rPr>
          <w:lang w:val="sr-Cyrl-RS"/>
        </w:rPr>
        <w:t xml:space="preserve"> </w:t>
      </w:r>
      <w:r w:rsidR="00691FFF">
        <w:t>Наплата таксе</w:t>
      </w:r>
      <w:r>
        <w:t xml:space="preserve"> за коришћење простора за паркирање </w:t>
      </w:r>
      <w:r w:rsidR="00691FFF">
        <w:t>регулисана је посебном одлуком - Одлука</w:t>
      </w:r>
      <w:r>
        <w:t xml:space="preserve"> о организовању и наплати паркинга на подручју општине Прњавор („Службени гласник општине Прњавор“, бр. 20/11 и 4/13). </w:t>
      </w:r>
      <w:r w:rsidR="00A63050">
        <w:t xml:space="preserve">На мање остварење прихода од паркинга у 2020. години негативно су утицале предузете </w:t>
      </w:r>
      <w:proofErr w:type="spellStart"/>
      <w:r w:rsidR="00A63050">
        <w:t>мјере</w:t>
      </w:r>
      <w:proofErr w:type="spellEnd"/>
      <w:r w:rsidR="00A63050">
        <w:t xml:space="preserve"> ради спречавања ширења вируса корона, тако да су за два </w:t>
      </w:r>
      <w:proofErr w:type="spellStart"/>
      <w:r w:rsidR="00A63050">
        <w:t>мјесеца</w:t>
      </w:r>
      <w:proofErr w:type="spellEnd"/>
      <w:r w:rsidR="00A63050">
        <w:t xml:space="preserve"> затварања и ограничења рада привредних субјеката и кретања грађана ови приходи остварени у веома малом износу.</w:t>
      </w:r>
    </w:p>
    <w:p w14:paraId="691505C0" w14:textId="77777777" w:rsidR="00BF6DCB" w:rsidRDefault="00BF6DCB" w:rsidP="00BF6DCB">
      <w:pPr>
        <w:ind w:left="0" w:firstLine="0"/>
      </w:pPr>
    </w:p>
    <w:p w14:paraId="668A7D06" w14:textId="77777777" w:rsidR="00BF6DCB" w:rsidRDefault="00BF6DCB" w:rsidP="00BF6DCB">
      <w:pPr>
        <w:ind w:left="0" w:firstLine="0"/>
      </w:pPr>
      <w:r>
        <w:tab/>
        <w:t xml:space="preserve">Остале комуналне таксе </w:t>
      </w:r>
      <w:r w:rsidR="00C55F33">
        <w:t xml:space="preserve">остварене </w:t>
      </w:r>
      <w:r w:rsidR="00DE6EA0">
        <w:t>у 2020</w:t>
      </w:r>
      <w:r w:rsidR="00A63050">
        <w:t>. години</w:t>
      </w:r>
      <w:r w:rsidR="00D52069">
        <w:rPr>
          <w:lang w:val="sr-Cyrl-RS"/>
        </w:rPr>
        <w:t xml:space="preserve"> </w:t>
      </w:r>
      <w:r>
        <w:t xml:space="preserve">односе </w:t>
      </w:r>
      <w:r w:rsidR="00C55F33">
        <w:t xml:space="preserve">се </w:t>
      </w:r>
      <w:r>
        <w:t xml:space="preserve">на </w:t>
      </w:r>
      <w:r w:rsidR="00C55F33">
        <w:rPr>
          <w:b/>
          <w:i/>
        </w:rPr>
        <w:t>комуналну такс</w:t>
      </w:r>
      <w:r>
        <w:rPr>
          <w:b/>
          <w:i/>
        </w:rPr>
        <w:t xml:space="preserve">у за приређивање музичког програма у угоститељским објектима </w:t>
      </w:r>
      <w:r>
        <w:t xml:space="preserve">која је остварена у износу од </w:t>
      </w:r>
      <w:r w:rsidR="00A63050">
        <w:t>74</w:t>
      </w:r>
      <w:r w:rsidR="00336C1C">
        <w:t>0</w:t>
      </w:r>
      <w:r>
        <w:t>,00 КМ</w:t>
      </w:r>
      <w:r>
        <w:rPr>
          <w:b/>
          <w:i/>
        </w:rPr>
        <w:t>, комуналну таксу</w:t>
      </w:r>
      <w:r w:rsidRPr="00B85AA9">
        <w:rPr>
          <w:b/>
          <w:i/>
        </w:rPr>
        <w:t xml:space="preserve"> за коришћење витрина за излагање роба ван пословне просторије</w:t>
      </w:r>
      <w:r w:rsidR="00D52069">
        <w:rPr>
          <w:b/>
          <w:i/>
          <w:lang w:val="sr-Cyrl-RS"/>
        </w:rPr>
        <w:t xml:space="preserve"> </w:t>
      </w:r>
      <w:r w:rsidRPr="00A917F0">
        <w:t xml:space="preserve">која је остварена у износу од </w:t>
      </w:r>
      <w:r w:rsidR="00A63050">
        <w:t>332</w:t>
      </w:r>
      <w:r w:rsidRPr="00A917F0">
        <w:t>,00 КМ</w:t>
      </w:r>
      <w:r>
        <w:rPr>
          <w:b/>
          <w:i/>
        </w:rPr>
        <w:t>, комуналну таксу</w:t>
      </w:r>
      <w:r w:rsidRPr="00B85AA9">
        <w:rPr>
          <w:b/>
          <w:i/>
        </w:rPr>
        <w:t xml:space="preserve"> за коришћење рекламних паноа</w:t>
      </w:r>
      <w:r w:rsidR="00D52069">
        <w:rPr>
          <w:b/>
          <w:i/>
          <w:lang w:val="sr-Cyrl-RS"/>
        </w:rPr>
        <w:t xml:space="preserve"> </w:t>
      </w:r>
      <w:r>
        <w:t xml:space="preserve">која је остварена у износу од </w:t>
      </w:r>
      <w:r w:rsidR="00A63050">
        <w:t>4.800</w:t>
      </w:r>
      <w:r>
        <w:t>,00 КМ</w:t>
      </w:r>
      <w:r>
        <w:rPr>
          <w:b/>
          <w:i/>
        </w:rPr>
        <w:t>, комуналну таксу</w:t>
      </w:r>
      <w:r w:rsidRPr="00B85AA9">
        <w:rPr>
          <w:b/>
          <w:i/>
        </w:rPr>
        <w:t xml:space="preserve"> за коришћење слободних површина за кампове, постављање шатора или друге облике привременог коришћења</w:t>
      </w:r>
      <w:r w:rsidR="00D52069">
        <w:rPr>
          <w:b/>
          <w:i/>
          <w:lang w:val="sr-Cyrl-RS"/>
        </w:rPr>
        <w:t xml:space="preserve"> </w:t>
      </w:r>
      <w:r w:rsidRPr="00336C1C">
        <w:rPr>
          <w:b/>
          <w:i/>
        </w:rPr>
        <w:t>(гараже)</w:t>
      </w:r>
      <w:r>
        <w:t xml:space="preserve"> која је остварена у износу од </w:t>
      </w:r>
      <w:r w:rsidR="00A63050">
        <w:t>6.295,16</w:t>
      </w:r>
      <w:r>
        <w:t xml:space="preserve"> КМ</w:t>
      </w:r>
      <w:r w:rsidR="005D288A">
        <w:t>,</w:t>
      </w:r>
      <w:r>
        <w:t xml:space="preserve"> и</w:t>
      </w:r>
      <w:r>
        <w:rPr>
          <w:b/>
          <w:i/>
        </w:rPr>
        <w:t xml:space="preserve"> комуналну таксу</w:t>
      </w:r>
      <w:r w:rsidRPr="00B85AA9">
        <w:rPr>
          <w:b/>
          <w:i/>
        </w:rPr>
        <w:t xml:space="preserve"> на остале предмете </w:t>
      </w:r>
      <w:r w:rsidRPr="00336C1C">
        <w:rPr>
          <w:b/>
          <w:i/>
        </w:rPr>
        <w:t xml:space="preserve">таксирања </w:t>
      </w:r>
      <w:r w:rsidRPr="009C5FBD">
        <w:rPr>
          <w:b/>
          <w:i/>
        </w:rPr>
        <w:t>(киосци)</w:t>
      </w:r>
      <w:r>
        <w:t xml:space="preserve"> која је остварена у износу од </w:t>
      </w:r>
      <w:r w:rsidR="00A63050">
        <w:t>9.326</w:t>
      </w:r>
      <w:r w:rsidR="00DE6EA0">
        <w:t>,42</w:t>
      </w:r>
      <w:r>
        <w:t xml:space="preserve"> КМ. </w:t>
      </w:r>
    </w:p>
    <w:p w14:paraId="69EB4D0F" w14:textId="77777777" w:rsidR="00BF6DCB" w:rsidRDefault="00BF6DCB" w:rsidP="00BF6DCB">
      <w:pPr>
        <w:tabs>
          <w:tab w:val="right" w:leader="dot" w:pos="9214"/>
        </w:tabs>
        <w:spacing w:before="120"/>
        <w:ind w:left="0" w:right="-792" w:firstLine="0"/>
      </w:pPr>
    </w:p>
    <w:p w14:paraId="02F81849" w14:textId="77777777" w:rsidR="00BF6DCB" w:rsidRDefault="00BF6DCB" w:rsidP="00BF6DCB">
      <w:pPr>
        <w:ind w:left="0" w:firstLine="0"/>
      </w:pPr>
      <w:r>
        <w:tab/>
      </w:r>
      <w:r w:rsidRPr="006E7B11">
        <w:rPr>
          <w:b/>
        </w:rPr>
        <w:t>Приходи од накнада по разним основама</w:t>
      </w:r>
      <w:r w:rsidRPr="00AC3192">
        <w:t xml:space="preserve"> су остварени у укупном износу од </w:t>
      </w:r>
      <w:r w:rsidR="00A63050">
        <w:t>1.016.030,56</w:t>
      </w:r>
      <w:r w:rsidRPr="00AC3192">
        <w:t xml:space="preserve"> КМ, што је </w:t>
      </w:r>
      <w:r w:rsidR="00D52069">
        <w:t xml:space="preserve">за 4,48% више </w:t>
      </w:r>
      <w:r>
        <w:t>од планира</w:t>
      </w:r>
      <w:r w:rsidR="00423749">
        <w:t xml:space="preserve">них средстава </w:t>
      </w:r>
      <w:r w:rsidR="00550263">
        <w:t>за 2020</w:t>
      </w:r>
      <w:r w:rsidR="004C320B">
        <w:t>. годину</w:t>
      </w:r>
      <w:r w:rsidR="00423749">
        <w:t>.</w:t>
      </w:r>
    </w:p>
    <w:p w14:paraId="02C86836" w14:textId="77777777" w:rsidR="00BF6DCB" w:rsidRDefault="00BF6DCB" w:rsidP="00BF6DCB">
      <w:pPr>
        <w:ind w:left="0" w:firstLine="0"/>
        <w:rPr>
          <w:lang w:val="sr-Cyrl-BA"/>
        </w:rPr>
      </w:pPr>
    </w:p>
    <w:p w14:paraId="5D52A23B" w14:textId="77777777" w:rsidR="00FE1044" w:rsidRDefault="00BF6DCB" w:rsidP="00FE1044">
      <w:pPr>
        <w:ind w:left="0" w:firstLine="0"/>
      </w:pPr>
      <w:r>
        <w:rPr>
          <w:b/>
          <w:i/>
        </w:rPr>
        <w:tab/>
        <w:t>Приход</w:t>
      </w:r>
      <w:r w:rsidR="004C320B">
        <w:rPr>
          <w:b/>
          <w:i/>
        </w:rPr>
        <w:t>и</w:t>
      </w:r>
      <w:r>
        <w:rPr>
          <w:b/>
          <w:i/>
        </w:rPr>
        <w:t xml:space="preserve"> од накнаде за уређење</w:t>
      </w:r>
      <w:r w:rsidRPr="00320449">
        <w:rPr>
          <w:b/>
          <w:i/>
        </w:rPr>
        <w:t xml:space="preserve"> грађевинског земљишта</w:t>
      </w:r>
      <w:r w:rsidR="00D52069">
        <w:rPr>
          <w:b/>
          <w:i/>
          <w:lang w:val="sr-Cyrl-RS"/>
        </w:rPr>
        <w:t xml:space="preserve"> </w:t>
      </w:r>
      <w:r w:rsidRPr="00A70E7C">
        <w:t>остварен</w:t>
      </w:r>
      <w:r w:rsidR="004C320B">
        <w:t>и</w:t>
      </w:r>
      <w:r w:rsidR="00D52069">
        <w:rPr>
          <w:lang w:val="sr-Cyrl-RS"/>
        </w:rPr>
        <w:t xml:space="preserve"> </w:t>
      </w:r>
      <w:r w:rsidR="004C320B">
        <w:t>су</w:t>
      </w:r>
      <w:r w:rsidRPr="00A70E7C">
        <w:t xml:space="preserve"> у износу од </w:t>
      </w:r>
      <w:r w:rsidR="00DE6AF0">
        <w:t>176.370,61</w:t>
      </w:r>
      <w:r w:rsidRPr="00A70E7C">
        <w:t xml:space="preserve"> КМ, </w:t>
      </w:r>
      <w:r>
        <w:t>што је</w:t>
      </w:r>
      <w:r w:rsidR="008E320B">
        <w:rPr>
          <w:lang w:val="sr-Latn-RS"/>
        </w:rPr>
        <w:t xml:space="preserve"> </w:t>
      </w:r>
      <w:r w:rsidR="00DE6AF0">
        <w:t>98,53</w:t>
      </w:r>
      <w:r w:rsidR="00550263">
        <w:t>%</w:t>
      </w:r>
      <w:r w:rsidR="00871061">
        <w:t xml:space="preserve"> у односу на годишњи план. </w:t>
      </w:r>
      <w:r w:rsidR="00FE1044">
        <w:t xml:space="preserve">У односу на  остварење </w:t>
      </w:r>
      <w:r w:rsidR="00451420">
        <w:t>у</w:t>
      </w:r>
      <w:r w:rsidR="00D52069">
        <w:rPr>
          <w:lang w:val="sr-Cyrl-RS"/>
        </w:rPr>
        <w:t xml:space="preserve"> </w:t>
      </w:r>
      <w:r w:rsidR="00550263">
        <w:t>истом периоду претходне године</w:t>
      </w:r>
      <w:r w:rsidR="00FE1044">
        <w:t xml:space="preserve">, приходи од накнаде за уређење остварени су за </w:t>
      </w:r>
      <w:r w:rsidR="00DE6AF0">
        <w:t>9,47</w:t>
      </w:r>
      <w:r w:rsidR="00550263">
        <w:t xml:space="preserve">% или </w:t>
      </w:r>
      <w:r w:rsidR="008E320B">
        <w:rPr>
          <w:lang w:val="sr-Latn-RS"/>
        </w:rPr>
        <w:t xml:space="preserve"> </w:t>
      </w:r>
      <w:r w:rsidR="00DE6AF0">
        <w:t>15.255,92</w:t>
      </w:r>
      <w:r w:rsidR="00FE1044">
        <w:t xml:space="preserve"> КМ </w:t>
      </w:r>
      <w:r w:rsidR="00DD1DAC">
        <w:t>више</w:t>
      </w:r>
      <w:r w:rsidR="00FE1044">
        <w:t>.</w:t>
      </w:r>
    </w:p>
    <w:p w14:paraId="46268E44" w14:textId="77777777" w:rsidR="0097136A" w:rsidRPr="009A642B" w:rsidRDefault="0097136A" w:rsidP="009A642B">
      <w:pPr>
        <w:ind w:left="0" w:firstLine="720"/>
        <w:rPr>
          <w:lang w:eastAsia="en-US"/>
        </w:rPr>
      </w:pPr>
      <w:r w:rsidRPr="000B5092">
        <w:rPr>
          <w:lang w:eastAsia="en-US"/>
        </w:rPr>
        <w:t>Као и земљишна рента, накнада за уређење градског грађевинског земљишта се наплаћује у поступку издавања грађевинских дозвола</w:t>
      </w:r>
      <w:r>
        <w:rPr>
          <w:lang w:eastAsia="en-US"/>
        </w:rPr>
        <w:t>, те</w:t>
      </w:r>
      <w:r w:rsidR="00D52069">
        <w:rPr>
          <w:lang w:val="sr-Cyrl-RS" w:eastAsia="en-US"/>
        </w:rPr>
        <w:t xml:space="preserve"> </w:t>
      </w:r>
      <w:r>
        <w:t>висина остварених прихода од накнаде за уређење у највећем обиму зависи од степена и обима градње у зони обухвата градског грађевинског земљишта</w:t>
      </w:r>
      <w:r w:rsidR="00FE1044">
        <w:t xml:space="preserve"> (број издатих грађевинских дозвола, квадратура објеката, зона изградње).</w:t>
      </w:r>
      <w:r w:rsidR="008E320B">
        <w:rPr>
          <w:lang w:val="sr-Latn-RS"/>
        </w:rPr>
        <w:t xml:space="preserve"> </w:t>
      </w:r>
      <w:r w:rsidR="00FE1044" w:rsidRPr="000B5092">
        <w:rPr>
          <w:lang w:eastAsia="en-US"/>
        </w:rPr>
        <w:t xml:space="preserve">Скупштина општине за сваку годину доноси Одлуку о висини </w:t>
      </w:r>
      <w:proofErr w:type="spellStart"/>
      <w:r w:rsidR="00FE1044" w:rsidRPr="000B5092">
        <w:rPr>
          <w:lang w:val="en-US" w:eastAsia="en-US"/>
        </w:rPr>
        <w:t>накнаде</w:t>
      </w:r>
      <w:proofErr w:type="spellEnd"/>
      <w:r w:rsidR="00FE1044" w:rsidRPr="000B5092">
        <w:rPr>
          <w:lang w:val="en-US" w:eastAsia="en-US"/>
        </w:rPr>
        <w:t xml:space="preserve"> </w:t>
      </w:r>
      <w:proofErr w:type="spellStart"/>
      <w:r w:rsidR="00FE1044" w:rsidRPr="000B5092">
        <w:rPr>
          <w:lang w:val="en-US" w:eastAsia="en-US"/>
        </w:rPr>
        <w:t>за</w:t>
      </w:r>
      <w:proofErr w:type="spellEnd"/>
      <w:r w:rsidR="00FE1044" w:rsidRPr="000B5092">
        <w:rPr>
          <w:lang w:val="en-US" w:eastAsia="en-US"/>
        </w:rPr>
        <w:t xml:space="preserve"> </w:t>
      </w:r>
      <w:proofErr w:type="spellStart"/>
      <w:r w:rsidR="00FE1044" w:rsidRPr="000B5092">
        <w:rPr>
          <w:lang w:val="en-US" w:eastAsia="en-US"/>
        </w:rPr>
        <w:t>уређење</w:t>
      </w:r>
      <w:proofErr w:type="spellEnd"/>
      <w:r w:rsidR="00FE1044" w:rsidRPr="000B5092">
        <w:rPr>
          <w:lang w:val="en-US" w:eastAsia="en-US"/>
        </w:rPr>
        <w:t xml:space="preserve"> </w:t>
      </w:r>
      <w:proofErr w:type="spellStart"/>
      <w:r w:rsidR="00FE1044" w:rsidRPr="000B5092">
        <w:rPr>
          <w:lang w:val="en-US" w:eastAsia="en-US"/>
        </w:rPr>
        <w:t>градског</w:t>
      </w:r>
      <w:proofErr w:type="spellEnd"/>
      <w:r w:rsidR="00FE1044" w:rsidRPr="000B5092">
        <w:rPr>
          <w:lang w:val="en-US" w:eastAsia="en-US"/>
        </w:rPr>
        <w:t xml:space="preserve"> </w:t>
      </w:r>
      <w:proofErr w:type="spellStart"/>
      <w:r w:rsidR="00FE1044" w:rsidRPr="000B5092">
        <w:rPr>
          <w:lang w:val="en-US" w:eastAsia="en-US"/>
        </w:rPr>
        <w:t>грађевинског</w:t>
      </w:r>
      <w:proofErr w:type="spellEnd"/>
      <w:r w:rsidR="00FE1044" w:rsidRPr="000B5092">
        <w:rPr>
          <w:lang w:val="en-US" w:eastAsia="en-US"/>
        </w:rPr>
        <w:t xml:space="preserve"> </w:t>
      </w:r>
      <w:proofErr w:type="spellStart"/>
      <w:r w:rsidR="00FE1044" w:rsidRPr="000B5092">
        <w:rPr>
          <w:lang w:val="en-US" w:eastAsia="en-US"/>
        </w:rPr>
        <w:t>земљишта</w:t>
      </w:r>
      <w:proofErr w:type="spellEnd"/>
      <w:r w:rsidR="00FE1044" w:rsidRPr="000B5092">
        <w:rPr>
          <w:lang w:eastAsia="en-US"/>
        </w:rPr>
        <w:t xml:space="preserve"> којом се утврђује висина накнаде за трошкове уређења градског грађевинског земљишта за 1м</w:t>
      </w:r>
      <w:r w:rsidR="00FE1044" w:rsidRPr="000B5092">
        <w:rPr>
          <w:vertAlign w:val="superscript"/>
          <w:lang w:eastAsia="en-US"/>
        </w:rPr>
        <w:t>2</w:t>
      </w:r>
      <w:r w:rsidR="00FE1044" w:rsidRPr="000B5092">
        <w:rPr>
          <w:lang w:eastAsia="en-US"/>
        </w:rPr>
        <w:t xml:space="preserve"> корисне површине објекта, по зонама градск</w:t>
      </w:r>
      <w:r w:rsidR="00FE1044">
        <w:rPr>
          <w:lang w:eastAsia="en-US"/>
        </w:rPr>
        <w:t>ог грађевинског земљ</w:t>
      </w:r>
      <w:r w:rsidR="00AC4233">
        <w:rPr>
          <w:lang w:eastAsia="en-US"/>
        </w:rPr>
        <w:t>ишта. У 2020</w:t>
      </w:r>
      <w:r w:rsidR="00FE1044" w:rsidRPr="000B5092">
        <w:rPr>
          <w:lang w:eastAsia="en-US"/>
        </w:rPr>
        <w:t xml:space="preserve">. години </w:t>
      </w:r>
      <w:r w:rsidR="00FE1044">
        <w:rPr>
          <w:lang w:eastAsia="en-US"/>
        </w:rPr>
        <w:t xml:space="preserve">није било </w:t>
      </w:r>
      <w:proofErr w:type="spellStart"/>
      <w:r w:rsidR="00FE1044">
        <w:rPr>
          <w:lang w:eastAsia="en-US"/>
        </w:rPr>
        <w:t>измјена</w:t>
      </w:r>
      <w:proofErr w:type="spellEnd"/>
      <w:r w:rsidR="00FE1044" w:rsidRPr="000B5092">
        <w:rPr>
          <w:lang w:eastAsia="en-US"/>
        </w:rPr>
        <w:t xml:space="preserve"> висин</w:t>
      </w:r>
      <w:r w:rsidR="00FE1044">
        <w:rPr>
          <w:lang w:eastAsia="en-US"/>
        </w:rPr>
        <w:t>е</w:t>
      </w:r>
      <w:r w:rsidR="00FE1044" w:rsidRPr="000B5092">
        <w:rPr>
          <w:lang w:eastAsia="en-US"/>
        </w:rPr>
        <w:t xml:space="preserve"> нак</w:t>
      </w:r>
      <w:r w:rsidR="00FE1044">
        <w:rPr>
          <w:lang w:eastAsia="en-US"/>
        </w:rPr>
        <w:t xml:space="preserve">наде за уређење </w:t>
      </w:r>
      <w:r w:rsidR="00AC4233">
        <w:rPr>
          <w:lang w:eastAsia="en-US"/>
        </w:rPr>
        <w:t>по зонама у односу на 2019</w:t>
      </w:r>
      <w:r w:rsidR="00065D20">
        <w:rPr>
          <w:lang w:eastAsia="en-US"/>
        </w:rPr>
        <w:t>. годину, с тим да је</w:t>
      </w:r>
      <w:r w:rsidR="00221167">
        <w:rPr>
          <w:lang w:eastAsia="en-US"/>
        </w:rPr>
        <w:t xml:space="preserve"> Одлуком о допуни Одлуке</w:t>
      </w:r>
      <w:r w:rsidR="00D52069">
        <w:rPr>
          <w:lang w:val="sr-Cyrl-RS" w:eastAsia="en-US"/>
        </w:rPr>
        <w:t xml:space="preserve"> </w:t>
      </w:r>
      <w:r w:rsidR="00221167">
        <w:t>о висини накнаде за уређење градског грађевинског земљишта („Службени гласник општине Прњавор“, број 17/19) уведена накнада и за шесту зону градског грађевинског земљишта</w:t>
      </w:r>
      <w:r w:rsidR="00E00E75">
        <w:t>, ради усклађивања са</w:t>
      </w:r>
      <w:r w:rsidR="00221167">
        <w:t xml:space="preserve"> Одлуком о </w:t>
      </w:r>
      <w:proofErr w:type="spellStart"/>
      <w:r w:rsidR="00221167">
        <w:t>измјенама</w:t>
      </w:r>
      <w:proofErr w:type="spellEnd"/>
      <w:r w:rsidR="00221167">
        <w:t xml:space="preserve"> и допунама Одлуке о уређењу простора и грађевинском земљишту („Службени гласник општине Прњавор“, број 15/19)</w:t>
      </w:r>
      <w:r w:rsidR="00D52069">
        <w:rPr>
          <w:lang w:val="sr-Cyrl-RS"/>
        </w:rPr>
        <w:t>,</w:t>
      </w:r>
      <w:r w:rsidR="00221167">
        <w:t xml:space="preserve"> којом је дошло до </w:t>
      </w:r>
      <w:proofErr w:type="spellStart"/>
      <w:r w:rsidR="00221167">
        <w:t>помјерања</w:t>
      </w:r>
      <w:proofErr w:type="spellEnd"/>
      <w:r w:rsidR="00221167">
        <w:t xml:space="preserve"> граница између зона градског грађевинског земљишта и увођења шесте зоне</w:t>
      </w:r>
      <w:r w:rsidR="00344283">
        <w:t xml:space="preserve"> градског грађевинског земљишта, што се позитивно одразило на висину остварених прихода од накнаде за уређење у 2020. години.</w:t>
      </w:r>
    </w:p>
    <w:p w14:paraId="502C9AEC" w14:textId="77777777" w:rsidR="00065D20" w:rsidRDefault="00065D20" w:rsidP="00065D20">
      <w:pPr>
        <w:ind w:left="0" w:firstLine="720"/>
      </w:pPr>
    </w:p>
    <w:p w14:paraId="5A402FDE" w14:textId="77777777" w:rsidR="000D27B0" w:rsidRPr="00053968" w:rsidRDefault="00BF6DCB" w:rsidP="00BF6DCB">
      <w:pPr>
        <w:ind w:left="0" w:firstLine="357"/>
      </w:pPr>
      <w:r>
        <w:rPr>
          <w:b/>
          <w:i/>
        </w:rPr>
        <w:tab/>
      </w:r>
      <w:proofErr w:type="spellStart"/>
      <w:r w:rsidRPr="00F14109">
        <w:rPr>
          <w:b/>
          <w:i/>
          <w:lang w:val="en-US"/>
        </w:rPr>
        <w:t>Приходи</w:t>
      </w:r>
      <w:proofErr w:type="spellEnd"/>
      <w:r w:rsidRPr="00F14109">
        <w:rPr>
          <w:b/>
          <w:i/>
          <w:lang w:val="en-US"/>
        </w:rPr>
        <w:t xml:space="preserve"> </w:t>
      </w:r>
      <w:proofErr w:type="spellStart"/>
      <w:r w:rsidRPr="00F14109">
        <w:rPr>
          <w:b/>
          <w:i/>
          <w:lang w:val="en-US"/>
        </w:rPr>
        <w:t>од</w:t>
      </w:r>
      <w:proofErr w:type="spellEnd"/>
      <w:r w:rsidRPr="00F14109">
        <w:rPr>
          <w:b/>
          <w:i/>
          <w:lang w:val="en-US"/>
        </w:rPr>
        <w:t xml:space="preserve"> </w:t>
      </w:r>
      <w:r>
        <w:rPr>
          <w:b/>
          <w:i/>
        </w:rPr>
        <w:t>накнаде</w:t>
      </w:r>
      <w:r w:rsidRPr="00F14109">
        <w:rPr>
          <w:b/>
          <w:i/>
        </w:rPr>
        <w:t xml:space="preserve"> за коришћење минералних сировина</w:t>
      </w:r>
      <w:r w:rsidR="008E320B">
        <w:rPr>
          <w:b/>
          <w:i/>
          <w:lang w:val="sr-Latn-RS"/>
        </w:rPr>
        <w:t xml:space="preserve"> </w:t>
      </w:r>
      <w:r w:rsidRPr="00EC4BC8">
        <w:t xml:space="preserve">су </w:t>
      </w:r>
      <w:r>
        <w:t xml:space="preserve">остварени </w:t>
      </w:r>
      <w:r w:rsidRPr="00EC4BC8">
        <w:t xml:space="preserve">у износу од </w:t>
      </w:r>
      <w:r w:rsidR="00BE5257">
        <w:t>54.645,36</w:t>
      </w:r>
      <w:r w:rsidRPr="00EC4BC8">
        <w:t xml:space="preserve"> КМ</w:t>
      </w:r>
      <w:r w:rsidRPr="00D221D7">
        <w:t xml:space="preserve">, што је </w:t>
      </w:r>
      <w:r w:rsidR="00BE5257">
        <w:t>за 21,43</w:t>
      </w:r>
      <w:r w:rsidRPr="00D221D7">
        <w:t>%</w:t>
      </w:r>
      <w:r w:rsidR="00393F2F">
        <w:rPr>
          <w:lang w:val="sr-Cyrl-RS"/>
        </w:rPr>
        <w:t xml:space="preserve"> </w:t>
      </w:r>
      <w:r w:rsidR="00BE5257">
        <w:t xml:space="preserve">више </w:t>
      </w:r>
      <w:r>
        <w:t>од плана</w:t>
      </w:r>
      <w:r w:rsidR="00871061">
        <w:t xml:space="preserve">. </w:t>
      </w:r>
      <w:r w:rsidRPr="00003299">
        <w:t xml:space="preserve">Обвезник плаћања ове накнаде су она предузећа која </w:t>
      </w:r>
      <w:proofErr w:type="spellStart"/>
      <w:r w:rsidRPr="00003299">
        <w:t>посједују</w:t>
      </w:r>
      <w:proofErr w:type="spellEnd"/>
      <w:r w:rsidRPr="00003299">
        <w:t xml:space="preserve"> концесију за експлоатацију минералних сировина, издату у складу са законом ко</w:t>
      </w:r>
      <w:r w:rsidR="000D27B0">
        <w:t xml:space="preserve">јим се уређује област концесија. </w:t>
      </w:r>
    </w:p>
    <w:p w14:paraId="6B793335" w14:textId="77777777" w:rsidR="00F7064C" w:rsidRDefault="00C325AA" w:rsidP="000D27B0">
      <w:pPr>
        <w:ind w:left="0" w:firstLine="720"/>
      </w:pPr>
      <w:r>
        <w:t xml:space="preserve">На подручју општине Прњавор </w:t>
      </w:r>
      <w:proofErr w:type="spellStart"/>
      <w:r>
        <w:t>додијељене</w:t>
      </w:r>
      <w:proofErr w:type="spellEnd"/>
      <w:r>
        <w:t xml:space="preserve"> су четири концесије </w:t>
      </w:r>
      <w:r w:rsidR="00B42B84">
        <w:t xml:space="preserve">за експлоатацију минералних сировина, од чега </w:t>
      </w:r>
      <w:proofErr w:type="spellStart"/>
      <w:r w:rsidR="00B42B84">
        <w:t>двије</w:t>
      </w:r>
      <w:proofErr w:type="spellEnd"/>
      <w:r w:rsidR="00B42B84">
        <w:t xml:space="preserve"> </w:t>
      </w:r>
      <w:r w:rsidR="002B12C4">
        <w:t>привредном друштву</w:t>
      </w:r>
      <w:r w:rsidR="00BF6DCB">
        <w:t xml:space="preserve"> МГ </w:t>
      </w:r>
      <w:proofErr w:type="spellStart"/>
      <w:r w:rsidR="00BF6DCB">
        <w:t>Минд</w:t>
      </w:r>
      <w:proofErr w:type="spellEnd"/>
      <w:r w:rsidR="00BF6DCB">
        <w:t xml:space="preserve">  </w:t>
      </w:r>
      <w:proofErr w:type="spellStart"/>
      <w:r w:rsidR="00BF6DCB">
        <w:t>д.о</w:t>
      </w:r>
      <w:proofErr w:type="spellEnd"/>
      <w:r w:rsidR="00BF6DCB">
        <w:t>. о. Мрк</w:t>
      </w:r>
      <w:r w:rsidR="005828F6">
        <w:t xml:space="preserve">оњић Град </w:t>
      </w:r>
      <w:r w:rsidR="00BF6DCB" w:rsidRPr="004264AC">
        <w:t xml:space="preserve">за експлоатацију техничког грађевинског камена </w:t>
      </w:r>
      <w:r w:rsidR="005828F6">
        <w:t>на локалитетима</w:t>
      </w:r>
      <w:r w:rsidR="00B42B84">
        <w:t xml:space="preserve"> "</w:t>
      </w:r>
      <w:proofErr w:type="spellStart"/>
      <w:r w:rsidR="00B42B84">
        <w:t>Челар"</w:t>
      </w:r>
      <w:r w:rsidR="005828F6">
        <w:t>и</w:t>
      </w:r>
      <w:proofErr w:type="spellEnd"/>
      <w:r w:rsidR="005828F6">
        <w:t xml:space="preserve"> </w:t>
      </w:r>
      <w:r w:rsidR="00B42B84">
        <w:t>"Љубић" (уговори о концесији закључени 2009. односно 2014. године), затим привредном друштву „</w:t>
      </w:r>
      <w:proofErr w:type="spellStart"/>
      <w:r w:rsidR="00B42B84">
        <w:t>Градип</w:t>
      </w:r>
      <w:proofErr w:type="spellEnd"/>
      <w:r w:rsidR="00B42B84">
        <w:t xml:space="preserve">“ </w:t>
      </w:r>
      <w:proofErr w:type="spellStart"/>
      <w:r w:rsidR="00B42B84">
        <w:t>а.д</w:t>
      </w:r>
      <w:proofErr w:type="spellEnd"/>
      <w:r w:rsidR="00B42B84">
        <w:t xml:space="preserve"> Прњавор за експлоатацију техничког грађевинског камена на локалитету „</w:t>
      </w:r>
      <w:proofErr w:type="spellStart"/>
      <w:r w:rsidR="00B42B84">
        <w:t>Грич</w:t>
      </w:r>
      <w:proofErr w:type="spellEnd"/>
      <w:r w:rsidR="00B42B84">
        <w:t>“</w:t>
      </w:r>
      <w:r w:rsidR="00393F2F">
        <w:rPr>
          <w:lang w:val="sr-Cyrl-RS"/>
        </w:rPr>
        <w:t xml:space="preserve"> </w:t>
      </w:r>
      <w:r w:rsidR="00B42B84">
        <w:t>(уговор о концесији закључен у 2018. години) и</w:t>
      </w:r>
      <w:r w:rsidR="00393F2F">
        <w:rPr>
          <w:lang w:val="sr-Cyrl-RS"/>
        </w:rPr>
        <w:t xml:space="preserve"> </w:t>
      </w:r>
      <w:r w:rsidR="002B12C4">
        <w:t xml:space="preserve">привредном друштву „Бања Кулаши“ </w:t>
      </w:r>
      <w:proofErr w:type="spellStart"/>
      <w:r w:rsidR="002B12C4">
        <w:t>д.о.о</w:t>
      </w:r>
      <w:proofErr w:type="spellEnd"/>
      <w:r w:rsidR="002B12C4">
        <w:t>. Прњавор</w:t>
      </w:r>
      <w:r w:rsidR="00393F2F">
        <w:rPr>
          <w:lang w:val="sr-Cyrl-RS"/>
        </w:rPr>
        <w:t xml:space="preserve"> </w:t>
      </w:r>
      <w:r w:rsidR="002B12C4">
        <w:t xml:space="preserve">за експлоатацију </w:t>
      </w:r>
      <w:proofErr w:type="spellStart"/>
      <w:r w:rsidR="002B12C4">
        <w:t>термомин</w:t>
      </w:r>
      <w:r w:rsidR="00B42B84">
        <w:t>ералне</w:t>
      </w:r>
      <w:proofErr w:type="spellEnd"/>
      <w:r w:rsidR="00B42B84">
        <w:t xml:space="preserve"> воде на лежишту „Кулаши“ (уговор о концесији закључен у 2018. години).</w:t>
      </w:r>
    </w:p>
    <w:p w14:paraId="23AE771C" w14:textId="77777777" w:rsidR="00D3423F" w:rsidRDefault="00F7064C" w:rsidP="000D27B0">
      <w:pPr>
        <w:ind w:left="0" w:firstLine="720"/>
        <w:rPr>
          <w:color w:val="FF0000"/>
        </w:rPr>
      </w:pPr>
      <w:r>
        <w:t xml:space="preserve">За </w:t>
      </w:r>
      <w:proofErr w:type="spellStart"/>
      <w:r>
        <w:t>вријеме</w:t>
      </w:r>
      <w:proofErr w:type="spellEnd"/>
      <w:r>
        <w:t xml:space="preserve"> трајања изградње аутопута Бањалука-Добој приходи од накнаде за коришћење минералних сировина остваривани су у значајном износу (максимално остварење у 2015. години у износу од 177.754,60 КМ). </w:t>
      </w:r>
      <w:r w:rsidR="00053968">
        <w:t>Н</w:t>
      </w:r>
      <w:proofErr w:type="spellStart"/>
      <w:r w:rsidR="00325D87" w:rsidRPr="001D1ECD">
        <w:rPr>
          <w:lang w:val="sr-Cyrl-BA"/>
        </w:rPr>
        <w:t>акон</w:t>
      </w:r>
      <w:proofErr w:type="spellEnd"/>
      <w:r w:rsidR="00325D87" w:rsidRPr="001D1ECD">
        <w:rPr>
          <w:lang w:val="sr-Cyrl-BA"/>
        </w:rPr>
        <w:t xml:space="preserve"> завршетка изградње аутопута Бања Лука-Добој у 2018. години</w:t>
      </w:r>
      <w:r>
        <w:t xml:space="preserve"> </w:t>
      </w:r>
      <w:proofErr w:type="spellStart"/>
      <w:r>
        <w:t>примјетан</w:t>
      </w:r>
      <w:proofErr w:type="spellEnd"/>
      <w:r>
        <w:t xml:space="preserve"> је</w:t>
      </w:r>
      <w:r w:rsidR="00703D8B">
        <w:t xml:space="preserve"> драстичан пад у оствареним приходима. </w:t>
      </w:r>
    </w:p>
    <w:p w14:paraId="771C3493" w14:textId="77777777" w:rsidR="00BF6DCB" w:rsidRDefault="00BF6DCB" w:rsidP="000D27B0">
      <w:pPr>
        <w:ind w:left="0" w:firstLine="720"/>
      </w:pPr>
      <w:r>
        <w:t xml:space="preserve">Приходи од накнаде за коришћење минералних сировина се, за развијене јединице локалне самоуправе </w:t>
      </w:r>
      <w:proofErr w:type="spellStart"/>
      <w:r>
        <w:t>гдје</w:t>
      </w:r>
      <w:proofErr w:type="spellEnd"/>
      <w:r>
        <w:t xml:space="preserve"> спада и општина Прњавор, </w:t>
      </w:r>
      <w:proofErr w:type="spellStart"/>
      <w:r>
        <w:t>дијеле</w:t>
      </w:r>
      <w:proofErr w:type="spellEnd"/>
      <w:r w:rsidRPr="00F54F1C">
        <w:t xml:space="preserve"> између буџета Републике и буџета општине или града на чијој територији се обавља концесиона </w:t>
      </w:r>
      <w:proofErr w:type="spellStart"/>
      <w:r w:rsidRPr="00F54F1C">
        <w:t>дјелатност</w:t>
      </w:r>
      <w:proofErr w:type="spellEnd"/>
      <w:r w:rsidRPr="00F54F1C">
        <w:t xml:space="preserve"> у </w:t>
      </w:r>
      <w:proofErr w:type="spellStart"/>
      <w:r w:rsidRPr="00F54F1C">
        <w:t>омјеру</w:t>
      </w:r>
      <w:proofErr w:type="spellEnd"/>
      <w:r w:rsidRPr="00F54F1C">
        <w:t xml:space="preserve"> 30:70.</w:t>
      </w:r>
    </w:p>
    <w:p w14:paraId="1019EF94" w14:textId="77777777" w:rsidR="00BF6DCB" w:rsidRDefault="00BF6DCB" w:rsidP="00BF6DCB">
      <w:pPr>
        <w:ind w:left="0" w:firstLine="0"/>
        <w:rPr>
          <w:lang w:val="sr-Cyrl-BA"/>
        </w:rPr>
      </w:pPr>
    </w:p>
    <w:p w14:paraId="4E08C420" w14:textId="77777777" w:rsidR="00BF6DCB" w:rsidRDefault="00BF6DCB" w:rsidP="00BF6DCB">
      <w:pPr>
        <w:ind w:left="0" w:firstLine="0"/>
      </w:pPr>
      <w:r>
        <w:rPr>
          <w:b/>
          <w:i/>
        </w:rPr>
        <w:tab/>
        <w:t>Приходи од накнаде</w:t>
      </w:r>
      <w:r w:rsidRPr="00F14109">
        <w:rPr>
          <w:b/>
          <w:i/>
        </w:rPr>
        <w:t xml:space="preserve"> за </w:t>
      </w:r>
      <w:proofErr w:type="spellStart"/>
      <w:r w:rsidRPr="00F14109">
        <w:rPr>
          <w:b/>
          <w:i/>
        </w:rPr>
        <w:t>промјену</w:t>
      </w:r>
      <w:proofErr w:type="spellEnd"/>
      <w:r w:rsidRPr="00F14109">
        <w:rPr>
          <w:b/>
          <w:i/>
        </w:rPr>
        <w:t xml:space="preserve"> </w:t>
      </w:r>
      <w:proofErr w:type="spellStart"/>
      <w:r w:rsidRPr="00F14109">
        <w:rPr>
          <w:b/>
          <w:i/>
        </w:rPr>
        <w:t>намјене</w:t>
      </w:r>
      <w:proofErr w:type="spellEnd"/>
      <w:r w:rsidRPr="00F14109">
        <w:rPr>
          <w:b/>
          <w:i/>
        </w:rPr>
        <w:t xml:space="preserve"> пољопривредног земљишта</w:t>
      </w:r>
      <w:r w:rsidR="00393F2F">
        <w:rPr>
          <w:b/>
          <w:i/>
          <w:lang w:val="sr-Cyrl-RS"/>
        </w:rPr>
        <w:t xml:space="preserve"> </w:t>
      </w:r>
      <w:r>
        <w:t xml:space="preserve">су остварени у износу од </w:t>
      </w:r>
      <w:r w:rsidR="0030644E">
        <w:t>62.272,99</w:t>
      </w:r>
      <w:r>
        <w:t xml:space="preserve"> КМ, што је </w:t>
      </w:r>
      <w:r w:rsidR="002372D6">
        <w:rPr>
          <w:lang w:val="sr-Latn-RS"/>
        </w:rPr>
        <w:t>95,80</w:t>
      </w:r>
      <w:r w:rsidRPr="00474608">
        <w:t>%</w:t>
      </w:r>
      <w:r w:rsidR="00393F2F">
        <w:rPr>
          <w:lang w:val="sr-Cyrl-RS"/>
        </w:rPr>
        <w:t xml:space="preserve"> </w:t>
      </w:r>
      <w:r>
        <w:t>у односу на план</w:t>
      </w:r>
      <w:r w:rsidR="004D2C10">
        <w:t xml:space="preserve">. </w:t>
      </w:r>
      <w:r w:rsidR="00C46EB3">
        <w:t xml:space="preserve">Највећи износ остварених прихода у </w:t>
      </w:r>
      <w:proofErr w:type="spellStart"/>
      <w:r w:rsidR="00C46EB3">
        <w:t>извјештајном</w:t>
      </w:r>
      <w:proofErr w:type="spellEnd"/>
      <w:r w:rsidR="00C46EB3">
        <w:t xml:space="preserve"> периоду (износ од 32.694,92 КМ) односи се на уплате за </w:t>
      </w:r>
      <w:proofErr w:type="spellStart"/>
      <w:r w:rsidR="00C46EB3">
        <w:t>промјену</w:t>
      </w:r>
      <w:proofErr w:type="spellEnd"/>
      <w:r w:rsidR="00C46EB3">
        <w:t xml:space="preserve"> </w:t>
      </w:r>
      <w:proofErr w:type="spellStart"/>
      <w:r w:rsidR="00C46EB3">
        <w:t>намјене</w:t>
      </w:r>
      <w:proofErr w:type="spellEnd"/>
      <w:r w:rsidR="00C46EB3">
        <w:t xml:space="preserve"> пољопривредног земљишта у индустријској зони „Вијака“. </w:t>
      </w:r>
      <w:r w:rsidR="006B48B5">
        <w:rPr>
          <w:bCs/>
        </w:rPr>
        <w:t>Н</w:t>
      </w:r>
      <w:r w:rsidR="006B48B5" w:rsidRPr="001D1ECD">
        <w:rPr>
          <w:bCs/>
        </w:rPr>
        <w:t xml:space="preserve">а основу </w:t>
      </w:r>
      <w:proofErr w:type="spellStart"/>
      <w:r w:rsidR="006B48B5" w:rsidRPr="001D1ECD">
        <w:rPr>
          <w:bCs/>
        </w:rPr>
        <w:t>двије</w:t>
      </w:r>
      <w:proofErr w:type="spellEnd"/>
      <w:r w:rsidR="006B48B5" w:rsidRPr="001D1ECD">
        <w:rPr>
          <w:bCs/>
        </w:rPr>
        <w:t xml:space="preserve"> одлуке </w:t>
      </w:r>
      <w:r w:rsidR="006B48B5" w:rsidRPr="001D1ECD">
        <w:t xml:space="preserve">о утврђивању посебног интереса за продају непокретности у својини општине Прњавор испод тржишне </w:t>
      </w:r>
      <w:proofErr w:type="spellStart"/>
      <w:r w:rsidR="006B48B5" w:rsidRPr="001D1ECD">
        <w:t>цијене</w:t>
      </w:r>
      <w:proofErr w:type="spellEnd"/>
      <w:r w:rsidR="006B48B5" w:rsidRPr="001D1ECD">
        <w:t xml:space="preserve"> из 2018. године</w:t>
      </w:r>
      <w:r w:rsidR="006B48B5">
        <w:t xml:space="preserve"> у индустријској зони „Вијака“ продато је пет парцела привредним субјектима који су исказали интересовање за исте, од чега су у 2019. години наплаћени приходи од </w:t>
      </w:r>
      <w:proofErr w:type="spellStart"/>
      <w:r w:rsidR="006B48B5">
        <w:t>промјене</w:t>
      </w:r>
      <w:proofErr w:type="spellEnd"/>
      <w:r w:rsidR="006B48B5">
        <w:t xml:space="preserve"> </w:t>
      </w:r>
      <w:proofErr w:type="spellStart"/>
      <w:r w:rsidR="006B48B5">
        <w:t>намјене</w:t>
      </w:r>
      <w:proofErr w:type="spellEnd"/>
      <w:r w:rsidR="006B48B5">
        <w:t xml:space="preserve"> пољопривредног земљишта за једну продату парцелу, а у </w:t>
      </w:r>
      <w:proofErr w:type="spellStart"/>
      <w:r w:rsidR="006B48B5">
        <w:t>извјештајном</w:t>
      </w:r>
      <w:proofErr w:type="spellEnd"/>
      <w:r w:rsidR="006B48B5">
        <w:t xml:space="preserve"> периоду за још </w:t>
      </w:r>
      <w:r w:rsidR="00C46EB3" w:rsidRPr="00C46EB3">
        <w:t>три</w:t>
      </w:r>
      <w:r w:rsidR="00C46EB3">
        <w:t xml:space="preserve"> парцеле. </w:t>
      </w:r>
      <w:r w:rsidR="00EF1224">
        <w:t xml:space="preserve">Приход од </w:t>
      </w:r>
      <w:proofErr w:type="spellStart"/>
      <w:r w:rsidR="00EF1224">
        <w:t>промјене</w:t>
      </w:r>
      <w:proofErr w:type="spellEnd"/>
      <w:r w:rsidR="00EF1224">
        <w:t xml:space="preserve"> </w:t>
      </w:r>
      <w:proofErr w:type="spellStart"/>
      <w:r w:rsidR="00EF1224">
        <w:t>намјене</w:t>
      </w:r>
      <w:proofErr w:type="spellEnd"/>
      <w:r w:rsidR="00EF1224">
        <w:t xml:space="preserve"> пољопривредног земљишта у непољопривредне сврхе </w:t>
      </w:r>
      <w:proofErr w:type="spellStart"/>
      <w:r w:rsidR="00EF1224">
        <w:t>усмјерава</w:t>
      </w:r>
      <w:proofErr w:type="spellEnd"/>
      <w:r w:rsidR="00EF1224">
        <w:t xml:space="preserve"> се у односу 30% у буџет Републике, а 70% у буџет општине на чијем подручју се налази земљиште.</w:t>
      </w:r>
    </w:p>
    <w:p w14:paraId="4158E4C7" w14:textId="77777777" w:rsidR="000D25C5" w:rsidRPr="00C5716D" w:rsidRDefault="000D25C5" w:rsidP="00BF6DCB">
      <w:pPr>
        <w:ind w:left="0" w:firstLine="0"/>
        <w:rPr>
          <w:lang w:val="sr-Cyrl-BA"/>
        </w:rPr>
      </w:pPr>
    </w:p>
    <w:p w14:paraId="0A4D8861" w14:textId="77777777" w:rsidR="00BF6DCB" w:rsidRDefault="00BF6DCB" w:rsidP="00AB2C07">
      <w:pPr>
        <w:ind w:left="0" w:firstLine="720"/>
      </w:pPr>
      <w:r>
        <w:rPr>
          <w:b/>
          <w:i/>
        </w:rPr>
        <w:t>Приход од накнаде</w:t>
      </w:r>
      <w:r w:rsidRPr="006E7B11">
        <w:rPr>
          <w:b/>
          <w:i/>
        </w:rPr>
        <w:t xml:space="preserve"> за коришћење шума и шумског земљишта </w:t>
      </w:r>
      <w:r w:rsidRPr="0062350C">
        <w:rPr>
          <w:b/>
          <w:i/>
        </w:rPr>
        <w:t>–</w:t>
      </w:r>
      <w:r w:rsidR="00091AD9">
        <w:rPr>
          <w:b/>
          <w:i/>
          <w:lang w:val="sr-Latn-RS"/>
        </w:rPr>
        <w:t xml:space="preserve"> </w:t>
      </w:r>
      <w:r w:rsidRPr="006E7B11">
        <w:rPr>
          <w:b/>
          <w:i/>
        </w:rPr>
        <w:t>средст</w:t>
      </w:r>
      <w:r>
        <w:rPr>
          <w:b/>
          <w:i/>
        </w:rPr>
        <w:t>а</w:t>
      </w:r>
      <w:r w:rsidRPr="006E7B11">
        <w:rPr>
          <w:b/>
          <w:i/>
        </w:rPr>
        <w:t xml:space="preserve">ва за развој неразвијених </w:t>
      </w:r>
      <w:proofErr w:type="spellStart"/>
      <w:r w:rsidRPr="006E7B11">
        <w:rPr>
          <w:b/>
          <w:i/>
        </w:rPr>
        <w:t>дијелова</w:t>
      </w:r>
      <w:proofErr w:type="spellEnd"/>
      <w:r w:rsidRPr="006E7B11">
        <w:rPr>
          <w:b/>
          <w:i/>
        </w:rPr>
        <w:t xml:space="preserve"> општине остварених продајом шумских </w:t>
      </w:r>
      <w:proofErr w:type="spellStart"/>
      <w:r w:rsidRPr="006E7B11">
        <w:rPr>
          <w:b/>
          <w:i/>
        </w:rPr>
        <w:t>сортимената</w:t>
      </w:r>
      <w:proofErr w:type="spellEnd"/>
      <w:r>
        <w:t xml:space="preserve"> остварен је у износу од</w:t>
      </w:r>
      <w:r w:rsidR="000211C7">
        <w:rPr>
          <w:lang w:val="sr-Latn-RS"/>
        </w:rPr>
        <w:t xml:space="preserve"> </w:t>
      </w:r>
      <w:r w:rsidR="00A059FA">
        <w:t>243.239,74</w:t>
      </w:r>
      <w:r w:rsidRPr="002D265A">
        <w:t xml:space="preserve"> КМ, што је </w:t>
      </w:r>
      <w:r w:rsidR="00A059FA">
        <w:t>за 15,83</w:t>
      </w:r>
      <w:r w:rsidRPr="002D265A">
        <w:t xml:space="preserve">% </w:t>
      </w:r>
      <w:r w:rsidR="00A059FA">
        <w:t xml:space="preserve">више </w:t>
      </w:r>
      <w:r w:rsidRPr="002D265A">
        <w:t xml:space="preserve">од </w:t>
      </w:r>
      <w:r>
        <w:t xml:space="preserve">средстава планираних </w:t>
      </w:r>
      <w:r w:rsidR="000211C7">
        <w:t>за 2020</w:t>
      </w:r>
      <w:r w:rsidR="00A059FA">
        <w:t>. годину</w:t>
      </w:r>
      <w:r w:rsidR="00C87796">
        <w:t xml:space="preserve">. </w:t>
      </w:r>
    </w:p>
    <w:p w14:paraId="5B759BCC" w14:textId="77777777" w:rsidR="00BF6DCB" w:rsidRDefault="00BF6DCB" w:rsidP="00BF6DCB">
      <w:pPr>
        <w:ind w:left="0" w:right="-833" w:firstLine="720"/>
      </w:pPr>
      <w:r w:rsidRPr="002D265A">
        <w:t>Јавно предузеће шумарства “Шуме Републике Српске“ АД Соколац</w:t>
      </w:r>
      <w:r>
        <w:t xml:space="preserve"> је дужно, у складу са Законом о шумама, да изврши обрачун и уплату накнаде за коришћење шума на рачун јавних прихода општине/града са чијег подручја потичу продати </w:t>
      </w:r>
      <w:proofErr w:type="spellStart"/>
      <w:r>
        <w:t>сортименти</w:t>
      </w:r>
      <w:proofErr w:type="spellEnd"/>
      <w:r>
        <w:t xml:space="preserve"> до 5. у </w:t>
      </w:r>
      <w:proofErr w:type="spellStart"/>
      <w:r>
        <w:t>мјесецу</w:t>
      </w:r>
      <w:proofErr w:type="spellEnd"/>
      <w:r>
        <w:t xml:space="preserve"> за претходни квартал. </w:t>
      </w:r>
      <w:r w:rsidR="00553E95">
        <w:t xml:space="preserve">Стање потраживања од </w:t>
      </w:r>
      <w:r>
        <w:t>ЈПШ</w:t>
      </w:r>
      <w:r w:rsidRPr="002D265A">
        <w:t xml:space="preserve"> “Шуме Републике Српске“</w:t>
      </w:r>
      <w:r w:rsidR="004059CE">
        <w:rPr>
          <w:lang w:val="sr-Cyrl-RS"/>
        </w:rPr>
        <w:t xml:space="preserve"> </w:t>
      </w:r>
      <w:r w:rsidR="00A059FA">
        <w:t>на дан 31.12</w:t>
      </w:r>
      <w:r w:rsidR="00CF38CE">
        <w:t>.2020</w:t>
      </w:r>
      <w:r w:rsidR="00553E95">
        <w:t>. годи</w:t>
      </w:r>
      <w:r w:rsidR="005A2992">
        <w:t xml:space="preserve">не </w:t>
      </w:r>
      <w:r w:rsidR="005A2992" w:rsidRPr="009B4882">
        <w:t xml:space="preserve">износи </w:t>
      </w:r>
      <w:r w:rsidR="009B4882" w:rsidRPr="009B4882">
        <w:t>15.484,77</w:t>
      </w:r>
      <w:r w:rsidR="005A2992" w:rsidRPr="009B4882">
        <w:t xml:space="preserve"> КМ</w:t>
      </w:r>
      <w:r w:rsidR="009B4882" w:rsidRPr="009B4882">
        <w:t>.</w:t>
      </w:r>
    </w:p>
    <w:p w14:paraId="49E6C18B" w14:textId="77777777" w:rsidR="0069384F" w:rsidRPr="00376195" w:rsidRDefault="005A2992" w:rsidP="0069384F">
      <w:pPr>
        <w:ind w:left="0" w:firstLine="720"/>
      </w:pPr>
      <w:r>
        <w:t>У складу са Законом о шумама накнада за коришћење шума је приход који се користи</w:t>
      </w:r>
      <w:r w:rsidR="00AD4B3E">
        <w:rPr>
          <w:lang w:val="sr-Latn-RS"/>
        </w:rPr>
        <w:t xml:space="preserve"> </w:t>
      </w:r>
      <w:proofErr w:type="spellStart"/>
      <w:r>
        <w:t>намјенски</w:t>
      </w:r>
      <w:proofErr w:type="spellEnd"/>
      <w:r w:rsidR="0069384F">
        <w:t>, и то</w:t>
      </w:r>
      <w:r w:rsidRPr="002D265A">
        <w:t xml:space="preserve"> за изградњу, реконструкцију и одржавање инфраструктуре и других објеката на руралним подручјима јединице локалне самоуправе са ко</w:t>
      </w:r>
      <w:r>
        <w:t xml:space="preserve">је потичу дрвни </w:t>
      </w:r>
      <w:proofErr w:type="spellStart"/>
      <w:r>
        <w:t>сортименти</w:t>
      </w:r>
      <w:proofErr w:type="spellEnd"/>
      <w:r>
        <w:t>. Скупштина општине доноси</w:t>
      </w:r>
      <w:r w:rsidR="00AD4B3E">
        <w:rPr>
          <w:lang w:val="sr-Latn-RS"/>
        </w:rPr>
        <w:t xml:space="preserve"> </w:t>
      </w:r>
      <w:r>
        <w:t>годишњи план</w:t>
      </w:r>
      <w:r w:rsidRPr="002D265A">
        <w:t xml:space="preserve"> о утрошку </w:t>
      </w:r>
      <w:proofErr w:type="spellStart"/>
      <w:r w:rsidRPr="002D265A">
        <w:t>намјенских</w:t>
      </w:r>
      <w:proofErr w:type="spellEnd"/>
      <w:r w:rsidRPr="002D265A">
        <w:t xml:space="preserve"> средстава, уз сагласност Министарства пољопривреде, шумарства и водопривреде.</w:t>
      </w:r>
      <w:r w:rsidR="00091AD9">
        <w:rPr>
          <w:lang w:val="sr-Latn-RS"/>
        </w:rPr>
        <w:t xml:space="preserve"> </w:t>
      </w:r>
      <w:r w:rsidR="0057711E">
        <w:rPr>
          <w:lang w:val="sr-Cyrl-RS"/>
        </w:rPr>
        <w:t>План утрошка</w:t>
      </w:r>
      <w:r w:rsidR="0057711E">
        <w:t xml:space="preserve"> новчаних средстава </w:t>
      </w:r>
      <w:r w:rsidR="0057711E">
        <w:rPr>
          <w:lang w:val="sr-Cyrl-RS"/>
        </w:rPr>
        <w:t xml:space="preserve">која потичу од прихода од посебних </w:t>
      </w:r>
      <w:proofErr w:type="spellStart"/>
      <w:r w:rsidR="0057711E">
        <w:rPr>
          <w:lang w:val="sr-Cyrl-RS"/>
        </w:rPr>
        <w:t>намјена</w:t>
      </w:r>
      <w:proofErr w:type="spellEnd"/>
      <w:r w:rsidR="0057711E">
        <w:rPr>
          <w:lang w:val="sr-Cyrl-RS"/>
        </w:rPr>
        <w:t xml:space="preserve"> за шуме</w:t>
      </w:r>
      <w:r w:rsidR="0057711E">
        <w:t xml:space="preserve"> </w:t>
      </w:r>
      <w:r w:rsidR="0057711E">
        <w:rPr>
          <w:lang w:val="sr-Cyrl-RS"/>
        </w:rPr>
        <w:t>за</w:t>
      </w:r>
      <w:r w:rsidR="0057711E">
        <w:t xml:space="preserve"> 2020. годину усвојен је у износу од</w:t>
      </w:r>
      <w:r w:rsidR="0057711E">
        <w:rPr>
          <w:lang w:val="sr-Latn-RS"/>
        </w:rPr>
        <w:t xml:space="preserve"> </w:t>
      </w:r>
      <w:r w:rsidR="0057711E">
        <w:rPr>
          <w:lang w:val="sr-Cyrl-RS"/>
        </w:rPr>
        <w:t>170</w:t>
      </w:r>
      <w:r w:rsidR="0057711E">
        <w:t xml:space="preserve">.000,00 КМ. </w:t>
      </w:r>
      <w:r w:rsidR="0057711E">
        <w:rPr>
          <w:lang w:val="sr-Cyrl-RS"/>
        </w:rPr>
        <w:t xml:space="preserve">Међутим, у складу са </w:t>
      </w:r>
      <w:proofErr w:type="spellStart"/>
      <w:r w:rsidR="0057711E">
        <w:rPr>
          <w:lang w:val="sr-Cyrl-RS"/>
        </w:rPr>
        <w:t>процјеном</w:t>
      </w:r>
      <w:proofErr w:type="spellEnd"/>
      <w:r w:rsidR="0057711E">
        <w:rPr>
          <w:lang w:val="sr-Cyrl-RS"/>
        </w:rPr>
        <w:t xml:space="preserve"> остварења Плана до краја године Ребалансом буџета за 2020. годину средства за реализацију Плана смањена су на 158.668,00 КМ. </w:t>
      </w:r>
      <w:r w:rsidR="00376195">
        <w:t xml:space="preserve">За </w:t>
      </w:r>
      <w:r w:rsidR="00376195">
        <w:lastRenderedPageBreak/>
        <w:t>реализацију П</w:t>
      </w:r>
      <w:r w:rsidR="0057711E">
        <w:rPr>
          <w:lang w:val="sr-Cyrl-RS"/>
        </w:rPr>
        <w:t>лана</w:t>
      </w:r>
      <w:r w:rsidR="00376195">
        <w:t xml:space="preserve"> надлежно је </w:t>
      </w:r>
      <w:proofErr w:type="spellStart"/>
      <w:r w:rsidR="00376195">
        <w:t>Одјељење</w:t>
      </w:r>
      <w:proofErr w:type="spellEnd"/>
      <w:r w:rsidR="00376195">
        <w:t xml:space="preserve"> за пољопривреду, водопривреду и шумарство.</w:t>
      </w:r>
      <w:r w:rsidR="00AD4B3E">
        <w:rPr>
          <w:lang w:val="sr-Latn-RS"/>
        </w:rPr>
        <w:t xml:space="preserve"> </w:t>
      </w:r>
      <w:r w:rsidR="00507273">
        <w:t xml:space="preserve">Износ неутрошених </w:t>
      </w:r>
      <w:proofErr w:type="spellStart"/>
      <w:r w:rsidR="00507273">
        <w:t>намјенских</w:t>
      </w:r>
      <w:proofErr w:type="spellEnd"/>
      <w:r w:rsidR="00507273">
        <w:t xml:space="preserve"> средстава од накнада за коришћење шума на дан 31.12</w:t>
      </w:r>
      <w:r w:rsidR="00376195">
        <w:t xml:space="preserve">.2020. године </w:t>
      </w:r>
      <w:r w:rsidR="00507273">
        <w:t>износи 86.213,10 КМ.</w:t>
      </w:r>
    </w:p>
    <w:p w14:paraId="349BC292" w14:textId="77777777" w:rsidR="007369F5" w:rsidRPr="00D462A9" w:rsidRDefault="007369F5" w:rsidP="0069384F">
      <w:pPr>
        <w:ind w:left="0" w:firstLine="720"/>
      </w:pPr>
    </w:p>
    <w:p w14:paraId="5684230B" w14:textId="77777777" w:rsidR="00BF6DCB" w:rsidRPr="002542A0" w:rsidRDefault="00BF6DCB" w:rsidP="00BF6DCB">
      <w:pPr>
        <w:ind w:left="0" w:firstLine="0"/>
      </w:pPr>
      <w:r>
        <w:rPr>
          <w:b/>
          <w:i/>
        </w:rPr>
        <w:tab/>
      </w:r>
      <w:r w:rsidRPr="00AD009C">
        <w:rPr>
          <w:b/>
          <w:i/>
        </w:rPr>
        <w:t xml:space="preserve">Накнада за обављање послова од општег интереса у шумама у приватној својини </w:t>
      </w:r>
      <w:r w:rsidRPr="00AD009C">
        <w:t xml:space="preserve">остварена је у износу од </w:t>
      </w:r>
      <w:r w:rsidR="0031614F">
        <w:t>15.246,02</w:t>
      </w:r>
      <w:r>
        <w:t xml:space="preserve"> КМ</w:t>
      </w:r>
      <w:r>
        <w:rPr>
          <w:lang w:val="sr-Latn-CS"/>
        </w:rPr>
        <w:t xml:space="preserve">, </w:t>
      </w:r>
      <w:proofErr w:type="spellStart"/>
      <w:r>
        <w:rPr>
          <w:lang w:val="sr-Latn-CS"/>
        </w:rPr>
        <w:t>што</w:t>
      </w:r>
      <w:proofErr w:type="spellEnd"/>
      <w:r>
        <w:rPr>
          <w:lang w:val="sr-Latn-CS"/>
        </w:rPr>
        <w:t xml:space="preserve"> </w:t>
      </w:r>
      <w:proofErr w:type="spellStart"/>
      <w:r>
        <w:rPr>
          <w:lang w:val="sr-Latn-CS"/>
        </w:rPr>
        <w:t>је</w:t>
      </w:r>
      <w:proofErr w:type="spellEnd"/>
      <w:r>
        <w:rPr>
          <w:lang w:val="sr-Latn-CS"/>
        </w:rPr>
        <w:t xml:space="preserve"> </w:t>
      </w:r>
      <w:r w:rsidR="0031614F">
        <w:t>60,98</w:t>
      </w:r>
      <w:r w:rsidR="00D07B2E">
        <w:t>% од планираних средстава.</w:t>
      </w:r>
      <w:r w:rsidR="00091AD9">
        <w:rPr>
          <w:lang w:val="sr-Latn-RS"/>
        </w:rPr>
        <w:t xml:space="preserve"> </w:t>
      </w:r>
      <w:r w:rsidR="00D07B2E" w:rsidRPr="00AD009C">
        <w:t xml:space="preserve">Средства која </w:t>
      </w:r>
      <w:r w:rsidR="00D07B2E">
        <w:t xml:space="preserve">се прикупе од накнаде за обављање послова од општег интереса у шумама у приватној својини уплаћују се на посебан рачун, и </w:t>
      </w:r>
      <w:proofErr w:type="spellStart"/>
      <w:r w:rsidR="00D07B2E">
        <w:t>намјенског</w:t>
      </w:r>
      <w:proofErr w:type="spellEnd"/>
      <w:r w:rsidR="00D07B2E">
        <w:t xml:space="preserve"> су карактера.</w:t>
      </w:r>
      <w:r w:rsidR="00550C53">
        <w:t xml:space="preserve"> У складу са Законом о шумама ова средства се користе искључиво </w:t>
      </w:r>
      <w:r w:rsidR="00550C53" w:rsidRPr="00AD009C">
        <w:t xml:space="preserve">за израду </w:t>
      </w:r>
      <w:proofErr w:type="spellStart"/>
      <w:r w:rsidR="00550C53" w:rsidRPr="00AD009C">
        <w:t>шумскопривредних</w:t>
      </w:r>
      <w:proofErr w:type="spellEnd"/>
      <w:r w:rsidR="00550C53" w:rsidRPr="00AD009C">
        <w:t xml:space="preserve"> основа за шуме у приватној својини, подизање нових шума, </w:t>
      </w:r>
      <w:proofErr w:type="spellStart"/>
      <w:r w:rsidR="00550C53" w:rsidRPr="00AD009C">
        <w:t>његу</w:t>
      </w:r>
      <w:proofErr w:type="spellEnd"/>
      <w:r w:rsidR="00550C53" w:rsidRPr="00AD009C">
        <w:t xml:space="preserve"> шума и з</w:t>
      </w:r>
      <w:r w:rsidR="00550C53">
        <w:t xml:space="preserve">аштиту шума у приватној својини. </w:t>
      </w:r>
      <w:r w:rsidR="002542A0">
        <w:t xml:space="preserve">Укупно неутрошена </w:t>
      </w:r>
      <w:proofErr w:type="spellStart"/>
      <w:r w:rsidR="002542A0">
        <w:t>намјенска</w:t>
      </w:r>
      <w:proofErr w:type="spellEnd"/>
      <w:r w:rsidR="002542A0">
        <w:t xml:space="preserve"> средства од накнада за обављање </w:t>
      </w:r>
      <w:r w:rsidR="004B6B04">
        <w:t xml:space="preserve">послова од </w:t>
      </w:r>
      <w:r w:rsidR="002542A0">
        <w:t>општег интереса у шума</w:t>
      </w:r>
      <w:r w:rsidR="007369F5">
        <w:t xml:space="preserve">ма </w:t>
      </w:r>
      <w:r w:rsidR="0031614F">
        <w:t>у приватној својини на дан 31.12</w:t>
      </w:r>
      <w:r w:rsidR="007369F5">
        <w:t>.2020</w:t>
      </w:r>
      <w:r w:rsidR="002542A0">
        <w:t xml:space="preserve">. године износе </w:t>
      </w:r>
      <w:r w:rsidR="0031614F">
        <w:t>75.997,95</w:t>
      </w:r>
      <w:r w:rsidR="002542A0">
        <w:t xml:space="preserve"> КМ.</w:t>
      </w:r>
    </w:p>
    <w:p w14:paraId="26414C31" w14:textId="77777777" w:rsidR="00550C53" w:rsidRPr="00550C53" w:rsidRDefault="00550C53" w:rsidP="00BF6DCB">
      <w:pPr>
        <w:ind w:left="0" w:firstLine="0"/>
      </w:pPr>
    </w:p>
    <w:p w14:paraId="3214BC8F" w14:textId="77777777" w:rsidR="00BF6DCB" w:rsidRDefault="00BF6DCB" w:rsidP="00BF6DCB">
      <w:pPr>
        <w:ind w:left="0" w:firstLine="0"/>
      </w:pPr>
      <w:r>
        <w:rPr>
          <w:b/>
          <w:i/>
        </w:rPr>
        <w:tab/>
        <w:t xml:space="preserve">Приходи од накнада за воде – посебних </w:t>
      </w:r>
      <w:proofErr w:type="spellStart"/>
      <w:r>
        <w:rPr>
          <w:b/>
          <w:i/>
        </w:rPr>
        <w:t>водних</w:t>
      </w:r>
      <w:proofErr w:type="spellEnd"/>
      <w:r w:rsidRPr="006E7B11">
        <w:rPr>
          <w:b/>
          <w:i/>
        </w:rPr>
        <w:t xml:space="preserve"> накнад</w:t>
      </w:r>
      <w:r>
        <w:rPr>
          <w:b/>
          <w:i/>
        </w:rPr>
        <w:t>а</w:t>
      </w:r>
      <w:r w:rsidRPr="00EC4BC8">
        <w:t xml:space="preserve"> (шифре прихода</w:t>
      </w:r>
      <w:r>
        <w:t>:</w:t>
      </w:r>
      <w:r w:rsidRPr="00EC4BC8">
        <w:t xml:space="preserve"> 722442-722448, 722457</w:t>
      </w:r>
      <w:r>
        <w:t xml:space="preserve">, </w:t>
      </w:r>
      <w:r w:rsidR="00EA6278">
        <w:t xml:space="preserve">722463, </w:t>
      </w:r>
      <w:r>
        <w:t>722464</w:t>
      </w:r>
      <w:r w:rsidR="00EA6278">
        <w:t>, 722465</w:t>
      </w:r>
      <w:r w:rsidR="002372D6">
        <w:rPr>
          <w:lang w:val="sr-Latn-RS"/>
        </w:rPr>
        <w:t xml:space="preserve"> </w:t>
      </w:r>
      <w:r w:rsidRPr="00EC4BC8">
        <w:t>и 72246</w:t>
      </w:r>
      <w:r>
        <w:t>9</w:t>
      </w:r>
      <w:r w:rsidRPr="00EC4BC8">
        <w:t xml:space="preserve">) </w:t>
      </w:r>
      <w:r>
        <w:t xml:space="preserve">остварени су </w:t>
      </w:r>
      <w:r w:rsidRPr="00EC4BC8">
        <w:t xml:space="preserve">у износу од </w:t>
      </w:r>
      <w:r w:rsidR="00595F86">
        <w:t>120.592,48</w:t>
      </w:r>
      <w:r w:rsidRPr="00EC4BC8">
        <w:t xml:space="preserve"> КМ, што је </w:t>
      </w:r>
      <w:r w:rsidR="00595F86">
        <w:t>99,66</w:t>
      </w:r>
      <w:r w:rsidR="00EA6278">
        <w:t xml:space="preserve">% од планираних средстава. </w:t>
      </w:r>
      <w:r w:rsidRPr="00086E78">
        <w:t xml:space="preserve">Приходи од посебних </w:t>
      </w:r>
      <w:proofErr w:type="spellStart"/>
      <w:r w:rsidRPr="00086E78">
        <w:t>водних</w:t>
      </w:r>
      <w:proofErr w:type="spellEnd"/>
      <w:r w:rsidRPr="00086E78">
        <w:t xml:space="preserve"> накнада </w:t>
      </w:r>
      <w:proofErr w:type="spellStart"/>
      <w:r w:rsidRPr="00086E78">
        <w:t>намјенски</w:t>
      </w:r>
      <w:proofErr w:type="spellEnd"/>
      <w:r w:rsidRPr="00086E78">
        <w:t xml:space="preserve"> се троше у складу са Законом о водама („Службени гласник Републике Српске</w:t>
      </w:r>
      <w:r w:rsidR="008673C6">
        <w:t>“, број 50/06, 92/09,</w:t>
      </w:r>
      <w:r>
        <w:t xml:space="preserve"> 121/12</w:t>
      </w:r>
      <w:r w:rsidR="008673C6">
        <w:t xml:space="preserve"> и 74/17</w:t>
      </w:r>
      <w:r>
        <w:t xml:space="preserve">), </w:t>
      </w:r>
      <w:r w:rsidRPr="00086E78">
        <w:t xml:space="preserve">прикупљају </w:t>
      </w:r>
      <w:r>
        <w:t xml:space="preserve">се </w:t>
      </w:r>
      <w:r w:rsidRPr="00086E78">
        <w:t xml:space="preserve">на посебан рачун, а о </w:t>
      </w:r>
      <w:proofErr w:type="spellStart"/>
      <w:r w:rsidRPr="00086E78">
        <w:t>намјени</w:t>
      </w:r>
      <w:proofErr w:type="spellEnd"/>
      <w:r w:rsidRPr="00086E78">
        <w:t xml:space="preserve"> њиховог трошења одлучује СО-е доношењем Програма за трошење ових средстава.</w:t>
      </w:r>
      <w:r w:rsidR="00091AD9">
        <w:rPr>
          <w:lang w:val="sr-Latn-RS"/>
        </w:rPr>
        <w:t xml:space="preserve"> </w:t>
      </w:r>
      <w:r w:rsidR="00794B30">
        <w:t xml:space="preserve">Програм трошења новчаних средстава од посебних </w:t>
      </w:r>
      <w:proofErr w:type="spellStart"/>
      <w:r w:rsidR="00794B30">
        <w:t>водних</w:t>
      </w:r>
      <w:proofErr w:type="spellEnd"/>
      <w:r w:rsidR="00794B30">
        <w:t xml:space="preserve"> накнада </w:t>
      </w:r>
      <w:r w:rsidR="007369F5">
        <w:t>у 2020. години усвојен је у износу од</w:t>
      </w:r>
      <w:r w:rsidR="002372D6">
        <w:rPr>
          <w:lang w:val="sr-Latn-RS"/>
        </w:rPr>
        <w:t xml:space="preserve"> </w:t>
      </w:r>
      <w:r w:rsidR="005B199D">
        <w:t>2</w:t>
      </w:r>
      <w:r w:rsidR="007369F5">
        <w:t>0</w:t>
      </w:r>
      <w:r w:rsidR="005B199D">
        <w:t xml:space="preserve">0.000,00 КМ, од чега је </w:t>
      </w:r>
      <w:r w:rsidR="007369F5">
        <w:t>121</w:t>
      </w:r>
      <w:r w:rsidR="005B199D">
        <w:t>.000,00 КМ планирано да се финанс</w:t>
      </w:r>
      <w:r w:rsidR="007369F5">
        <w:t>ира из прихода остварених у 2020</w:t>
      </w:r>
      <w:r w:rsidR="005B199D">
        <w:t xml:space="preserve">. години, а </w:t>
      </w:r>
      <w:r w:rsidR="007369F5">
        <w:t xml:space="preserve">           79</w:t>
      </w:r>
      <w:r w:rsidR="005B199D">
        <w:t xml:space="preserve">.000,00 КМ из неутрошених средстава из ранијих година. </w:t>
      </w:r>
      <w:r w:rsidR="00267095">
        <w:rPr>
          <w:lang w:val="sr-Cyrl-RS"/>
        </w:rPr>
        <w:t xml:space="preserve">Ребалансом буџета за 2020. годину средства за реализацију Програма смањена су на 169.400,00 КМ, у складу са </w:t>
      </w:r>
      <w:proofErr w:type="spellStart"/>
      <w:r w:rsidR="00267095">
        <w:rPr>
          <w:lang w:val="sr-Cyrl-RS"/>
        </w:rPr>
        <w:t>процјеном</w:t>
      </w:r>
      <w:proofErr w:type="spellEnd"/>
      <w:r w:rsidR="00267095">
        <w:rPr>
          <w:lang w:val="sr-Cyrl-RS"/>
        </w:rPr>
        <w:t xml:space="preserve"> остварења до краја године. </w:t>
      </w:r>
      <w:r>
        <w:t xml:space="preserve">За реализацију Програма надлежно је </w:t>
      </w:r>
      <w:proofErr w:type="spellStart"/>
      <w:r>
        <w:t>Одјељење</w:t>
      </w:r>
      <w:proofErr w:type="spellEnd"/>
      <w:r>
        <w:t xml:space="preserve"> за пољопривреду, водопривреду и шумарство.</w:t>
      </w:r>
      <w:r w:rsidR="002372D6">
        <w:rPr>
          <w:lang w:val="sr-Latn-RS"/>
        </w:rPr>
        <w:t xml:space="preserve"> </w:t>
      </w:r>
      <w:r w:rsidR="00595F86">
        <w:t>На дан 31.12</w:t>
      </w:r>
      <w:r w:rsidR="001E36D5">
        <w:t>.2020</w:t>
      </w:r>
      <w:r>
        <w:t xml:space="preserve">. године на рачуну посебних </w:t>
      </w:r>
      <w:proofErr w:type="spellStart"/>
      <w:r>
        <w:t>намјена</w:t>
      </w:r>
      <w:proofErr w:type="spellEnd"/>
      <w:r>
        <w:t xml:space="preserve"> за воде налазило се </w:t>
      </w:r>
      <w:r w:rsidR="00595F86">
        <w:t>37.597,71</w:t>
      </w:r>
      <w:r w:rsidRPr="00BC637A">
        <w:t xml:space="preserve"> КМ</w:t>
      </w:r>
      <w:r>
        <w:t xml:space="preserve"> неутрошених </w:t>
      </w:r>
      <w:proofErr w:type="spellStart"/>
      <w:r>
        <w:t>намјенских</w:t>
      </w:r>
      <w:proofErr w:type="spellEnd"/>
      <w:r>
        <w:t xml:space="preserve"> средстава.</w:t>
      </w:r>
    </w:p>
    <w:p w14:paraId="60927BBC" w14:textId="77777777" w:rsidR="00BF6DCB" w:rsidRPr="00E419CB" w:rsidRDefault="00BF6DCB" w:rsidP="00BF6DCB">
      <w:pPr>
        <w:ind w:left="0" w:firstLine="0"/>
      </w:pPr>
    </w:p>
    <w:p w14:paraId="6EA1C791" w14:textId="77777777" w:rsidR="002372D6" w:rsidRDefault="00BF6DCB" w:rsidP="00CA1BE6">
      <w:pPr>
        <w:ind w:left="0" w:firstLine="720"/>
      </w:pPr>
      <w:r w:rsidRPr="0062350C">
        <w:rPr>
          <w:b/>
          <w:i/>
        </w:rPr>
        <w:t>Приход</w:t>
      </w:r>
      <w:r>
        <w:rPr>
          <w:b/>
          <w:i/>
        </w:rPr>
        <w:t>и</w:t>
      </w:r>
      <w:r w:rsidRPr="0062350C">
        <w:rPr>
          <w:b/>
          <w:i/>
        </w:rPr>
        <w:t xml:space="preserve"> од накнаде за коришћење комуналних добар</w:t>
      </w:r>
      <w:r>
        <w:rPr>
          <w:b/>
          <w:i/>
        </w:rPr>
        <w:t>а од општег интереса – комуналне</w:t>
      </w:r>
      <w:r w:rsidRPr="0062350C">
        <w:rPr>
          <w:b/>
          <w:i/>
        </w:rPr>
        <w:t xml:space="preserve"> накнад</w:t>
      </w:r>
      <w:r>
        <w:rPr>
          <w:b/>
          <w:i/>
        </w:rPr>
        <w:t>е</w:t>
      </w:r>
      <w:r w:rsidRPr="002F29D1">
        <w:t xml:space="preserve"> остварен</w:t>
      </w:r>
      <w:r>
        <w:t>и</w:t>
      </w:r>
      <w:r w:rsidR="00091AD9">
        <w:rPr>
          <w:lang w:val="sr-Latn-RS"/>
        </w:rPr>
        <w:t xml:space="preserve"> </w:t>
      </w:r>
      <w:r>
        <w:t>су</w:t>
      </w:r>
      <w:r w:rsidRPr="002F29D1">
        <w:t xml:space="preserve"> у износу од </w:t>
      </w:r>
      <w:r w:rsidR="00971102">
        <w:t>179.366,89</w:t>
      </w:r>
      <w:r w:rsidRPr="002F29D1">
        <w:t xml:space="preserve"> КМ, </w:t>
      </w:r>
      <w:r w:rsidR="00955DA3">
        <w:t>што је</w:t>
      </w:r>
      <w:r w:rsidR="002372D6">
        <w:rPr>
          <w:lang w:val="sr-Latn-RS"/>
        </w:rPr>
        <w:t xml:space="preserve"> </w:t>
      </w:r>
      <w:r w:rsidR="00971102">
        <w:t>за 12,10</w:t>
      </w:r>
      <w:r w:rsidRPr="002F29D1">
        <w:t xml:space="preserve">% </w:t>
      </w:r>
      <w:r w:rsidR="00971102">
        <w:t xml:space="preserve">више </w:t>
      </w:r>
      <w:r>
        <w:t>од</w:t>
      </w:r>
      <w:r w:rsidR="00091AD9">
        <w:rPr>
          <w:lang w:val="sr-Latn-RS"/>
        </w:rPr>
        <w:t xml:space="preserve"> </w:t>
      </w:r>
      <w:r w:rsidR="00740C6A">
        <w:t xml:space="preserve">плана. </w:t>
      </w:r>
      <w:r w:rsidR="00971102">
        <w:t xml:space="preserve">У односу на 2019. годину, приходи од комуналне накнаде остварени су за 11,66% или           23.675,34 КМ мање. </w:t>
      </w:r>
      <w:r w:rsidR="00E52503">
        <w:t xml:space="preserve">На мање остварење прихода од комуналне накнаде утицала је ситуација изазвана вирусом корона и кашњење у подјели </w:t>
      </w:r>
      <w:proofErr w:type="spellStart"/>
      <w:r w:rsidR="00E52503">
        <w:t>рјешења</w:t>
      </w:r>
      <w:proofErr w:type="spellEnd"/>
      <w:r w:rsidR="00E52503">
        <w:t xml:space="preserve"> о утврђивању висине плаћања комуналне накнаде за 2020. годину, које је почело тек у </w:t>
      </w:r>
      <w:proofErr w:type="spellStart"/>
      <w:r w:rsidR="00E52503">
        <w:t>мјесецу</w:t>
      </w:r>
      <w:proofErr w:type="spellEnd"/>
      <w:r w:rsidR="00E52503">
        <w:t xml:space="preserve"> јулу. </w:t>
      </w:r>
      <w:r>
        <w:t xml:space="preserve">Укупно задужење по </w:t>
      </w:r>
      <w:r w:rsidR="00740C6A">
        <w:t>основу комуналне нак</w:t>
      </w:r>
      <w:r w:rsidR="00ED5D24">
        <w:t>наде за 2020</w:t>
      </w:r>
      <w:r w:rsidR="00740C6A">
        <w:t>. годину</w:t>
      </w:r>
      <w:r w:rsidR="002A59A5">
        <w:t>, са стањем на дан 31.12</w:t>
      </w:r>
      <w:r w:rsidR="00ED5D24">
        <w:t>.2020. године,</w:t>
      </w:r>
      <w:r w:rsidR="002372D6">
        <w:rPr>
          <w:lang w:val="sr-Latn-RS"/>
        </w:rPr>
        <w:t xml:space="preserve"> </w:t>
      </w:r>
      <w:r w:rsidR="00FD344D">
        <w:t xml:space="preserve">износи </w:t>
      </w:r>
      <w:r w:rsidR="002A59A5">
        <w:t>242.214,72</w:t>
      </w:r>
      <w:r w:rsidR="00894098">
        <w:t xml:space="preserve"> КМ. </w:t>
      </w:r>
      <w:r w:rsidR="00027554">
        <w:t xml:space="preserve">У односу на 2019. годину, у </w:t>
      </w:r>
      <w:r w:rsidR="002372D6">
        <w:rPr>
          <w:lang w:val="sr-Latn-RS"/>
        </w:rPr>
        <w:t>2020.</w:t>
      </w:r>
      <w:r w:rsidR="00027554">
        <w:t xml:space="preserve"> години је дошло до повећања годишњег задужења комуналне накнаде за око </w:t>
      </w:r>
      <w:r w:rsidR="002A59A5">
        <w:t>28.800</w:t>
      </w:r>
      <w:r w:rsidR="00027554">
        <w:t xml:space="preserve">,00 КМ, као посљедица </w:t>
      </w:r>
      <w:proofErr w:type="spellStart"/>
      <w:r w:rsidR="00027554">
        <w:t>помјерања</w:t>
      </w:r>
      <w:proofErr w:type="spellEnd"/>
      <w:r w:rsidR="00027554">
        <w:t xml:space="preserve"> зона градског грађевинског земљишта и увођења шесте зоне градског грађевинског земљишта, будући да </w:t>
      </w:r>
      <w:proofErr w:type="spellStart"/>
      <w:r w:rsidR="00027554">
        <w:t>вриједност</w:t>
      </w:r>
      <w:proofErr w:type="spellEnd"/>
      <w:r w:rsidR="00027554">
        <w:t xml:space="preserve"> бода за обрачун комуналне накнаде није </w:t>
      </w:r>
      <w:proofErr w:type="spellStart"/>
      <w:r w:rsidR="00027554">
        <w:t>мијењан</w:t>
      </w:r>
      <w:r w:rsidR="002E4977">
        <w:t>а</w:t>
      </w:r>
      <w:proofErr w:type="spellEnd"/>
      <w:r w:rsidR="00027554">
        <w:t xml:space="preserve"> у односу на 2019. годину.</w:t>
      </w:r>
    </w:p>
    <w:p w14:paraId="4F71F192" w14:textId="77777777" w:rsidR="007108A2" w:rsidRDefault="00960B57" w:rsidP="00CA1BE6">
      <w:pPr>
        <w:ind w:left="0" w:firstLine="720"/>
        <w:rPr>
          <w:lang w:val="sr-Cyrl-RS"/>
        </w:rPr>
      </w:pPr>
      <w:r>
        <w:t xml:space="preserve">Скупштина општине Прњавор је, као </w:t>
      </w:r>
      <w:proofErr w:type="spellStart"/>
      <w:r>
        <w:t>мјеру</w:t>
      </w:r>
      <w:proofErr w:type="spellEnd"/>
      <w:r>
        <w:t xml:space="preserve"> помоћи пословним субјектима за ублажавање економских посљедица насталих </w:t>
      </w:r>
      <w:proofErr w:type="spellStart"/>
      <w:r>
        <w:t>усљед</w:t>
      </w:r>
      <w:proofErr w:type="spellEnd"/>
      <w:r>
        <w:t xml:space="preserve"> </w:t>
      </w:r>
      <w:proofErr w:type="spellStart"/>
      <w:r>
        <w:t>дјеловања</w:t>
      </w:r>
      <w:proofErr w:type="spellEnd"/>
      <w:r>
        <w:t xml:space="preserve"> корона вируса, усвојила Одлуку о ослобађању плаћања </w:t>
      </w:r>
      <w:r w:rsidR="00DC42EE">
        <w:t>комуналне накнаде</w:t>
      </w:r>
      <w:r>
        <w:t xml:space="preserve"> за 2020. годину („Службени гласник општине Прњавор“, број 32/20). </w:t>
      </w:r>
      <w:r w:rsidR="00DC42EE">
        <w:t xml:space="preserve">Одлуком је дефинисан поступак утврђивања права на ослобађање </w:t>
      </w:r>
      <w:r w:rsidR="009E17F2">
        <w:t xml:space="preserve">плаћања обавезе или </w:t>
      </w:r>
      <w:proofErr w:type="spellStart"/>
      <w:r w:rsidR="009E17F2">
        <w:t>дијела</w:t>
      </w:r>
      <w:proofErr w:type="spellEnd"/>
      <w:r w:rsidR="009E17F2">
        <w:t xml:space="preserve"> обавезе за 2020. годину пословним субјектима којима је забрањен или ограничен рад актима Републичког штаба за ванредне ситуације и Општинс</w:t>
      </w:r>
      <w:r w:rsidR="00C753D8">
        <w:t>ког штаба за ванредне ситуације, а који са 31.12.2019. године немају неизмирених обавеза према општини Прњ</w:t>
      </w:r>
      <w:r w:rsidR="00CA1BE6">
        <w:t>авор.</w:t>
      </w:r>
      <w:r w:rsidR="00091AD9">
        <w:rPr>
          <w:lang w:val="sr-Latn-RS"/>
        </w:rPr>
        <w:t xml:space="preserve"> </w:t>
      </w:r>
      <w:r w:rsidR="00CA1BE6">
        <w:t xml:space="preserve">На основу наведене одлуке у </w:t>
      </w:r>
      <w:proofErr w:type="spellStart"/>
      <w:r w:rsidR="00CA1BE6">
        <w:t>извјештајном</w:t>
      </w:r>
      <w:proofErr w:type="spellEnd"/>
      <w:r w:rsidR="00CA1BE6">
        <w:t xml:space="preserve"> периоду издато </w:t>
      </w:r>
      <w:r w:rsidR="00CA1BE6" w:rsidRPr="00EA4EE3">
        <w:t xml:space="preserve">је </w:t>
      </w:r>
      <w:r w:rsidR="00EA4EE3" w:rsidRPr="00EA4EE3">
        <w:t>1</w:t>
      </w:r>
      <w:r w:rsidR="00F8517D">
        <w:t>45</w:t>
      </w:r>
      <w:r w:rsidR="00CA1BE6" w:rsidRPr="00EA4EE3">
        <w:t xml:space="preserve"> </w:t>
      </w:r>
      <w:proofErr w:type="spellStart"/>
      <w:r w:rsidR="00CA1BE6" w:rsidRPr="00EA4EE3">
        <w:t>рјешења</w:t>
      </w:r>
      <w:proofErr w:type="spellEnd"/>
      <w:r w:rsidR="00CA1BE6">
        <w:t xml:space="preserve"> о ослобађању плаћања обавезе или </w:t>
      </w:r>
      <w:proofErr w:type="spellStart"/>
      <w:r w:rsidR="00CA1BE6">
        <w:t>дијела</w:t>
      </w:r>
      <w:proofErr w:type="spellEnd"/>
      <w:r w:rsidR="00CA1BE6">
        <w:t xml:space="preserve"> обавезе по основу комуналне накнаде</w:t>
      </w:r>
      <w:r w:rsidR="00F8517D">
        <w:t>, од чега је у висини годишњег задужења осл</w:t>
      </w:r>
      <w:r w:rsidR="001C48B3">
        <w:t xml:space="preserve">обођено 125 пословних субјеката, </w:t>
      </w:r>
      <w:r w:rsidR="00F8517D">
        <w:t>док је 20 пословних субјеката ослобођено плаћања у износу мањем од годишњег задужења</w:t>
      </w:r>
      <w:r w:rsidR="001C48B3">
        <w:rPr>
          <w:lang w:val="sr-Cyrl-RS"/>
        </w:rPr>
        <w:t>.</w:t>
      </w:r>
    </w:p>
    <w:p w14:paraId="614D5D75" w14:textId="77777777" w:rsidR="001C48B3" w:rsidRPr="001C48B3" w:rsidRDefault="001C48B3" w:rsidP="00CA1BE6">
      <w:pPr>
        <w:ind w:left="0" w:firstLine="720"/>
        <w:rPr>
          <w:lang w:val="sr-Cyrl-RS"/>
        </w:rPr>
      </w:pPr>
    </w:p>
    <w:p w14:paraId="70072F29" w14:textId="77777777" w:rsidR="00FE45C4" w:rsidRPr="00686013" w:rsidRDefault="00BF6DCB" w:rsidP="00686013">
      <w:pPr>
        <w:ind w:left="0" w:right="-833" w:firstLine="0"/>
        <w:rPr>
          <w:bCs/>
        </w:rPr>
      </w:pPr>
      <w:r>
        <w:rPr>
          <w:b/>
          <w:i/>
        </w:rPr>
        <w:tab/>
      </w:r>
      <w:r w:rsidRPr="006E7B11">
        <w:rPr>
          <w:b/>
          <w:i/>
        </w:rPr>
        <w:t xml:space="preserve">Средства за финансирање посебних </w:t>
      </w:r>
      <w:proofErr w:type="spellStart"/>
      <w:r w:rsidRPr="006E7B11">
        <w:rPr>
          <w:b/>
          <w:i/>
        </w:rPr>
        <w:t>мјера</w:t>
      </w:r>
      <w:proofErr w:type="spellEnd"/>
      <w:r w:rsidRPr="006E7B11">
        <w:rPr>
          <w:b/>
          <w:i/>
        </w:rPr>
        <w:t xml:space="preserve"> заштите од пожара</w:t>
      </w:r>
      <w:r w:rsidR="00091AD9">
        <w:rPr>
          <w:b/>
          <w:i/>
          <w:lang w:val="sr-Latn-RS"/>
        </w:rPr>
        <w:t xml:space="preserve"> </w:t>
      </w:r>
      <w:r>
        <w:t xml:space="preserve">остварена су у износу од </w:t>
      </w:r>
      <w:r w:rsidR="00086875">
        <w:t>159.920,98</w:t>
      </w:r>
      <w:r>
        <w:t xml:space="preserve"> КМ, што је </w:t>
      </w:r>
      <w:r w:rsidR="00086875">
        <w:t>98,11</w:t>
      </w:r>
      <w:r w:rsidR="00955DA3">
        <w:t xml:space="preserve">% од планираних средстава. </w:t>
      </w:r>
      <w:r w:rsidR="0022663A">
        <w:t>У односу на 2019. годину, ови приходи остварени су за 12,15% или 22.122,58 КМ</w:t>
      </w:r>
      <w:r w:rsidR="002F479D">
        <w:rPr>
          <w:lang w:val="sr-Cyrl-RS"/>
        </w:rPr>
        <w:t xml:space="preserve"> мање</w:t>
      </w:r>
      <w:r w:rsidR="0022663A">
        <w:t>. С</w:t>
      </w:r>
      <w:r>
        <w:t xml:space="preserve">редства </w:t>
      </w:r>
      <w:r w:rsidR="0022663A">
        <w:t xml:space="preserve">за финансирање посебних </w:t>
      </w:r>
      <w:proofErr w:type="spellStart"/>
      <w:r w:rsidR="0022663A">
        <w:t>мјера</w:t>
      </w:r>
      <w:proofErr w:type="spellEnd"/>
      <w:r w:rsidR="0022663A">
        <w:t xml:space="preserve"> заштите од пожара </w:t>
      </w:r>
      <w:r>
        <w:t xml:space="preserve">се у складу са </w:t>
      </w:r>
      <w:r w:rsidRPr="006B3E13">
        <w:t xml:space="preserve">Законом о заштити од пожара </w:t>
      </w:r>
      <w:r w:rsidRPr="00BA278E">
        <w:t xml:space="preserve">(„Службени гласник Републике Српске“, број </w:t>
      </w:r>
      <w:r w:rsidR="005D3A26">
        <w:t>94/19</w:t>
      </w:r>
      <w:r w:rsidRPr="00BA278E">
        <w:t>)</w:t>
      </w:r>
      <w:r w:rsidR="00091AD9">
        <w:rPr>
          <w:lang w:val="sr-Latn-RS"/>
        </w:rPr>
        <w:t xml:space="preserve"> </w:t>
      </w:r>
      <w:r>
        <w:t>користе</w:t>
      </w:r>
      <w:r w:rsidRPr="006B3E13">
        <w:t xml:space="preserve"> </w:t>
      </w:r>
      <w:proofErr w:type="spellStart"/>
      <w:r w:rsidRPr="006B3E13">
        <w:t>намјенски</w:t>
      </w:r>
      <w:proofErr w:type="spellEnd"/>
      <w:r w:rsidRPr="006B3E13">
        <w:t xml:space="preserve"> </w:t>
      </w:r>
      <w:r w:rsidR="00590B6F">
        <w:t xml:space="preserve">за пројекте техничког опремања ватрогасно-спасилачких јединица, изградњу објеката, </w:t>
      </w:r>
      <w:r w:rsidR="0025504E">
        <w:t>као и за одржавање возила, средстава, опреме и објеката.</w:t>
      </w:r>
      <w:r w:rsidR="00411F95">
        <w:t xml:space="preserve"> Пандемија вируса корона и пад привредних активности нису имали утицаја на висину остварења овог прихода у првој половини 2020. године, с обзиром да се овај порез плаћа полугодишње, на основу годишње и полугодишње пореске пријаве</w:t>
      </w:r>
      <w:r w:rsidR="00C64706">
        <w:t>, и уплаћена средства у првом полугодишту 2020. године односе се на обавезе по завршном обрачуну за 2019. годину.</w:t>
      </w:r>
      <w:r w:rsidR="002F479D">
        <w:rPr>
          <w:lang w:val="sr-Cyrl-RS"/>
        </w:rPr>
        <w:t xml:space="preserve"> </w:t>
      </w:r>
      <w:r w:rsidR="00C64706">
        <w:rPr>
          <w:bCs/>
        </w:rPr>
        <w:t>Н</w:t>
      </w:r>
      <w:r w:rsidR="00C64706" w:rsidRPr="00FF7418">
        <w:rPr>
          <w:bCs/>
        </w:rPr>
        <w:t>ови</w:t>
      </w:r>
      <w:r w:rsidR="00C64706">
        <w:rPr>
          <w:bCs/>
        </w:rPr>
        <w:t>м</w:t>
      </w:r>
      <w:r w:rsidR="00C64706" w:rsidRPr="00FF7418">
        <w:rPr>
          <w:bCs/>
        </w:rPr>
        <w:t xml:space="preserve"> Закон</w:t>
      </w:r>
      <w:r w:rsidR="00C64706">
        <w:rPr>
          <w:bCs/>
        </w:rPr>
        <w:t>ом</w:t>
      </w:r>
      <w:r w:rsidR="00C64706" w:rsidRPr="00FF7418">
        <w:rPr>
          <w:bCs/>
        </w:rPr>
        <w:t xml:space="preserve"> о заштити од пожара („Службени гласник Републике Српске“, број 94/19), </w:t>
      </w:r>
      <w:r w:rsidR="00C64706">
        <w:rPr>
          <w:bCs/>
        </w:rPr>
        <w:t xml:space="preserve">који је донесен у новембру 2019. године, </w:t>
      </w:r>
      <w:r w:rsidR="00C64706" w:rsidRPr="00FF7418">
        <w:rPr>
          <w:bCs/>
        </w:rPr>
        <w:t>смањена</w:t>
      </w:r>
      <w:r w:rsidR="00C64706">
        <w:rPr>
          <w:bCs/>
        </w:rPr>
        <w:t xml:space="preserve"> је</w:t>
      </w:r>
      <w:r w:rsidR="00C64706" w:rsidRPr="00FF7418">
        <w:rPr>
          <w:bCs/>
        </w:rPr>
        <w:t xml:space="preserve"> стопа за обрачун противпожарне накнаде са 0,04% на 0,03% од оствареног пословног прихода, али је прописано да ће се ова одредба </w:t>
      </w:r>
      <w:proofErr w:type="spellStart"/>
      <w:r w:rsidR="00C64706" w:rsidRPr="00FF7418">
        <w:rPr>
          <w:bCs/>
        </w:rPr>
        <w:t>примјењивати</w:t>
      </w:r>
      <w:proofErr w:type="spellEnd"/>
      <w:r w:rsidR="00C64706" w:rsidRPr="00FF7418">
        <w:rPr>
          <w:bCs/>
        </w:rPr>
        <w:t xml:space="preserve"> од 01.01.2020. године, што значи да </w:t>
      </w:r>
      <w:r w:rsidR="00CA1BE6">
        <w:rPr>
          <w:bCs/>
        </w:rPr>
        <w:t xml:space="preserve">се </w:t>
      </w:r>
      <w:proofErr w:type="spellStart"/>
      <w:r w:rsidR="00CA1BE6">
        <w:rPr>
          <w:bCs/>
        </w:rPr>
        <w:t>измјена</w:t>
      </w:r>
      <w:proofErr w:type="spellEnd"/>
      <w:r w:rsidR="00CA1BE6">
        <w:rPr>
          <w:bCs/>
        </w:rPr>
        <w:t xml:space="preserve"> стопе за обрачун противпожарне накнаде одразила на висину остварених прихода тек у другој половини године. </w:t>
      </w:r>
      <w:r w:rsidR="00D65B1C">
        <w:rPr>
          <w:bCs/>
        </w:rPr>
        <w:t>Остварени приходи у првом полугодишту износе</w:t>
      </w:r>
      <w:r w:rsidR="00D95FA0">
        <w:rPr>
          <w:bCs/>
        </w:rPr>
        <w:t xml:space="preserve"> 94.167,09 КМ, док остварени приходи у </w:t>
      </w:r>
      <w:r w:rsidR="00221C6F">
        <w:rPr>
          <w:bCs/>
        </w:rPr>
        <w:t>другом полугодишту износе 65.753,89</w:t>
      </w:r>
      <w:r w:rsidR="00D95FA0">
        <w:rPr>
          <w:bCs/>
        </w:rPr>
        <w:t xml:space="preserve"> КМ.</w:t>
      </w:r>
      <w:r w:rsidR="00C65C48">
        <w:rPr>
          <w:bCs/>
        </w:rPr>
        <w:t xml:space="preserve"> На пад прихода у </w:t>
      </w:r>
      <w:r w:rsidR="00221C6F">
        <w:rPr>
          <w:bCs/>
        </w:rPr>
        <w:t>другом полугодишту</w:t>
      </w:r>
      <w:r w:rsidR="00C65C48">
        <w:rPr>
          <w:bCs/>
        </w:rPr>
        <w:t xml:space="preserve"> додатно је утицао пад привредних активности узрокован </w:t>
      </w:r>
      <w:proofErr w:type="spellStart"/>
      <w:r w:rsidR="00C65C48">
        <w:rPr>
          <w:bCs/>
        </w:rPr>
        <w:t>дјеловањем</w:t>
      </w:r>
      <w:proofErr w:type="spellEnd"/>
      <w:r w:rsidR="00C65C48">
        <w:rPr>
          <w:bCs/>
        </w:rPr>
        <w:t xml:space="preserve"> корона вируса.</w:t>
      </w:r>
    </w:p>
    <w:p w14:paraId="5EA93A0B" w14:textId="77777777" w:rsidR="009231DE" w:rsidRDefault="0025504E" w:rsidP="00FE45C4">
      <w:pPr>
        <w:ind w:left="0" w:firstLine="720"/>
      </w:pPr>
      <w:r>
        <w:t xml:space="preserve"> Утрошак </w:t>
      </w:r>
      <w:proofErr w:type="spellStart"/>
      <w:r>
        <w:t>намјенских</w:t>
      </w:r>
      <w:proofErr w:type="spellEnd"/>
      <w:r>
        <w:t xml:space="preserve"> средстава за финансирање заштите од пожара у 2020. години </w:t>
      </w:r>
      <w:r w:rsidR="00221C6F">
        <w:t xml:space="preserve">ребалансом буџета </w:t>
      </w:r>
      <w:r w:rsidR="00FE45C4">
        <w:t xml:space="preserve">планиран је у износу од </w:t>
      </w:r>
      <w:r w:rsidR="00221C6F">
        <w:t>192.800</w:t>
      </w:r>
      <w:r w:rsidR="00FE45C4">
        <w:t>,00 КМ, од чега се 60.000,00 КМ односи на неутрошена сред</w:t>
      </w:r>
      <w:r w:rsidR="00221C6F">
        <w:t>ства из претходних година, а 132.8</w:t>
      </w:r>
      <w:r w:rsidR="00FE45C4">
        <w:t xml:space="preserve">00,00 КМ на </w:t>
      </w:r>
      <w:r w:rsidR="00221C6F">
        <w:t>текуће приходе из</w:t>
      </w:r>
      <w:r w:rsidR="00FE45C4">
        <w:t xml:space="preserve"> </w:t>
      </w:r>
      <w:r w:rsidR="00221C6F">
        <w:t>2020. године</w:t>
      </w:r>
      <w:r w:rsidR="00FE45C4">
        <w:t xml:space="preserve">. </w:t>
      </w:r>
      <w:r w:rsidR="003C14C0" w:rsidRPr="006451AD">
        <w:t xml:space="preserve">Износ неутрошених </w:t>
      </w:r>
      <w:proofErr w:type="spellStart"/>
      <w:r w:rsidR="003C14C0" w:rsidRPr="006451AD">
        <w:t>намјенских</w:t>
      </w:r>
      <w:proofErr w:type="spellEnd"/>
      <w:r w:rsidR="003C14C0" w:rsidRPr="006451AD">
        <w:t xml:space="preserve"> средстава </w:t>
      </w:r>
      <w:r w:rsidR="006451AD" w:rsidRPr="006451AD">
        <w:t xml:space="preserve">за финансирање посебних </w:t>
      </w:r>
      <w:proofErr w:type="spellStart"/>
      <w:r w:rsidR="006451AD" w:rsidRPr="006451AD">
        <w:t>мјера</w:t>
      </w:r>
      <w:proofErr w:type="spellEnd"/>
      <w:r w:rsidR="006451AD" w:rsidRPr="006451AD">
        <w:t xml:space="preserve"> заштите од пожара </w:t>
      </w:r>
      <w:r w:rsidR="006757B1">
        <w:t>на дан 31.12</w:t>
      </w:r>
      <w:r w:rsidR="00FE45C4">
        <w:t>.2020</w:t>
      </w:r>
      <w:r w:rsidR="003C14C0" w:rsidRPr="006451AD">
        <w:t>. године износи</w:t>
      </w:r>
      <w:r w:rsidR="002F479D">
        <w:rPr>
          <w:lang w:val="sr-Cyrl-RS"/>
        </w:rPr>
        <w:t xml:space="preserve"> </w:t>
      </w:r>
      <w:r w:rsidR="006757B1">
        <w:t>208.143,04</w:t>
      </w:r>
      <w:r w:rsidR="00BF6DCB" w:rsidRPr="006451AD">
        <w:t xml:space="preserve"> КМ.</w:t>
      </w:r>
    </w:p>
    <w:p w14:paraId="1D24A578" w14:textId="77777777" w:rsidR="00CA5571" w:rsidRDefault="00CA5571" w:rsidP="00BF6DCB">
      <w:pPr>
        <w:ind w:left="0" w:firstLine="0"/>
      </w:pPr>
    </w:p>
    <w:p w14:paraId="21ECAE88" w14:textId="77777777" w:rsidR="00CA5571" w:rsidRDefault="00CA5571" w:rsidP="0019015A">
      <w:pPr>
        <w:ind w:left="0" w:firstLine="720"/>
      </w:pPr>
      <w:r>
        <w:rPr>
          <w:b/>
          <w:i/>
        </w:rPr>
        <w:t xml:space="preserve">Концесионе накнаде за коришћење природних и других добара од општег интереса </w:t>
      </w:r>
      <w:r w:rsidR="00753DB9">
        <w:t xml:space="preserve">нису биле планиране буџетом, а </w:t>
      </w:r>
      <w:r>
        <w:t xml:space="preserve">остварене су у износу од </w:t>
      </w:r>
      <w:r w:rsidR="0085789F">
        <w:t>4.375,49</w:t>
      </w:r>
      <w:r w:rsidR="00753DB9">
        <w:t xml:space="preserve"> КМ. </w:t>
      </w:r>
      <w:r>
        <w:t>Ова средства се односе на накнаде по основу концесије за коришћење пољопривредног земљишта на подручју општине Прњавор.</w:t>
      </w:r>
      <w:r w:rsidR="00065149">
        <w:rPr>
          <w:lang w:val="sr-Latn-RS"/>
        </w:rPr>
        <w:t xml:space="preserve"> </w:t>
      </w:r>
      <w:r w:rsidR="00753DB9">
        <w:t xml:space="preserve">Концесију за коришћење пољопривредног земљишта на подручју општине Прњавор </w:t>
      </w:r>
      <w:proofErr w:type="spellStart"/>
      <w:r w:rsidR="00972F0B">
        <w:t>посједују</w:t>
      </w:r>
      <w:proofErr w:type="spellEnd"/>
      <w:r w:rsidR="00753DB9">
        <w:t xml:space="preserve"> предузеће „</w:t>
      </w:r>
      <w:proofErr w:type="spellStart"/>
      <w:r w:rsidR="00753DB9">
        <w:t>Кусић</w:t>
      </w:r>
      <w:proofErr w:type="spellEnd"/>
      <w:r w:rsidR="00753DB9">
        <w:t xml:space="preserve"> путеви“ </w:t>
      </w:r>
      <w:proofErr w:type="spellStart"/>
      <w:r w:rsidR="00753DB9">
        <w:t>д.о.о</w:t>
      </w:r>
      <w:proofErr w:type="spellEnd"/>
      <w:r w:rsidR="00753DB9">
        <w:t>. Прњавор</w:t>
      </w:r>
      <w:r>
        <w:t xml:space="preserve"> на период</w:t>
      </w:r>
      <w:r w:rsidR="00753DB9">
        <w:t xml:space="preserve"> 14.07.2015-14.07.2030. године (у складу са уговором о концесији ослобођени плаћања концесионе накнаде у првих пет година трајања </w:t>
      </w:r>
      <w:r w:rsidR="0019015A">
        <w:t xml:space="preserve">концесије) и ЈУ Ергела </w:t>
      </w:r>
      <w:proofErr w:type="spellStart"/>
      <w:r w:rsidR="0019015A">
        <w:t>Вучијак</w:t>
      </w:r>
      <w:proofErr w:type="spellEnd"/>
      <w:r w:rsidR="0019015A">
        <w:t xml:space="preserve"> П</w:t>
      </w:r>
      <w:r w:rsidR="00753DB9">
        <w:t xml:space="preserve">рњавор </w:t>
      </w:r>
      <w:r w:rsidR="0019015A">
        <w:t>на период 24.09.2018-24.09.2048. године</w:t>
      </w:r>
      <w:r w:rsidR="00972F0B">
        <w:t xml:space="preserve"> (у складу са уговором о концесији ослобођени плаћања концесионе накнаде у првих десет година трајања концесије)</w:t>
      </w:r>
      <w:r w:rsidR="0019015A">
        <w:t xml:space="preserve">. </w:t>
      </w:r>
      <w:r w:rsidR="002215D1">
        <w:t xml:space="preserve">Одлука Владе РС о </w:t>
      </w:r>
      <w:proofErr w:type="spellStart"/>
      <w:r w:rsidR="002215D1">
        <w:t>додјели</w:t>
      </w:r>
      <w:proofErr w:type="spellEnd"/>
      <w:r w:rsidR="002215D1">
        <w:t xml:space="preserve"> концесије предузећу МС Компанија </w:t>
      </w:r>
      <w:proofErr w:type="spellStart"/>
      <w:r w:rsidR="002215D1">
        <w:t>д.о.о</w:t>
      </w:r>
      <w:proofErr w:type="spellEnd"/>
      <w:r w:rsidR="002215D1">
        <w:t xml:space="preserve">. Прњавор, који је био закључен на период 07.07.2008-07.07.2023. године, поништена је због судског спора. </w:t>
      </w:r>
      <w:r w:rsidR="0019015A">
        <w:t xml:space="preserve">Приходи од концесија се за развијене јединице локалне самоуправе </w:t>
      </w:r>
      <w:proofErr w:type="spellStart"/>
      <w:r w:rsidR="0019015A">
        <w:t>дијеле</w:t>
      </w:r>
      <w:proofErr w:type="spellEnd"/>
      <w:r w:rsidR="0019015A" w:rsidRPr="00F54F1C">
        <w:t xml:space="preserve"> између буџета Републике и буџета општине или града на чијој територији се обавља концесиона </w:t>
      </w:r>
      <w:proofErr w:type="spellStart"/>
      <w:r w:rsidR="0019015A" w:rsidRPr="00F54F1C">
        <w:t>дјелатност</w:t>
      </w:r>
      <w:proofErr w:type="spellEnd"/>
      <w:r w:rsidR="0019015A" w:rsidRPr="00F54F1C">
        <w:t xml:space="preserve"> у </w:t>
      </w:r>
      <w:proofErr w:type="spellStart"/>
      <w:r w:rsidR="0019015A" w:rsidRPr="00F54F1C">
        <w:t>омјеру</w:t>
      </w:r>
      <w:proofErr w:type="spellEnd"/>
      <w:r w:rsidR="0019015A" w:rsidRPr="00F54F1C">
        <w:t xml:space="preserve"> 30:70.</w:t>
      </w:r>
    </w:p>
    <w:p w14:paraId="0FF06B41" w14:textId="77777777" w:rsidR="003C14C0" w:rsidRPr="00F14109" w:rsidRDefault="003C14C0" w:rsidP="00BF6DCB">
      <w:pPr>
        <w:ind w:left="0" w:firstLine="0"/>
      </w:pPr>
    </w:p>
    <w:p w14:paraId="154F59E8" w14:textId="77777777" w:rsidR="00BF6DCB" w:rsidRDefault="00BF6DCB" w:rsidP="00BF6DCB">
      <w:pPr>
        <w:ind w:left="0" w:firstLine="720"/>
        <w:rPr>
          <w:lang w:val="sr-Cyrl-BA"/>
        </w:rPr>
      </w:pPr>
      <w:r w:rsidRPr="00BD7A3B">
        <w:rPr>
          <w:b/>
        </w:rPr>
        <w:t>Приходи од пружања јавних услуга</w:t>
      </w:r>
      <w:r w:rsidRPr="00BD7A3B">
        <w:t xml:space="preserve"> су </w:t>
      </w:r>
      <w:r>
        <w:rPr>
          <w:lang w:val="sr-Cyrl-BA"/>
        </w:rPr>
        <w:t xml:space="preserve">у извјештајном периоду </w:t>
      </w:r>
      <w:r w:rsidRPr="00BD7A3B">
        <w:t xml:space="preserve">остварени у износу од </w:t>
      </w:r>
      <w:r w:rsidR="0022663A">
        <w:t>200.256,86</w:t>
      </w:r>
      <w:r w:rsidRPr="00BD7A3B">
        <w:t xml:space="preserve"> КМ,</w:t>
      </w:r>
      <w:r>
        <w:t xml:space="preserve"> што је </w:t>
      </w:r>
      <w:r w:rsidR="0022663A">
        <w:t>84,76</w:t>
      </w:r>
      <w:r>
        <w:t>%</w:t>
      </w:r>
      <w:r w:rsidR="00A133C4">
        <w:rPr>
          <w:lang w:val="sr-Cyrl-BA"/>
        </w:rPr>
        <w:t xml:space="preserve"> од планираних средстава за 2020</w:t>
      </w:r>
      <w:r>
        <w:rPr>
          <w:lang w:val="sr-Cyrl-BA"/>
        </w:rPr>
        <w:t>. годину</w:t>
      </w:r>
      <w:r w:rsidR="003C14C0">
        <w:t xml:space="preserve">. </w:t>
      </w:r>
      <w:r>
        <w:t>Ов</w:t>
      </w:r>
      <w:r>
        <w:rPr>
          <w:lang w:val="sr-Cyrl-BA"/>
        </w:rPr>
        <w:t>у</w:t>
      </w:r>
      <w:r w:rsidR="006F0F33">
        <w:rPr>
          <w:lang w:val="sr-Latn-RS"/>
        </w:rPr>
        <w:t xml:space="preserve"> </w:t>
      </w:r>
      <w:r>
        <w:rPr>
          <w:lang w:val="sr-Cyrl-BA"/>
        </w:rPr>
        <w:t xml:space="preserve">групу </w:t>
      </w:r>
      <w:proofErr w:type="spellStart"/>
      <w:r>
        <w:rPr>
          <w:lang w:val="sr-Cyrl-BA"/>
        </w:rPr>
        <w:t>непореских</w:t>
      </w:r>
      <w:proofErr w:type="spellEnd"/>
      <w:r>
        <w:rPr>
          <w:lang w:val="sr-Cyrl-BA"/>
        </w:rPr>
        <w:t xml:space="preserve"> </w:t>
      </w:r>
      <w:r>
        <w:t>приход</w:t>
      </w:r>
      <w:r>
        <w:rPr>
          <w:lang w:val="sr-Cyrl-BA"/>
        </w:rPr>
        <w:t>а</w:t>
      </w:r>
      <w:r w:rsidRPr="00BD7A3B">
        <w:t xml:space="preserve"> чине</w:t>
      </w:r>
      <w:r>
        <w:rPr>
          <w:lang w:val="sr-Cyrl-BA"/>
        </w:rPr>
        <w:t xml:space="preserve"> приходи општинских органа управе и властити приходи буџетских корисника.</w:t>
      </w:r>
    </w:p>
    <w:p w14:paraId="2038E316" w14:textId="77777777" w:rsidR="00BF6DCB" w:rsidRDefault="00BF6DCB" w:rsidP="00BF6DCB">
      <w:pPr>
        <w:ind w:left="0" w:firstLine="720"/>
        <w:rPr>
          <w:lang w:val="sr-Cyrl-BA"/>
        </w:rPr>
      </w:pPr>
    </w:p>
    <w:p w14:paraId="416C999C" w14:textId="77777777" w:rsidR="00BF6DCB" w:rsidRDefault="00BF6DCB" w:rsidP="00BF6DCB">
      <w:pPr>
        <w:ind w:left="0" w:firstLine="0"/>
        <w:rPr>
          <w:lang w:val="sr-Cyrl-BA"/>
        </w:rPr>
      </w:pPr>
      <w:r>
        <w:rPr>
          <w:b/>
          <w:i/>
          <w:lang w:val="sr-Cyrl-BA"/>
        </w:rPr>
        <w:tab/>
      </w:r>
      <w:r w:rsidRPr="00FE0DA2">
        <w:rPr>
          <w:b/>
          <w:i/>
          <w:lang w:val="sr-Cyrl-BA"/>
        </w:rPr>
        <w:t>П</w:t>
      </w:r>
      <w:proofErr w:type="spellStart"/>
      <w:r w:rsidRPr="00FE0DA2">
        <w:rPr>
          <w:b/>
          <w:i/>
        </w:rPr>
        <w:t>риходи</w:t>
      </w:r>
      <w:proofErr w:type="spellEnd"/>
      <w:r w:rsidRPr="00FE0DA2">
        <w:rPr>
          <w:b/>
          <w:i/>
        </w:rPr>
        <w:t xml:space="preserve"> општинских органа управе (ветеринарско-санитарна </w:t>
      </w:r>
      <w:proofErr w:type="spellStart"/>
      <w:r w:rsidRPr="00FE0DA2">
        <w:rPr>
          <w:b/>
          <w:i/>
        </w:rPr>
        <w:t>увјерења</w:t>
      </w:r>
      <w:proofErr w:type="spellEnd"/>
      <w:r w:rsidRPr="00FE0DA2">
        <w:rPr>
          <w:b/>
          <w:i/>
        </w:rPr>
        <w:t xml:space="preserve"> и надзор</w:t>
      </w:r>
      <w:r>
        <w:rPr>
          <w:b/>
          <w:i/>
        </w:rPr>
        <w:t>,</w:t>
      </w:r>
      <w:r w:rsidR="006F0F33">
        <w:rPr>
          <w:b/>
          <w:i/>
          <w:lang w:val="sr-Latn-RS"/>
        </w:rPr>
        <w:t xml:space="preserve"> </w:t>
      </w:r>
      <w:proofErr w:type="spellStart"/>
      <w:r w:rsidR="00C90AC5">
        <w:rPr>
          <w:b/>
          <w:i/>
        </w:rPr>
        <w:t>овјере</w:t>
      </w:r>
      <w:proofErr w:type="spellEnd"/>
      <w:r w:rsidR="00C90AC5">
        <w:rPr>
          <w:b/>
          <w:i/>
        </w:rPr>
        <w:t xml:space="preserve"> потписа и преписа </w:t>
      </w:r>
      <w:r w:rsidRPr="00FE0DA2">
        <w:rPr>
          <w:b/>
          <w:i/>
        </w:rPr>
        <w:t>и сл.)</w:t>
      </w:r>
      <w:r w:rsidR="006F0F33">
        <w:rPr>
          <w:b/>
          <w:i/>
          <w:lang w:val="sr-Latn-RS"/>
        </w:rPr>
        <w:t xml:space="preserve"> </w:t>
      </w:r>
      <w:r>
        <w:rPr>
          <w:lang w:val="sr-Cyrl-BA"/>
        </w:rPr>
        <w:t xml:space="preserve">су </w:t>
      </w:r>
      <w:r w:rsidRPr="00BD7A3B">
        <w:t xml:space="preserve">остварени у износу од </w:t>
      </w:r>
      <w:r w:rsidR="0022663A">
        <w:t>7.630,16</w:t>
      </w:r>
      <w:r>
        <w:t xml:space="preserve"> КМ</w:t>
      </w:r>
      <w:r>
        <w:rPr>
          <w:lang w:val="sr-Cyrl-BA"/>
        </w:rPr>
        <w:t>, што је</w:t>
      </w:r>
      <w:r w:rsidR="006F0F33">
        <w:rPr>
          <w:lang w:val="sr-Latn-RS"/>
        </w:rPr>
        <w:t xml:space="preserve"> </w:t>
      </w:r>
      <w:r w:rsidR="0022663A">
        <w:t>84,78</w:t>
      </w:r>
      <w:r w:rsidRPr="00BD7A3B">
        <w:t xml:space="preserve">% </w:t>
      </w:r>
      <w:r w:rsidR="003C14C0">
        <w:t>од плана.</w:t>
      </w:r>
    </w:p>
    <w:p w14:paraId="7E4DCE9C" w14:textId="77777777" w:rsidR="00BF6DCB" w:rsidRDefault="00BF6DCB" w:rsidP="00BF6DCB">
      <w:pPr>
        <w:ind w:left="0" w:firstLine="0"/>
        <w:rPr>
          <w:lang w:val="sr-Cyrl-BA"/>
        </w:rPr>
      </w:pPr>
    </w:p>
    <w:p w14:paraId="09FC27D1" w14:textId="77777777" w:rsidR="00BF6DCB" w:rsidRPr="00582859" w:rsidRDefault="00BF6DCB" w:rsidP="00BF6DCB">
      <w:pPr>
        <w:ind w:left="0" w:firstLine="0"/>
        <w:rPr>
          <w:lang w:val="sr-Cyrl-BA"/>
        </w:rPr>
      </w:pPr>
      <w:r>
        <w:rPr>
          <w:b/>
          <w:i/>
          <w:lang w:val="sr-Cyrl-BA"/>
        </w:rPr>
        <w:tab/>
        <w:t>В</w:t>
      </w:r>
      <w:proofErr w:type="spellStart"/>
      <w:r w:rsidRPr="00FE0DA2">
        <w:rPr>
          <w:b/>
          <w:i/>
        </w:rPr>
        <w:t>ластити</w:t>
      </w:r>
      <w:proofErr w:type="spellEnd"/>
      <w:r w:rsidRPr="00FE0DA2">
        <w:rPr>
          <w:b/>
          <w:i/>
        </w:rPr>
        <w:t xml:space="preserve"> приходи буџетских корисника</w:t>
      </w:r>
      <w:r w:rsidRPr="00BD7A3B">
        <w:t xml:space="preserve"> су остварени у износу од </w:t>
      </w:r>
      <w:r w:rsidR="0022663A">
        <w:t>192.626,70</w:t>
      </w:r>
      <w:r>
        <w:t xml:space="preserve"> КМ, што је </w:t>
      </w:r>
      <w:r w:rsidR="00A43B1D">
        <w:t>84,76% од планираних средстава, док су у односу на 2019. годину остварени за 29,99% или 82.496,16 КМ мање.</w:t>
      </w:r>
      <w:r w:rsidR="00091AD9">
        <w:rPr>
          <w:lang w:val="sr-Latn-RS"/>
        </w:rPr>
        <w:t xml:space="preserve"> </w:t>
      </w:r>
      <w:r w:rsidR="00A133C4" w:rsidRPr="001D1ECD">
        <w:rPr>
          <w:lang w:val="sr-Cyrl-BA"/>
        </w:rPr>
        <w:t>Властити п</w:t>
      </w:r>
      <w:proofErr w:type="spellStart"/>
      <w:r w:rsidR="00A133C4" w:rsidRPr="001D1ECD">
        <w:t>риходи</w:t>
      </w:r>
      <w:proofErr w:type="spellEnd"/>
      <w:r w:rsidR="00A133C4" w:rsidRPr="001D1ECD">
        <w:t xml:space="preserve"> које остваре екстерни буџетски корисници обављањем </w:t>
      </w:r>
      <w:r w:rsidR="00A133C4" w:rsidRPr="001D1ECD">
        <w:lastRenderedPageBreak/>
        <w:t xml:space="preserve">своје редовне и допунске </w:t>
      </w:r>
      <w:proofErr w:type="spellStart"/>
      <w:r w:rsidR="00A133C4" w:rsidRPr="001D1ECD">
        <w:t>дјелатности</w:t>
      </w:r>
      <w:proofErr w:type="spellEnd"/>
      <w:r w:rsidR="00A133C4" w:rsidRPr="001D1ECD">
        <w:t xml:space="preserve"> у складу са законом представљају приход буџета општине Прњавор, и овим буџетским корисницима Одлуком о извршењу буџета није дозвољена </w:t>
      </w:r>
      <w:proofErr w:type="spellStart"/>
      <w:r w:rsidR="00A133C4" w:rsidRPr="001D1ECD">
        <w:t>могућностда</w:t>
      </w:r>
      <w:proofErr w:type="spellEnd"/>
      <w:r w:rsidR="00A133C4" w:rsidRPr="001D1ECD">
        <w:t xml:space="preserve"> са њима слободно располажу.</w:t>
      </w:r>
      <w:r w:rsidR="00091AD9">
        <w:rPr>
          <w:lang w:val="sr-Latn-RS"/>
        </w:rPr>
        <w:t xml:space="preserve"> </w:t>
      </w:r>
      <w:r w:rsidR="00A133C4" w:rsidRPr="001D1ECD">
        <w:t>Износ средстава којим ови буџетски корисници располажу одређен је усвојеним буџетом и одобреним оперативним финансијским плановима.</w:t>
      </w:r>
      <w:r w:rsidR="006F0F33">
        <w:rPr>
          <w:lang w:val="sr-Latn-RS"/>
        </w:rPr>
        <w:t xml:space="preserve"> </w:t>
      </w:r>
      <w:r w:rsidR="00A133C4" w:rsidRPr="001D1ECD">
        <w:rPr>
          <w:bCs/>
          <w:iCs/>
          <w:lang w:val="sr-Cyrl-BA"/>
        </w:rPr>
        <w:t>Б</w:t>
      </w:r>
      <w:proofErr w:type="spellStart"/>
      <w:r w:rsidR="00A133C4" w:rsidRPr="001D1ECD">
        <w:rPr>
          <w:bCs/>
          <w:iCs/>
        </w:rPr>
        <w:t>уџетски</w:t>
      </w:r>
      <w:proofErr w:type="spellEnd"/>
      <w:r w:rsidR="00A133C4" w:rsidRPr="001D1ECD">
        <w:rPr>
          <w:bCs/>
          <w:iCs/>
        </w:rPr>
        <w:t xml:space="preserve"> корисници</w:t>
      </w:r>
      <w:r w:rsidR="00A133C4">
        <w:rPr>
          <w:bCs/>
          <w:iCs/>
          <w:lang w:val="sr-Cyrl-BA"/>
        </w:rPr>
        <w:t xml:space="preserve"> су у </w:t>
      </w:r>
      <w:r w:rsidR="00A43B1D">
        <w:rPr>
          <w:bCs/>
          <w:iCs/>
          <w:lang w:val="sr-Cyrl-BA"/>
        </w:rPr>
        <w:t>2020. години</w:t>
      </w:r>
      <w:r w:rsidR="00A133C4" w:rsidRPr="001D1ECD">
        <w:rPr>
          <w:bCs/>
          <w:iCs/>
          <w:lang w:val="sr-Cyrl-BA"/>
        </w:rPr>
        <w:t xml:space="preserve"> имали сљедећа остварења властитих прихода</w:t>
      </w:r>
      <w:r>
        <w:rPr>
          <w:bCs/>
          <w:iCs/>
          <w:lang w:val="sr-Cyrl-BA"/>
        </w:rPr>
        <w:t>:</w:t>
      </w:r>
    </w:p>
    <w:p w14:paraId="29903B31" w14:textId="77777777" w:rsidR="00BF6DCB" w:rsidRPr="006F3B38" w:rsidRDefault="007766DE" w:rsidP="00BF6DCB">
      <w:pPr>
        <w:tabs>
          <w:tab w:val="right" w:leader="dot" w:pos="9214"/>
        </w:tabs>
        <w:spacing w:before="120"/>
        <w:ind w:left="-360" w:right="-792" w:firstLine="1080"/>
        <w:jc w:val="left"/>
      </w:pPr>
      <w:r>
        <w:t xml:space="preserve">ЈУ </w:t>
      </w:r>
      <w:r w:rsidR="00BF6DCB" w:rsidRPr="006F3B38">
        <w:t>Центар за социјални рад</w:t>
      </w:r>
      <w:r>
        <w:t xml:space="preserve"> Прњавор</w:t>
      </w:r>
      <w:r w:rsidR="00BF6DCB">
        <w:tab/>
      </w:r>
      <w:r w:rsidR="00A43B1D">
        <w:t>33.676,47</w:t>
      </w:r>
      <w:r w:rsidR="00BF6DCB" w:rsidRPr="006F3B38">
        <w:t xml:space="preserve"> КМ</w:t>
      </w:r>
    </w:p>
    <w:p w14:paraId="1D3B9E78" w14:textId="77777777" w:rsidR="00A133C4" w:rsidRPr="001D1ECD" w:rsidRDefault="00A133C4" w:rsidP="00A133C4">
      <w:pPr>
        <w:tabs>
          <w:tab w:val="right" w:leader="dot" w:pos="9214"/>
        </w:tabs>
        <w:ind w:left="-360" w:firstLine="1080"/>
        <w:jc w:val="left"/>
      </w:pPr>
      <w:r w:rsidRPr="001D1ECD">
        <w:t>ЈУ Дјечији вртић “Наша радост“ Прњавор</w:t>
      </w:r>
      <w:r w:rsidRPr="001D1ECD">
        <w:tab/>
      </w:r>
      <w:r w:rsidR="00A43B1D">
        <w:t>126.956</w:t>
      </w:r>
      <w:r w:rsidR="0085789F">
        <w:t>,00</w:t>
      </w:r>
      <w:r w:rsidRPr="001D1ECD">
        <w:t xml:space="preserve"> КМ</w:t>
      </w:r>
    </w:p>
    <w:p w14:paraId="133B2901" w14:textId="77777777" w:rsidR="00A133C4" w:rsidRPr="001D1ECD" w:rsidRDefault="00A133C4" w:rsidP="00A133C4">
      <w:pPr>
        <w:tabs>
          <w:tab w:val="right" w:leader="dot" w:pos="9214"/>
        </w:tabs>
        <w:ind w:left="-360" w:firstLine="1080"/>
        <w:jc w:val="left"/>
      </w:pPr>
      <w:r w:rsidRPr="001D1ECD">
        <w:t>ЈУ Гимназија Прњавор</w:t>
      </w:r>
      <w:r w:rsidRPr="001D1ECD">
        <w:tab/>
      </w:r>
      <w:r w:rsidR="0085789F">
        <w:t>8.</w:t>
      </w:r>
      <w:r w:rsidR="00A43B1D">
        <w:t>685,00</w:t>
      </w:r>
      <w:r w:rsidRPr="001D1ECD">
        <w:t xml:space="preserve"> КМ</w:t>
      </w:r>
    </w:p>
    <w:p w14:paraId="5FA0C2CF" w14:textId="77777777" w:rsidR="00A133C4" w:rsidRPr="001D1ECD" w:rsidRDefault="00A133C4" w:rsidP="00A133C4">
      <w:pPr>
        <w:tabs>
          <w:tab w:val="right" w:leader="dot" w:pos="9214"/>
        </w:tabs>
        <w:ind w:left="-360" w:firstLine="1080"/>
        <w:jc w:val="left"/>
      </w:pPr>
      <w:r w:rsidRPr="001D1ECD">
        <w:t>ЈУ Центар средњих школа „Иво Андрић“ Прњавор</w:t>
      </w:r>
      <w:r w:rsidRPr="001D1ECD">
        <w:tab/>
      </w:r>
      <w:r w:rsidR="00A43B1D">
        <w:t>18.876,20</w:t>
      </w:r>
      <w:r w:rsidRPr="001D1ECD">
        <w:t xml:space="preserve"> КМ</w:t>
      </w:r>
    </w:p>
    <w:p w14:paraId="355E68ED" w14:textId="77777777" w:rsidR="00A133C4" w:rsidRPr="001D1ECD" w:rsidRDefault="00A133C4" w:rsidP="00A133C4">
      <w:pPr>
        <w:tabs>
          <w:tab w:val="right" w:leader="dot" w:pos="9214"/>
        </w:tabs>
        <w:ind w:left="-360" w:firstLine="1080"/>
        <w:jc w:val="left"/>
      </w:pPr>
      <w:r w:rsidRPr="001D1ECD">
        <w:t>ЈУ Центар за културу Прњавор</w:t>
      </w:r>
      <w:r w:rsidRPr="001D1ECD">
        <w:tab/>
      </w:r>
      <w:r w:rsidR="0085789F">
        <w:t>1.</w:t>
      </w:r>
      <w:r w:rsidR="00A43B1D">
        <w:t>778</w:t>
      </w:r>
      <w:r>
        <w:t>,43</w:t>
      </w:r>
      <w:r w:rsidRPr="001D1ECD">
        <w:t xml:space="preserve"> КМ</w:t>
      </w:r>
    </w:p>
    <w:p w14:paraId="01EC0AE4" w14:textId="77777777" w:rsidR="00A133C4" w:rsidRPr="001D1ECD" w:rsidRDefault="00A133C4" w:rsidP="00A133C4">
      <w:pPr>
        <w:tabs>
          <w:tab w:val="right" w:leader="dot" w:pos="9214"/>
        </w:tabs>
        <w:ind w:left="-357" w:firstLine="1077"/>
        <w:jc w:val="left"/>
      </w:pPr>
      <w:r w:rsidRPr="001D1ECD">
        <w:t>ЈУ Народна библиотека Прњавор</w:t>
      </w:r>
      <w:r w:rsidRPr="001D1ECD">
        <w:tab/>
      </w:r>
      <w:r w:rsidR="0085789F">
        <w:t>1.</w:t>
      </w:r>
      <w:r w:rsidR="00A43B1D">
        <w:t>204,60</w:t>
      </w:r>
      <w:r w:rsidRPr="001D1ECD">
        <w:t xml:space="preserve"> КМ</w:t>
      </w:r>
    </w:p>
    <w:p w14:paraId="576A888B" w14:textId="77777777" w:rsidR="00A133C4" w:rsidRPr="001D1ECD" w:rsidRDefault="00A133C4" w:rsidP="00A133C4">
      <w:pPr>
        <w:keepNext/>
        <w:keepLines/>
        <w:tabs>
          <w:tab w:val="right" w:leader="dot" w:pos="9214"/>
        </w:tabs>
        <w:ind w:left="-357" w:firstLine="1077"/>
        <w:jc w:val="left"/>
      </w:pPr>
      <w:r w:rsidRPr="001D1ECD">
        <w:t>ЈУ Музичка школа „Константин Бабић“ Прњавор</w:t>
      </w:r>
      <w:r w:rsidRPr="001D1ECD">
        <w:tab/>
      </w:r>
      <w:r w:rsidR="0085789F">
        <w:t>1.</w:t>
      </w:r>
      <w:r w:rsidR="00A43B1D">
        <w:t>450,00</w:t>
      </w:r>
      <w:r w:rsidRPr="001D1ECD">
        <w:t xml:space="preserve"> КМ</w:t>
      </w:r>
    </w:p>
    <w:p w14:paraId="2D0533C9" w14:textId="77777777" w:rsidR="00A133C4" w:rsidRPr="001D1ECD" w:rsidRDefault="00A133C4" w:rsidP="00A133C4">
      <w:pPr>
        <w:keepNext/>
        <w:keepLines/>
        <w:tabs>
          <w:tab w:val="right" w:leader="dot" w:pos="9214"/>
        </w:tabs>
        <w:ind w:left="-357" w:firstLine="1077"/>
        <w:rPr>
          <w:b/>
        </w:rPr>
      </w:pPr>
      <w:r w:rsidRPr="001D1ECD">
        <w:rPr>
          <w:b/>
        </w:rPr>
        <w:t>УКУПНО</w:t>
      </w:r>
      <w:r w:rsidRPr="001D1ECD">
        <w:tab/>
      </w:r>
      <w:r w:rsidR="00A43B1D">
        <w:rPr>
          <w:b/>
        </w:rPr>
        <w:t>192.626,70</w:t>
      </w:r>
      <w:r w:rsidRPr="001D1ECD">
        <w:rPr>
          <w:b/>
        </w:rPr>
        <w:t xml:space="preserve"> КМ</w:t>
      </w:r>
    </w:p>
    <w:p w14:paraId="3BA07718" w14:textId="77777777" w:rsidR="00BF6DCB" w:rsidRPr="00772E98" w:rsidRDefault="00A43B1D" w:rsidP="00772E98">
      <w:pPr>
        <w:spacing w:before="240"/>
        <w:ind w:left="0" w:firstLine="720"/>
        <w:rPr>
          <w:b/>
        </w:rPr>
      </w:pPr>
      <w:r>
        <w:rPr>
          <w:lang w:val="sr-Cyrl-BA"/>
        </w:rPr>
        <w:t>Највећи пад у остварењу</w:t>
      </w:r>
      <w:r w:rsidR="00772E98">
        <w:rPr>
          <w:lang w:val="sr-Cyrl-BA"/>
        </w:rPr>
        <w:t xml:space="preserve"> властитих прихода </w:t>
      </w:r>
      <w:r>
        <w:rPr>
          <w:lang w:val="sr-Cyrl-BA"/>
        </w:rPr>
        <w:t>у 2020. години</w:t>
      </w:r>
      <w:r w:rsidR="00772E98">
        <w:rPr>
          <w:lang w:val="sr-Cyrl-BA"/>
        </w:rPr>
        <w:t xml:space="preserve"> евидент</w:t>
      </w:r>
      <w:r w:rsidR="00315DB9">
        <w:rPr>
          <w:lang w:val="sr-Cyrl-BA"/>
        </w:rPr>
        <w:t>иран</w:t>
      </w:r>
      <w:r w:rsidR="00772E98">
        <w:rPr>
          <w:lang w:val="sr-Cyrl-BA"/>
        </w:rPr>
        <w:t xml:space="preserve"> је код </w:t>
      </w:r>
      <w:r w:rsidR="00791505">
        <w:rPr>
          <w:lang w:val="sr-Cyrl-BA"/>
        </w:rPr>
        <w:t>ЈУ Дјечији вртић „Наша радост“</w:t>
      </w:r>
      <w:r w:rsidR="009831DC">
        <w:t xml:space="preserve">. Ови приходи су у односу на план остварени </w:t>
      </w:r>
      <w:r>
        <w:t>з</w:t>
      </w:r>
      <w:r w:rsidR="009831DC">
        <w:t xml:space="preserve">а </w:t>
      </w:r>
      <w:r>
        <w:t>23.044,00 КМ мање</w:t>
      </w:r>
      <w:r w:rsidR="009831DC">
        <w:t xml:space="preserve">, а у односу на </w:t>
      </w:r>
      <w:r>
        <w:t>претходну</w:t>
      </w:r>
      <w:r w:rsidR="009831DC">
        <w:t xml:space="preserve"> године мање за </w:t>
      </w:r>
      <w:r>
        <w:t>91.738</w:t>
      </w:r>
      <w:r w:rsidR="009831DC">
        <w:t>,80 КМ.</w:t>
      </w:r>
      <w:r w:rsidR="006F0F33">
        <w:rPr>
          <w:lang w:val="sr-Latn-RS"/>
        </w:rPr>
        <w:t xml:space="preserve"> </w:t>
      </w:r>
      <w:r w:rsidR="009831DC">
        <w:t>На мање</w:t>
      </w:r>
      <w:r w:rsidR="00772E98">
        <w:t xml:space="preserve"> остварење прихода </w:t>
      </w:r>
      <w:r w:rsidR="009831DC">
        <w:t xml:space="preserve">установе утицала је појава корона вируса, с обзиром да је вртић имао период обуставе рада од половине марта до јуна, </w:t>
      </w:r>
      <w:r w:rsidR="009B3E50">
        <w:t>а и након почетка рада вртића</w:t>
      </w:r>
      <w:r w:rsidR="00B05549">
        <w:t xml:space="preserve"> у </w:t>
      </w:r>
      <w:proofErr w:type="spellStart"/>
      <w:r w:rsidR="00B05549">
        <w:t>мјесецу</w:t>
      </w:r>
      <w:proofErr w:type="spellEnd"/>
      <w:r w:rsidR="00B05549">
        <w:t xml:space="preserve"> јуну</w:t>
      </w:r>
      <w:r w:rsidR="009B3E50">
        <w:t xml:space="preserve">, с обзиром на донесене </w:t>
      </w:r>
      <w:r w:rsidR="00B05549">
        <w:t xml:space="preserve">епидемиолошке </w:t>
      </w:r>
      <w:proofErr w:type="spellStart"/>
      <w:r w:rsidR="009B3E50">
        <w:t>мјере</w:t>
      </w:r>
      <w:proofErr w:type="spellEnd"/>
      <w:r w:rsidR="009B3E50">
        <w:t xml:space="preserve"> и смањен број </w:t>
      </w:r>
      <w:proofErr w:type="spellStart"/>
      <w:r w:rsidR="009B3E50">
        <w:t>дјеце</w:t>
      </w:r>
      <w:proofErr w:type="spellEnd"/>
      <w:r w:rsidR="009B3E50">
        <w:t xml:space="preserve"> која могу боравити у вртићу, </w:t>
      </w:r>
      <w:r w:rsidR="009831DC">
        <w:t>велик</w:t>
      </w:r>
      <w:r w:rsidR="00EB22E9">
        <w:t xml:space="preserve">и број </w:t>
      </w:r>
      <w:proofErr w:type="spellStart"/>
      <w:r w:rsidR="00EB22E9">
        <w:t>дјеце</w:t>
      </w:r>
      <w:proofErr w:type="spellEnd"/>
      <w:r w:rsidR="00EB22E9">
        <w:t xml:space="preserve"> није похађао вртић</w:t>
      </w:r>
      <w:r w:rsidR="009B3E50">
        <w:t>.</w:t>
      </w:r>
      <w:r w:rsidR="00EB22E9">
        <w:t xml:space="preserve"> Тек у </w:t>
      </w:r>
      <w:proofErr w:type="spellStart"/>
      <w:r w:rsidR="00EB22E9">
        <w:t>мјесецу</w:t>
      </w:r>
      <w:proofErr w:type="spellEnd"/>
      <w:r w:rsidR="00EB22E9">
        <w:t xml:space="preserve"> септембру приходи вртића </w:t>
      </w:r>
      <w:proofErr w:type="spellStart"/>
      <w:r w:rsidR="00EB22E9">
        <w:t>биљеже</w:t>
      </w:r>
      <w:proofErr w:type="spellEnd"/>
      <w:r w:rsidR="00EB22E9">
        <w:t xml:space="preserve"> </w:t>
      </w:r>
      <w:r w:rsidR="006E491B">
        <w:t>опоравак</w:t>
      </w:r>
      <w:r w:rsidR="00EB22E9">
        <w:t xml:space="preserve"> након што је дозвољено повећање броја </w:t>
      </w:r>
      <w:proofErr w:type="spellStart"/>
      <w:r w:rsidR="00EB22E9">
        <w:t>дјеце</w:t>
      </w:r>
      <w:proofErr w:type="spellEnd"/>
      <w:r w:rsidR="00EB22E9">
        <w:t xml:space="preserve"> која могу боравити у групи.</w:t>
      </w:r>
    </w:p>
    <w:p w14:paraId="16059BBA" w14:textId="77777777" w:rsidR="00772E98" w:rsidRDefault="00772E98" w:rsidP="00772E98">
      <w:pPr>
        <w:ind w:left="0" w:firstLine="0"/>
        <w:rPr>
          <w:b/>
        </w:rPr>
      </w:pPr>
    </w:p>
    <w:p w14:paraId="7033F766" w14:textId="77777777" w:rsidR="00BF6DCB" w:rsidRPr="00717431" w:rsidRDefault="00BF6DCB" w:rsidP="00BF6DCB">
      <w:pPr>
        <w:ind w:left="0" w:right="-792" w:firstLine="720"/>
      </w:pPr>
      <w:r w:rsidRPr="00DF5760">
        <w:rPr>
          <w:b/>
        </w:rPr>
        <w:t>Приходи од новчаних казни</w:t>
      </w:r>
      <w:r w:rsidR="007766DE">
        <w:t xml:space="preserve"> су </w:t>
      </w:r>
      <w:r>
        <w:t>остварени</w:t>
      </w:r>
      <w:r w:rsidRPr="00DF5760">
        <w:t xml:space="preserve"> у износу од </w:t>
      </w:r>
      <w:r w:rsidR="00751313">
        <w:t>17.800</w:t>
      </w:r>
      <w:r w:rsidRPr="00DF5760">
        <w:t xml:space="preserve">,00 КМ, што је </w:t>
      </w:r>
      <w:r w:rsidR="00751313">
        <w:t>84,76</w:t>
      </w:r>
      <w:r w:rsidR="006E0CBA">
        <w:t>%</w:t>
      </w:r>
      <w:r w:rsidR="00091AD9">
        <w:rPr>
          <w:lang w:val="sr-Latn-RS"/>
        </w:rPr>
        <w:t xml:space="preserve"> </w:t>
      </w:r>
      <w:r>
        <w:t xml:space="preserve">од </w:t>
      </w:r>
      <w:r w:rsidR="006E0CBA">
        <w:t xml:space="preserve">планираних </w:t>
      </w:r>
      <w:r w:rsidR="005E2AD5">
        <w:t>средстава</w:t>
      </w:r>
      <w:r>
        <w:t xml:space="preserve">. </w:t>
      </w:r>
      <w:r w:rsidR="005E2AD5">
        <w:t xml:space="preserve">У односу на исти период претходне године приходи од новчаних казни остварени су за </w:t>
      </w:r>
      <w:r w:rsidR="00751313">
        <w:t>8,08</w:t>
      </w:r>
      <w:r w:rsidR="005E2AD5">
        <w:t xml:space="preserve">% или за </w:t>
      </w:r>
      <w:r w:rsidR="00751313">
        <w:t>1.565,00</w:t>
      </w:r>
      <w:r w:rsidR="005E2AD5">
        <w:t xml:space="preserve"> КМ </w:t>
      </w:r>
      <w:r w:rsidR="00751313">
        <w:t>мање</w:t>
      </w:r>
      <w:r w:rsidR="005E2AD5">
        <w:t xml:space="preserve">. </w:t>
      </w:r>
      <w:r>
        <w:t>Ове</w:t>
      </w:r>
      <w:r w:rsidR="00091AD9">
        <w:rPr>
          <w:lang w:val="sr-Latn-RS"/>
        </w:rPr>
        <w:t xml:space="preserve"> </w:t>
      </w:r>
      <w:r>
        <w:t>приходе</w:t>
      </w:r>
      <w:r w:rsidRPr="00DF5760">
        <w:t xml:space="preserve"> чине новчане казне изречене у прекршајном поступку за прекршаје про</w:t>
      </w:r>
      <w:r>
        <w:t>писане актима Скупштине општине</w:t>
      </w:r>
      <w:r w:rsidR="00717431">
        <w:t xml:space="preserve">, и у </w:t>
      </w:r>
      <w:proofErr w:type="spellStart"/>
      <w:r w:rsidR="00717431">
        <w:t>цијелости</w:t>
      </w:r>
      <w:proofErr w:type="spellEnd"/>
      <w:r w:rsidR="00717431">
        <w:t xml:space="preserve"> су приход буџета општине Прњавор.</w:t>
      </w:r>
    </w:p>
    <w:p w14:paraId="14A6F32D" w14:textId="77777777" w:rsidR="00BF6DCB" w:rsidRDefault="00BF6DCB" w:rsidP="005E2AD5">
      <w:pPr>
        <w:ind w:left="0" w:firstLine="0"/>
        <w:rPr>
          <w:rFonts w:eastAsia="TimesNewRomanPSMT"/>
        </w:rPr>
      </w:pPr>
    </w:p>
    <w:p w14:paraId="63CBC735" w14:textId="77777777" w:rsidR="00751313" w:rsidRPr="003C33F8" w:rsidRDefault="00751313" w:rsidP="00751313">
      <w:pPr>
        <w:ind w:left="0" w:firstLine="720"/>
        <w:rPr>
          <w:rFonts w:eastAsia="TimesNewRomanPSMT"/>
        </w:rPr>
      </w:pPr>
      <w:r>
        <w:rPr>
          <w:rFonts w:eastAsia="TimesNewRomanPSMT"/>
          <w:b/>
        </w:rPr>
        <w:t xml:space="preserve">Приходи од финансијске и </w:t>
      </w:r>
      <w:proofErr w:type="spellStart"/>
      <w:r>
        <w:rPr>
          <w:rFonts w:eastAsia="TimesNewRomanPSMT"/>
          <w:b/>
        </w:rPr>
        <w:t>нефинансијске</w:t>
      </w:r>
      <w:proofErr w:type="spellEnd"/>
      <w:r>
        <w:rPr>
          <w:rFonts w:eastAsia="TimesNewRomanPSMT"/>
          <w:b/>
        </w:rPr>
        <w:t xml:space="preserve"> имовине и трансакција размјене између или унутар јединица власти </w:t>
      </w:r>
      <w:r>
        <w:rPr>
          <w:rFonts w:eastAsia="TimesNewRomanPSMT"/>
        </w:rPr>
        <w:t xml:space="preserve">остварени су у износу од 10,91 КМ, а односе се на приходе од камата на обвезнице РС чији је општина Прњавор власник. Општина је власник 1819 обвезница РС (ознака RSOD-O-B), које је Република Српска емитовала 2008. године за измирење дуга према добављачима. Обвезнице су номиналне </w:t>
      </w:r>
      <w:proofErr w:type="spellStart"/>
      <w:r>
        <w:rPr>
          <w:rFonts w:eastAsia="TimesNewRomanPSMT"/>
        </w:rPr>
        <w:t>вриједности</w:t>
      </w:r>
      <w:proofErr w:type="spellEnd"/>
      <w:r>
        <w:rPr>
          <w:rFonts w:eastAsia="TimesNewRomanPSMT"/>
        </w:rPr>
        <w:t xml:space="preserve"> 1 КМ,  рок </w:t>
      </w:r>
      <w:proofErr w:type="spellStart"/>
      <w:r>
        <w:rPr>
          <w:rFonts w:eastAsia="TimesNewRomanPSMT"/>
        </w:rPr>
        <w:t>доспијећа</w:t>
      </w:r>
      <w:proofErr w:type="spellEnd"/>
      <w:r>
        <w:rPr>
          <w:rFonts w:eastAsia="TimesNewRomanPSMT"/>
        </w:rPr>
        <w:t xml:space="preserve"> је 15 година, </w:t>
      </w:r>
      <w:proofErr w:type="spellStart"/>
      <w:r>
        <w:rPr>
          <w:rFonts w:eastAsia="TimesNewRomanPSMT"/>
        </w:rPr>
        <w:t>грејс</w:t>
      </w:r>
      <w:proofErr w:type="spellEnd"/>
      <w:r>
        <w:rPr>
          <w:rFonts w:eastAsia="TimesNewRomanPSMT"/>
        </w:rPr>
        <w:t xml:space="preserve"> период за исплату главнице је 5 година и урачунат је у рок отплате, а каматна стопа је фиксна и износи 1,5% годишње.</w:t>
      </w:r>
    </w:p>
    <w:p w14:paraId="1BA62F7F" w14:textId="77777777" w:rsidR="00751313" w:rsidRDefault="00751313" w:rsidP="005E2AD5">
      <w:pPr>
        <w:ind w:left="0" w:firstLine="0"/>
        <w:rPr>
          <w:rFonts w:eastAsia="TimesNewRomanPSMT"/>
        </w:rPr>
      </w:pPr>
    </w:p>
    <w:p w14:paraId="5178DC8C" w14:textId="77777777" w:rsidR="00BF6DCB" w:rsidRPr="003F4656" w:rsidRDefault="00BF6DCB" w:rsidP="00BF6DCB">
      <w:pPr>
        <w:ind w:left="0" w:firstLine="720"/>
      </w:pPr>
      <w:r>
        <w:rPr>
          <w:b/>
        </w:rPr>
        <w:t xml:space="preserve">Остали </w:t>
      </w:r>
      <w:proofErr w:type="spellStart"/>
      <w:r w:rsidRPr="00B3775E">
        <w:rPr>
          <w:b/>
        </w:rPr>
        <w:t>непорески</w:t>
      </w:r>
      <w:proofErr w:type="spellEnd"/>
      <w:r w:rsidRPr="00B3775E">
        <w:rPr>
          <w:b/>
        </w:rPr>
        <w:t xml:space="preserve"> приходи </w:t>
      </w:r>
      <w:r w:rsidRPr="00B3775E">
        <w:t xml:space="preserve">су остварени у износу од </w:t>
      </w:r>
      <w:r w:rsidR="00751313">
        <w:t>56.233,30</w:t>
      </w:r>
      <w:r w:rsidR="004E56A4">
        <w:t xml:space="preserve"> КМ</w:t>
      </w:r>
      <w:r w:rsidR="006F0F33">
        <w:rPr>
          <w:lang w:val="sr-Latn-RS"/>
        </w:rPr>
        <w:t xml:space="preserve"> </w:t>
      </w:r>
      <w:r>
        <w:t>или</w:t>
      </w:r>
      <w:r w:rsidR="006F0F33">
        <w:rPr>
          <w:lang w:val="sr-Latn-RS"/>
        </w:rPr>
        <w:t xml:space="preserve"> </w:t>
      </w:r>
      <w:r w:rsidR="004E56A4">
        <w:t xml:space="preserve">са </w:t>
      </w:r>
      <w:r w:rsidR="00751313">
        <w:rPr>
          <w:lang w:val="sr-Cyrl-BA"/>
        </w:rPr>
        <w:t>90,68</w:t>
      </w:r>
      <w:r>
        <w:rPr>
          <w:lang w:val="sr-Cyrl-BA"/>
        </w:rPr>
        <w:t xml:space="preserve">% </w:t>
      </w:r>
      <w:r w:rsidR="004E56A4">
        <w:rPr>
          <w:lang w:val="sr-Cyrl-BA"/>
        </w:rPr>
        <w:t>у односу на план</w:t>
      </w:r>
      <w:r w:rsidR="004E56A4">
        <w:t xml:space="preserve">, док су у односу на исти период претходне године остварени за </w:t>
      </w:r>
      <w:r w:rsidR="00751313">
        <w:t>22,52</w:t>
      </w:r>
      <w:r w:rsidR="004E56A4">
        <w:t xml:space="preserve">% или </w:t>
      </w:r>
      <w:r w:rsidR="00751313">
        <w:t>16.345,96</w:t>
      </w:r>
      <w:r w:rsidR="004E56A4">
        <w:t xml:space="preserve"> КМ мање.</w:t>
      </w:r>
      <w:r w:rsidR="006F0F33">
        <w:rPr>
          <w:lang w:val="sr-Latn-RS"/>
        </w:rPr>
        <w:t xml:space="preserve"> </w:t>
      </w:r>
      <w:r w:rsidRPr="00F4755D">
        <w:t xml:space="preserve">Ове приходе </w:t>
      </w:r>
      <w:r>
        <w:t xml:space="preserve">највећим </w:t>
      </w:r>
      <w:proofErr w:type="spellStart"/>
      <w:r>
        <w:t>дијелом</w:t>
      </w:r>
      <w:proofErr w:type="spellEnd"/>
      <w:r>
        <w:t xml:space="preserve"> </w:t>
      </w:r>
      <w:r w:rsidRPr="00F4755D">
        <w:t xml:space="preserve">чине </w:t>
      </w:r>
      <w:r w:rsidR="006E491B">
        <w:t xml:space="preserve">рефундирана средства од Републичког завода за запошљавање </w:t>
      </w:r>
      <w:r w:rsidR="006576E7">
        <w:rPr>
          <w:lang w:val="sr-Cyrl-RS"/>
        </w:rPr>
        <w:t xml:space="preserve">по основу </w:t>
      </w:r>
      <w:r w:rsidR="006E491B">
        <w:t xml:space="preserve">исплаћених плата приправницима и </w:t>
      </w:r>
      <w:r w:rsidRPr="005232AE">
        <w:rPr>
          <w:lang w:val="ru-RU"/>
        </w:rPr>
        <w:t>накнад</w:t>
      </w:r>
      <w:r>
        <w:rPr>
          <w:lang w:val="ru-RU"/>
        </w:rPr>
        <w:t>е</w:t>
      </w:r>
      <w:r w:rsidRPr="005232AE">
        <w:rPr>
          <w:lang w:val="ru-RU"/>
        </w:rPr>
        <w:t xml:space="preserve"> за комисију </w:t>
      </w:r>
      <w:r>
        <w:rPr>
          <w:lang w:val="ru-RU"/>
        </w:rPr>
        <w:t xml:space="preserve">која обавља технички преглед објеката у поступку издавања употребне дозволе у складу са Закључком о утврђивању накнада за Комисију која обавља технички преглед објекта («Службени гласник општине Прњавор», број </w:t>
      </w:r>
      <w:r w:rsidR="007766DE">
        <w:rPr>
          <w:lang w:val="ru-RU"/>
        </w:rPr>
        <w:t>1/18</w:t>
      </w:r>
      <w:r w:rsidR="006E0CBA">
        <w:rPr>
          <w:lang w:val="ru-RU"/>
        </w:rPr>
        <w:t xml:space="preserve"> и 19/18</w:t>
      </w:r>
      <w:r>
        <w:rPr>
          <w:lang w:val="ru-RU"/>
        </w:rPr>
        <w:t>). У оквиру осталих непореских прихода књиже се и приходи остварени по основ</w:t>
      </w:r>
      <w:r w:rsidR="004E56A4">
        <w:rPr>
          <w:lang w:val="ru-RU"/>
        </w:rPr>
        <w:t>у накнада за закључивање брака</w:t>
      </w:r>
      <w:r>
        <w:rPr>
          <w:lang w:val="ru-RU"/>
        </w:rPr>
        <w:t>, поврат средстава исплаћених у претходној години</w:t>
      </w:r>
      <w:r w:rsidRPr="005232AE">
        <w:rPr>
          <w:lang w:val="ru-RU"/>
        </w:rPr>
        <w:t xml:space="preserve">и </w:t>
      </w:r>
      <w:r>
        <w:rPr>
          <w:lang w:val="ru-RU"/>
        </w:rPr>
        <w:t>др</w:t>
      </w:r>
      <w:r w:rsidRPr="005232AE">
        <w:rPr>
          <w:lang w:val="ru-RU"/>
        </w:rPr>
        <w:t>.</w:t>
      </w:r>
    </w:p>
    <w:p w14:paraId="24B1D6A8" w14:textId="77777777" w:rsidR="00D53C6A" w:rsidRDefault="00D53C6A" w:rsidP="00A7446D">
      <w:pPr>
        <w:ind w:left="0" w:right="-833" w:firstLine="0"/>
        <w:rPr>
          <w:bCs/>
        </w:rPr>
      </w:pPr>
    </w:p>
    <w:p w14:paraId="55849ECE" w14:textId="77777777" w:rsidR="009810AB" w:rsidRPr="00383D4F" w:rsidRDefault="009810AB" w:rsidP="009810AB">
      <w:pPr>
        <w:pStyle w:val="Podnaslovi2"/>
        <w:spacing w:before="120"/>
        <w:ind w:firstLine="720"/>
        <w:rPr>
          <w:sz w:val="24"/>
          <w:szCs w:val="24"/>
        </w:rPr>
      </w:pPr>
      <w:bookmarkStart w:id="25" w:name="_Toc491329722"/>
      <w:bookmarkStart w:id="26" w:name="_Toc510165754"/>
      <w:bookmarkStart w:id="27" w:name="_Toc50641189"/>
      <w:r w:rsidRPr="00383D4F">
        <w:rPr>
          <w:sz w:val="24"/>
          <w:szCs w:val="24"/>
        </w:rPr>
        <w:t>В. Грантови</w:t>
      </w:r>
      <w:bookmarkEnd w:id="25"/>
      <w:bookmarkEnd w:id="26"/>
      <w:bookmarkEnd w:id="27"/>
    </w:p>
    <w:p w14:paraId="5BCD3261" w14:textId="77777777" w:rsidR="009810AB" w:rsidRPr="00DF5760" w:rsidRDefault="009810AB" w:rsidP="009810AB">
      <w:pPr>
        <w:ind w:left="0" w:firstLine="0"/>
      </w:pPr>
    </w:p>
    <w:p w14:paraId="6A12A281" w14:textId="77777777" w:rsidR="00D53C6A" w:rsidRDefault="009810AB" w:rsidP="00226F13">
      <w:pPr>
        <w:ind w:left="0" w:right="-835" w:firstLine="0"/>
        <w:rPr>
          <w:bCs/>
        </w:rPr>
      </w:pPr>
      <w:r w:rsidRPr="00DF5760">
        <w:tab/>
      </w:r>
      <w:r w:rsidR="00751313">
        <w:t>Током</w:t>
      </w:r>
      <w:r w:rsidR="00B13B40">
        <w:t xml:space="preserve"> 2020. године приходи од грантова</w:t>
      </w:r>
      <w:r w:rsidR="006F0F33">
        <w:rPr>
          <w:lang w:val="sr-Latn-RS"/>
        </w:rPr>
        <w:t xml:space="preserve"> </w:t>
      </w:r>
      <w:r w:rsidR="00B13B40">
        <w:t>су</w:t>
      </w:r>
      <w:r>
        <w:t xml:space="preserve"> остварени у износу од </w:t>
      </w:r>
      <w:r w:rsidR="00751313">
        <w:t>249.755,83</w:t>
      </w:r>
      <w:r>
        <w:t xml:space="preserve"> КМ, што је за </w:t>
      </w:r>
      <w:r w:rsidR="00751313">
        <w:t>119,58</w:t>
      </w:r>
      <w:r>
        <w:t xml:space="preserve">% више од средстава планираних </w:t>
      </w:r>
      <w:r w:rsidR="00751313">
        <w:t>ребалансом буџета</w:t>
      </w:r>
      <w:r w:rsidR="00B13B40">
        <w:t xml:space="preserve"> за 2020. годину</w:t>
      </w:r>
      <w:r w:rsidR="00091AD9">
        <w:t>.</w:t>
      </w:r>
      <w:r>
        <w:t xml:space="preserve"> </w:t>
      </w:r>
      <w:r>
        <w:rPr>
          <w:bCs/>
        </w:rPr>
        <w:t xml:space="preserve">Остварени грантови у </w:t>
      </w:r>
      <w:proofErr w:type="spellStart"/>
      <w:r w:rsidR="00B13B40">
        <w:rPr>
          <w:bCs/>
        </w:rPr>
        <w:t>извјештајном</w:t>
      </w:r>
      <w:proofErr w:type="spellEnd"/>
      <w:r w:rsidR="00B13B40">
        <w:rPr>
          <w:bCs/>
        </w:rPr>
        <w:t xml:space="preserve"> периоду</w:t>
      </w:r>
      <w:r w:rsidR="00226F13">
        <w:rPr>
          <w:bCs/>
        </w:rPr>
        <w:t xml:space="preserve"> односе се на</w:t>
      </w:r>
      <w:r w:rsidR="00D53C6A">
        <w:rPr>
          <w:bCs/>
        </w:rPr>
        <w:t>:</w:t>
      </w:r>
    </w:p>
    <w:p w14:paraId="67F124F3" w14:textId="77777777" w:rsidR="00751313" w:rsidRPr="00751313" w:rsidRDefault="00751313" w:rsidP="00091AD9">
      <w:pPr>
        <w:pStyle w:val="Pasussalistom"/>
        <w:numPr>
          <w:ilvl w:val="0"/>
          <w:numId w:val="22"/>
        </w:numPr>
        <w:spacing w:before="120"/>
        <w:ind w:left="777" w:right="-833" w:hanging="357"/>
        <w:rPr>
          <w:bCs/>
        </w:rPr>
      </w:pPr>
      <w:r>
        <w:rPr>
          <w:lang w:val="sr-Cyrl-BA"/>
        </w:rPr>
        <w:t xml:space="preserve">2.659,93 КМ </w:t>
      </w:r>
      <w:proofErr w:type="spellStart"/>
      <w:r>
        <w:rPr>
          <w:lang w:val="sr-Cyrl-BA"/>
        </w:rPr>
        <w:t>грант</w:t>
      </w:r>
      <w:proofErr w:type="spellEnd"/>
      <w:r>
        <w:rPr>
          <w:lang w:val="sr-Cyrl-BA"/>
        </w:rPr>
        <w:t xml:space="preserve"> Савјета Европе за пројекат „Повећање квалитета живота Ромске заједнице у Прњавору“. Ова средства су одобрена за покривање хитних трошкова као одговор на пандемију вируса </w:t>
      </w:r>
      <w:r>
        <w:t xml:space="preserve">COVID-19 </w:t>
      </w:r>
      <w:r>
        <w:rPr>
          <w:lang w:val="sr-Cyrl-BA"/>
        </w:rPr>
        <w:t>у Ромској заједници.</w:t>
      </w:r>
      <w:r w:rsidR="006F0F33">
        <w:rPr>
          <w:lang w:val="sr-Latn-RS"/>
        </w:rPr>
        <w:t xml:space="preserve"> </w:t>
      </w:r>
      <w:r>
        <w:t xml:space="preserve">Одобрена средства износе укупно 1.700,00 ЕУР-а, а у </w:t>
      </w:r>
      <w:proofErr w:type="spellStart"/>
      <w:r>
        <w:t>извјештајном</w:t>
      </w:r>
      <w:proofErr w:type="spellEnd"/>
      <w:r>
        <w:t xml:space="preserve"> периоду авансно је дозначено 1.360,00 ЕУР-а. Ова средства су дозначена на основу анекса Споразума потписаног са </w:t>
      </w:r>
      <w:proofErr w:type="spellStart"/>
      <w:r>
        <w:t>Савјетом</w:t>
      </w:r>
      <w:proofErr w:type="spellEnd"/>
      <w:r>
        <w:t xml:space="preserve"> Европе, којим је у 2019. години одобрено 9.000,00 ЕУР-а</w:t>
      </w:r>
      <w:r w:rsidR="006F0F33">
        <w:rPr>
          <w:lang w:val="sr-Latn-RS"/>
        </w:rPr>
        <w:t xml:space="preserve"> </w:t>
      </w:r>
      <w:r>
        <w:t>за изградњу канализационе мреже у насељу Долине</w:t>
      </w:r>
      <w:r w:rsidR="006F0F33">
        <w:rPr>
          <w:lang w:val="sr-Latn-RS"/>
        </w:rPr>
        <w:t xml:space="preserve"> </w:t>
      </w:r>
      <w:r>
        <w:t>и репарацију пута и постављање асфалта на истој локацији,</w:t>
      </w:r>
    </w:p>
    <w:p w14:paraId="2923624F" w14:textId="77777777" w:rsidR="00B821A3" w:rsidRPr="00B12264" w:rsidRDefault="00D53C6A" w:rsidP="00B821A3">
      <w:pPr>
        <w:pStyle w:val="Pasussalistom"/>
        <w:numPr>
          <w:ilvl w:val="0"/>
          <w:numId w:val="22"/>
        </w:numPr>
        <w:spacing w:before="120"/>
        <w:ind w:left="777" w:right="-833" w:hanging="357"/>
        <w:rPr>
          <w:bCs/>
        </w:rPr>
      </w:pPr>
      <w:r>
        <w:rPr>
          <w:bCs/>
        </w:rPr>
        <w:t xml:space="preserve">37.501,90 КМ </w:t>
      </w:r>
      <w:proofErr w:type="spellStart"/>
      <w:r w:rsidRPr="00D53C6A">
        <w:rPr>
          <w:bCs/>
        </w:rPr>
        <w:t>грант</w:t>
      </w:r>
      <w:proofErr w:type="spellEnd"/>
      <w:r w:rsidRPr="00D53C6A">
        <w:rPr>
          <w:bCs/>
        </w:rPr>
        <w:t xml:space="preserve"> УНДП/МЕГ за пројекат „Подстицаји за запошљавање кроз побољшање производних капацитета предузећа регистрованих на подручју општине Прњавор“</w:t>
      </w:r>
      <w:r w:rsidR="002937B9">
        <w:rPr>
          <w:bCs/>
        </w:rPr>
        <w:t xml:space="preserve">. Укупни трошкови пројекта </w:t>
      </w:r>
      <w:r w:rsidR="009F77CE">
        <w:rPr>
          <w:lang w:val="sr-Cyrl-BA"/>
        </w:rPr>
        <w:t>у</w:t>
      </w:r>
      <w:r w:rsidR="009F77CE" w:rsidRPr="00D53C6A">
        <w:rPr>
          <w:lang w:val="sr-Cyrl-BA"/>
        </w:rPr>
        <w:t xml:space="preserve"> складу са Споразумом</w:t>
      </w:r>
      <w:r w:rsidR="006F0F33">
        <w:rPr>
          <w:lang w:val="sr-Cyrl-BA"/>
        </w:rPr>
        <w:t xml:space="preserve"> потписаним са </w:t>
      </w:r>
      <w:r w:rsidR="006F0F33">
        <w:rPr>
          <w:lang w:val="sr-Latn-RS"/>
        </w:rPr>
        <w:t xml:space="preserve">     </w:t>
      </w:r>
      <w:r w:rsidR="006F0F33">
        <w:rPr>
          <w:lang w:val="sr-Cyrl-BA"/>
        </w:rPr>
        <w:t>УНДП-</w:t>
      </w:r>
      <w:r w:rsidR="009F77CE">
        <w:rPr>
          <w:lang w:val="sr-Cyrl-BA"/>
        </w:rPr>
        <w:t>ом</w:t>
      </w:r>
      <w:r w:rsidR="006F0F33">
        <w:rPr>
          <w:lang w:val="sr-Latn-RS"/>
        </w:rPr>
        <w:t xml:space="preserve"> </w:t>
      </w:r>
      <w:r w:rsidR="002937B9">
        <w:rPr>
          <w:bCs/>
        </w:rPr>
        <w:t>износе 75.0</w:t>
      </w:r>
      <w:r w:rsidR="009F77CE">
        <w:rPr>
          <w:bCs/>
        </w:rPr>
        <w:t>18,5</w:t>
      </w:r>
      <w:r w:rsidR="002937B9">
        <w:rPr>
          <w:bCs/>
        </w:rPr>
        <w:t xml:space="preserve">0 КМ, </w:t>
      </w:r>
      <w:r w:rsidR="002937B9" w:rsidRPr="00D53C6A">
        <w:rPr>
          <w:lang w:val="sr-Cyrl-BA"/>
        </w:rPr>
        <w:t xml:space="preserve">од чега је допринос УНДП-а </w:t>
      </w:r>
      <w:r w:rsidR="009F77CE">
        <w:rPr>
          <w:lang w:val="sr-Cyrl-BA"/>
        </w:rPr>
        <w:t>37.518,5</w:t>
      </w:r>
      <w:r w:rsidR="002937B9">
        <w:rPr>
          <w:lang w:val="sr-Cyrl-BA"/>
        </w:rPr>
        <w:t>0</w:t>
      </w:r>
      <w:r w:rsidR="002937B9" w:rsidRPr="00D53C6A">
        <w:rPr>
          <w:lang w:val="sr-Cyrl-BA"/>
        </w:rPr>
        <w:t xml:space="preserve"> КМ, а допринос општине </w:t>
      </w:r>
      <w:r w:rsidR="002937B9">
        <w:rPr>
          <w:lang w:val="sr-Cyrl-BA"/>
        </w:rPr>
        <w:t>37.500,00</w:t>
      </w:r>
      <w:r w:rsidR="002937B9" w:rsidRPr="00D53C6A">
        <w:rPr>
          <w:lang w:val="sr-Cyrl-BA"/>
        </w:rPr>
        <w:t xml:space="preserve"> КМ</w:t>
      </w:r>
      <w:r w:rsidR="002937B9">
        <w:rPr>
          <w:lang w:val="sr-Cyrl-BA"/>
        </w:rPr>
        <w:t xml:space="preserve">. Из средстава пројекта </w:t>
      </w:r>
      <w:proofErr w:type="spellStart"/>
      <w:r w:rsidR="002937B9">
        <w:rPr>
          <w:lang w:val="sr-Cyrl-BA"/>
        </w:rPr>
        <w:t>обезбијеђена</w:t>
      </w:r>
      <w:proofErr w:type="spellEnd"/>
      <w:r w:rsidR="002937B9">
        <w:rPr>
          <w:lang w:val="sr-Cyrl-BA"/>
        </w:rPr>
        <w:t xml:space="preserve"> су средства </w:t>
      </w:r>
      <w:r w:rsidR="00771870">
        <w:rPr>
          <w:lang w:val="sr-Cyrl-BA"/>
        </w:rPr>
        <w:t xml:space="preserve">за набавку машина и опреме </w:t>
      </w:r>
      <w:r w:rsidR="002937B9">
        <w:rPr>
          <w:lang w:val="sr-Cyrl-BA"/>
        </w:rPr>
        <w:t>за 6 производних предузећа са подручја општине Прњавор</w:t>
      </w:r>
      <w:r w:rsidR="00B821A3">
        <w:rPr>
          <w:lang w:val="sr-Cyrl-BA"/>
        </w:rPr>
        <w:t xml:space="preserve"> у износима од по 15.000,00 КМ,</w:t>
      </w:r>
    </w:p>
    <w:p w14:paraId="4D7F36FB" w14:textId="77777777" w:rsidR="00B12264" w:rsidRPr="00B821A3" w:rsidRDefault="00B12264" w:rsidP="00B12264">
      <w:pPr>
        <w:pStyle w:val="Pasussalistom"/>
        <w:numPr>
          <w:ilvl w:val="0"/>
          <w:numId w:val="22"/>
        </w:numPr>
        <w:spacing w:before="120"/>
        <w:ind w:right="-833"/>
        <w:rPr>
          <w:bCs/>
        </w:rPr>
      </w:pPr>
      <w:r>
        <w:rPr>
          <w:lang w:val="sr-Cyrl-BA"/>
        </w:rPr>
        <w:t xml:space="preserve">40.000,00 КМ </w:t>
      </w:r>
      <w:proofErr w:type="spellStart"/>
      <w:r>
        <w:rPr>
          <w:lang w:val="sr-Cyrl-BA"/>
        </w:rPr>
        <w:t>грант</w:t>
      </w:r>
      <w:proofErr w:type="spellEnd"/>
      <w:r>
        <w:rPr>
          <w:lang w:val="sr-Cyrl-BA"/>
        </w:rPr>
        <w:t xml:space="preserve"> Фонда за развој и запошљавање РС </w:t>
      </w:r>
      <w:r w:rsidRPr="00B12264">
        <w:rPr>
          <w:lang w:val="sr-Cyrl-BA"/>
        </w:rPr>
        <w:t>за пројекат "Модерна инфраструктура за развој пољопривреде и развијено село"</w:t>
      </w:r>
      <w:r w:rsidR="00B60A6F">
        <w:t xml:space="preserve">. Укупна </w:t>
      </w:r>
      <w:proofErr w:type="spellStart"/>
      <w:r w:rsidR="00B60A6F">
        <w:t>вриједност</w:t>
      </w:r>
      <w:proofErr w:type="spellEnd"/>
      <w:r w:rsidR="00B60A6F">
        <w:t xml:space="preserve"> пројекта </w:t>
      </w:r>
      <w:proofErr w:type="spellStart"/>
      <w:r w:rsidR="00B60A6F">
        <w:t>процијењена</w:t>
      </w:r>
      <w:proofErr w:type="spellEnd"/>
      <w:r w:rsidR="00B60A6F">
        <w:t xml:space="preserve"> је на износ од 182.644,17 КМ, од чега ће Фонд </w:t>
      </w:r>
      <w:proofErr w:type="spellStart"/>
      <w:r w:rsidR="00B60A6F">
        <w:t>обезбиједити</w:t>
      </w:r>
      <w:proofErr w:type="spellEnd"/>
      <w:r w:rsidR="00B60A6F">
        <w:t xml:space="preserve"> </w:t>
      </w:r>
      <w:r w:rsidR="00CF11CE">
        <w:t xml:space="preserve">средства у износу </w:t>
      </w:r>
      <w:r w:rsidR="00B60A6F">
        <w:t>до 100.000,00 КМ</w:t>
      </w:r>
      <w:r w:rsidR="00CF11CE">
        <w:t xml:space="preserve"> из Финансијског механизма за финансирање пројеката интегрисаног и одрживог локалног развоја 2020/2021</w:t>
      </w:r>
      <w:r w:rsidR="00B60A6F">
        <w:t xml:space="preserve">, а преосталих 82.644,17 КМ ће финансирати општина. </w:t>
      </w:r>
      <w:r w:rsidR="00CF11CE">
        <w:t xml:space="preserve">Дозначена средства у 2020. години представљају авансну уплату од 40% одобрених средстава, а уплаћена су из финансијског доприноса УНДП-а успостављању и функционисању овог механизма. </w:t>
      </w:r>
    </w:p>
    <w:p w14:paraId="246D2390" w14:textId="77777777" w:rsidR="00C07424" w:rsidRPr="00771870" w:rsidRDefault="00771870" w:rsidP="00D53C6A">
      <w:pPr>
        <w:pStyle w:val="Pasussalistom"/>
        <w:numPr>
          <w:ilvl w:val="0"/>
          <w:numId w:val="22"/>
        </w:numPr>
        <w:ind w:right="-835"/>
        <w:rPr>
          <w:bCs/>
        </w:rPr>
      </w:pPr>
      <w:r>
        <w:rPr>
          <w:lang w:val="sr-Cyrl-BA"/>
        </w:rPr>
        <w:t xml:space="preserve">133.294,00 КМ </w:t>
      </w:r>
      <w:proofErr w:type="spellStart"/>
      <w:r w:rsidR="009810AB" w:rsidRPr="00D53C6A">
        <w:rPr>
          <w:lang w:val="sr-Cyrl-BA"/>
        </w:rPr>
        <w:t>грант</w:t>
      </w:r>
      <w:proofErr w:type="spellEnd"/>
      <w:r w:rsidR="009810AB" w:rsidRPr="00D53C6A">
        <w:rPr>
          <w:lang w:val="sr-Cyrl-BA"/>
        </w:rPr>
        <w:t xml:space="preserve"> УНДП/МЕГ за пројекат „</w:t>
      </w:r>
      <w:r w:rsidR="00226F13" w:rsidRPr="00D53C6A">
        <w:rPr>
          <w:lang w:val="sr-Cyrl-BA"/>
        </w:rPr>
        <w:t xml:space="preserve">Изградња дистрибутивног цјевовода за </w:t>
      </w:r>
      <w:proofErr w:type="spellStart"/>
      <w:r w:rsidR="00226F13" w:rsidRPr="00D53C6A">
        <w:rPr>
          <w:lang w:val="sr-Cyrl-BA"/>
        </w:rPr>
        <w:t>водоснабдијевање</w:t>
      </w:r>
      <w:proofErr w:type="spellEnd"/>
      <w:r w:rsidR="00226F13" w:rsidRPr="00D53C6A">
        <w:rPr>
          <w:lang w:val="sr-Cyrl-BA"/>
        </w:rPr>
        <w:t xml:space="preserve"> индустријске зоне Вијака</w:t>
      </w:r>
      <w:r w:rsidR="009810AB" w:rsidRPr="00D53C6A">
        <w:rPr>
          <w:lang w:val="sr-Cyrl-BA"/>
        </w:rPr>
        <w:t>“</w:t>
      </w:r>
      <w:r w:rsidR="00226F13" w:rsidRPr="00D53C6A">
        <w:rPr>
          <w:lang w:val="sr-Cyrl-BA"/>
        </w:rPr>
        <w:t>.</w:t>
      </w:r>
      <w:r w:rsidR="006F0F33">
        <w:rPr>
          <w:lang w:val="sr-Latn-RS"/>
        </w:rPr>
        <w:t xml:space="preserve"> </w:t>
      </w:r>
      <w:r>
        <w:rPr>
          <w:lang w:val="sr-Cyrl-BA"/>
        </w:rPr>
        <w:t>Укупни трошкови пројекта у</w:t>
      </w:r>
      <w:r w:rsidR="00B33315" w:rsidRPr="00D53C6A">
        <w:rPr>
          <w:lang w:val="sr-Cyrl-BA"/>
        </w:rPr>
        <w:t xml:space="preserve"> складу са Споразумом</w:t>
      </w:r>
      <w:r>
        <w:rPr>
          <w:lang w:val="sr-Cyrl-BA"/>
        </w:rPr>
        <w:t xml:space="preserve"> потписаним са УНДП-ом</w:t>
      </w:r>
      <w:r w:rsidR="003F2B7E">
        <w:rPr>
          <w:lang w:val="sr-Cyrl-BA"/>
        </w:rPr>
        <w:t xml:space="preserve"> </w:t>
      </w:r>
      <w:r>
        <w:rPr>
          <w:lang w:val="sr-Cyrl-BA"/>
        </w:rPr>
        <w:t xml:space="preserve">износе </w:t>
      </w:r>
      <w:r w:rsidR="00E817F2" w:rsidRPr="00D53C6A">
        <w:rPr>
          <w:lang w:val="sr-Cyrl-BA"/>
        </w:rPr>
        <w:t>328.338,37</w:t>
      </w:r>
      <w:r w:rsidR="00B26DEE" w:rsidRPr="00D53C6A">
        <w:rPr>
          <w:lang w:val="sr-Cyrl-BA"/>
        </w:rPr>
        <w:t xml:space="preserve"> КМ, од чега је допринос УНДП-а </w:t>
      </w:r>
      <w:r w:rsidR="00E817F2" w:rsidRPr="00D53C6A">
        <w:rPr>
          <w:lang w:val="sr-Cyrl-BA"/>
        </w:rPr>
        <w:t>133.328,00</w:t>
      </w:r>
      <w:r w:rsidR="00B26DEE" w:rsidRPr="00D53C6A">
        <w:rPr>
          <w:lang w:val="sr-Cyrl-BA"/>
        </w:rPr>
        <w:t xml:space="preserve"> КМ, а допринос општине </w:t>
      </w:r>
      <w:r w:rsidR="00E817F2" w:rsidRPr="00D53C6A">
        <w:rPr>
          <w:lang w:val="sr-Cyrl-BA"/>
        </w:rPr>
        <w:t>195.010,37</w:t>
      </w:r>
      <w:r w:rsidR="00B821A3">
        <w:rPr>
          <w:lang w:val="sr-Cyrl-BA"/>
        </w:rPr>
        <w:t xml:space="preserve"> КМ,</w:t>
      </w:r>
    </w:p>
    <w:p w14:paraId="09F9FFC4" w14:textId="77777777" w:rsidR="00697D44" w:rsidRPr="00B821A3" w:rsidRDefault="00697D44" w:rsidP="00697D44">
      <w:pPr>
        <w:pStyle w:val="Pasussalistom"/>
        <w:numPr>
          <w:ilvl w:val="0"/>
          <w:numId w:val="22"/>
        </w:numPr>
        <w:ind w:right="-835"/>
        <w:rPr>
          <w:bCs/>
        </w:rPr>
      </w:pPr>
      <w:r>
        <w:t>30.000,00 KM у</w:t>
      </w:r>
      <w:r w:rsidRPr="00697D44">
        <w:t xml:space="preserve">чешће грађана МЗ </w:t>
      </w:r>
      <w:proofErr w:type="spellStart"/>
      <w:r w:rsidRPr="00697D44">
        <w:t>Бабановци</w:t>
      </w:r>
      <w:proofErr w:type="spellEnd"/>
      <w:r w:rsidRPr="00697D44">
        <w:t xml:space="preserve"> у трошковима реконструкције локалног пута </w:t>
      </w:r>
      <w:proofErr w:type="spellStart"/>
      <w:r w:rsidRPr="00697D44">
        <w:t>Бабановци</w:t>
      </w:r>
      <w:proofErr w:type="spellEnd"/>
      <w:r w:rsidRPr="00697D44">
        <w:t xml:space="preserve">-џамија у МЗ </w:t>
      </w:r>
      <w:proofErr w:type="spellStart"/>
      <w:r w:rsidRPr="00697D44">
        <w:t>Бабановци</w:t>
      </w:r>
      <w:proofErr w:type="spellEnd"/>
      <w:r w:rsidR="00B821A3">
        <w:t xml:space="preserve"> и</w:t>
      </w:r>
    </w:p>
    <w:p w14:paraId="56D5BB5F" w14:textId="77777777" w:rsidR="00B821A3" w:rsidRPr="00D53C6A" w:rsidRDefault="00B12264" w:rsidP="00B821A3">
      <w:pPr>
        <w:pStyle w:val="Pasussalistom"/>
        <w:numPr>
          <w:ilvl w:val="0"/>
          <w:numId w:val="22"/>
        </w:numPr>
        <w:ind w:right="-835"/>
        <w:rPr>
          <w:bCs/>
        </w:rPr>
      </w:pPr>
      <w:r>
        <w:t>6.300</w:t>
      </w:r>
      <w:r w:rsidR="00B821A3">
        <w:t>,00 КМ д</w:t>
      </w:r>
      <w:r w:rsidR="00B821A3" w:rsidRPr="00B821A3">
        <w:t>онације правних лица ЈУ ЦСШ "Иво Андрић" Прњавор за пројекат увођења интернет мреже</w:t>
      </w:r>
      <w:r w:rsidR="00B821A3">
        <w:t>.</w:t>
      </w:r>
    </w:p>
    <w:p w14:paraId="60821C0D" w14:textId="77777777" w:rsidR="006D317C" w:rsidRDefault="006D317C" w:rsidP="00585337">
      <w:pPr>
        <w:pStyle w:val="Podnaslovi2"/>
        <w:spacing w:before="120"/>
        <w:ind w:firstLine="720"/>
        <w:rPr>
          <w:b w:val="0"/>
        </w:rPr>
      </w:pPr>
      <w:bookmarkStart w:id="28" w:name="_Toc530745870"/>
    </w:p>
    <w:p w14:paraId="7A7B182E" w14:textId="77777777" w:rsidR="00D3423F" w:rsidRPr="00585337" w:rsidRDefault="00D3423F" w:rsidP="00585337">
      <w:pPr>
        <w:pStyle w:val="Podnaslovi2"/>
        <w:spacing w:before="120"/>
        <w:ind w:firstLine="720"/>
        <w:rPr>
          <w:b w:val="0"/>
        </w:rPr>
      </w:pPr>
    </w:p>
    <w:p w14:paraId="5F5B8768" w14:textId="77777777" w:rsidR="009F5F18" w:rsidRPr="00383D4F" w:rsidRDefault="00234009" w:rsidP="00585337">
      <w:pPr>
        <w:pStyle w:val="Podnaslovi2"/>
        <w:ind w:firstLine="720"/>
        <w:rPr>
          <w:sz w:val="24"/>
          <w:szCs w:val="24"/>
        </w:rPr>
      </w:pPr>
      <w:bookmarkStart w:id="29" w:name="_Toc50641190"/>
      <w:r>
        <w:rPr>
          <w:sz w:val="24"/>
          <w:szCs w:val="24"/>
        </w:rPr>
        <w:t>Г</w:t>
      </w:r>
      <w:r w:rsidR="00C217A9" w:rsidRPr="00383D4F">
        <w:rPr>
          <w:sz w:val="24"/>
          <w:szCs w:val="24"/>
        </w:rPr>
        <w:t xml:space="preserve">. </w:t>
      </w:r>
      <w:r w:rsidR="009F5F18" w:rsidRPr="00383D4F">
        <w:rPr>
          <w:sz w:val="24"/>
          <w:szCs w:val="24"/>
        </w:rPr>
        <w:t xml:space="preserve">Трансфери </w:t>
      </w:r>
      <w:r w:rsidR="002C6069" w:rsidRPr="00383D4F">
        <w:rPr>
          <w:sz w:val="24"/>
          <w:szCs w:val="24"/>
        </w:rPr>
        <w:t>између или унутар јединица власти</w:t>
      </w:r>
      <w:bookmarkEnd w:id="28"/>
      <w:bookmarkEnd w:id="29"/>
    </w:p>
    <w:p w14:paraId="556693CC" w14:textId="77777777" w:rsidR="009F5F18" w:rsidRPr="009F5F18" w:rsidRDefault="009F5F18" w:rsidP="009F5F18">
      <w:pPr>
        <w:ind w:left="0" w:right="-835" w:firstLine="720"/>
        <w:rPr>
          <w:b/>
          <w:bCs/>
          <w:i/>
        </w:rPr>
      </w:pPr>
    </w:p>
    <w:p w14:paraId="5B40CBFB" w14:textId="77777777" w:rsidR="00391242" w:rsidRPr="002D2EFA" w:rsidRDefault="007C7694" w:rsidP="00391242">
      <w:pPr>
        <w:ind w:left="0" w:firstLine="0"/>
      </w:pPr>
      <w:r>
        <w:tab/>
      </w:r>
      <w:r w:rsidR="00B12264">
        <w:t>У периоду 01.01-31.12</w:t>
      </w:r>
      <w:r w:rsidR="002B25BF">
        <w:t>.2020</w:t>
      </w:r>
      <w:r w:rsidR="00391242">
        <w:t>. године т</w:t>
      </w:r>
      <w:r w:rsidR="00391242" w:rsidRPr="00DF5760">
        <w:t xml:space="preserve">рансфери између </w:t>
      </w:r>
      <w:r w:rsidR="00391242">
        <w:t>или унутар јединица власти</w:t>
      </w:r>
      <w:r w:rsidR="00391242" w:rsidRPr="00DF5760">
        <w:t xml:space="preserve"> остварени су у износу од </w:t>
      </w:r>
      <w:r w:rsidR="00B12264">
        <w:t>2.454.241,50</w:t>
      </w:r>
      <w:r w:rsidR="00391242">
        <w:t xml:space="preserve"> КМ</w:t>
      </w:r>
      <w:r w:rsidR="00391242" w:rsidRPr="00DF5760">
        <w:t xml:space="preserve">, и односе се на дознаке општини Прњавор од стране </w:t>
      </w:r>
      <w:r w:rsidR="00391242">
        <w:t xml:space="preserve">буџета или </w:t>
      </w:r>
      <w:r w:rsidR="00391242" w:rsidRPr="00DF5760">
        <w:t xml:space="preserve">буџетских </w:t>
      </w:r>
      <w:r w:rsidR="00391242">
        <w:t xml:space="preserve">корисника </w:t>
      </w:r>
      <w:r w:rsidR="00391242" w:rsidRPr="00DF5760">
        <w:t xml:space="preserve">других </w:t>
      </w:r>
      <w:r w:rsidR="00391242">
        <w:t>јединица</w:t>
      </w:r>
      <w:r w:rsidR="00391242" w:rsidRPr="00DF5760">
        <w:t xml:space="preserve"> власти. </w:t>
      </w:r>
      <w:r w:rsidR="00391242" w:rsidRPr="00E94F52">
        <w:t xml:space="preserve">Ова средства су остварена </w:t>
      </w:r>
      <w:r w:rsidR="00391242">
        <w:t>за</w:t>
      </w:r>
      <w:r w:rsidR="00091AD9">
        <w:rPr>
          <w:lang w:val="sr-Latn-RS"/>
        </w:rPr>
        <w:t xml:space="preserve"> </w:t>
      </w:r>
      <w:r w:rsidR="00B12264">
        <w:t>2,16</w:t>
      </w:r>
      <w:r w:rsidR="00391242" w:rsidRPr="00E94F52">
        <w:t xml:space="preserve">% </w:t>
      </w:r>
      <w:r w:rsidR="006C56EC">
        <w:t xml:space="preserve">више </w:t>
      </w:r>
      <w:r w:rsidR="00391242">
        <w:t>у односу на</w:t>
      </w:r>
      <w:r w:rsidR="006F0F33">
        <w:rPr>
          <w:lang w:val="sr-Latn-RS"/>
        </w:rPr>
        <w:t xml:space="preserve"> </w:t>
      </w:r>
      <w:r w:rsidR="006C56EC">
        <w:t xml:space="preserve">годишњи </w:t>
      </w:r>
      <w:r w:rsidR="00391242">
        <w:t>план</w:t>
      </w:r>
      <w:r w:rsidR="00391242" w:rsidRPr="00E94F52">
        <w:t xml:space="preserve">, </w:t>
      </w:r>
      <w:r w:rsidR="00391242">
        <w:t>а у односу на остварење из</w:t>
      </w:r>
      <w:r w:rsidR="006F0F33">
        <w:rPr>
          <w:lang w:val="sr-Latn-RS"/>
        </w:rPr>
        <w:t xml:space="preserve"> </w:t>
      </w:r>
      <w:r w:rsidR="006C56EC">
        <w:t>истог периода претходне године</w:t>
      </w:r>
      <w:r w:rsidR="006F0F33">
        <w:rPr>
          <w:lang w:val="sr-Latn-RS"/>
        </w:rPr>
        <w:t xml:space="preserve"> </w:t>
      </w:r>
      <w:r w:rsidR="00391242">
        <w:t>више</w:t>
      </w:r>
      <w:r w:rsidR="00391242" w:rsidRPr="00E94F52">
        <w:t xml:space="preserve"> за </w:t>
      </w:r>
      <w:r w:rsidR="00B12264">
        <w:t>80,08</w:t>
      </w:r>
      <w:r w:rsidR="00391242" w:rsidRPr="00E94F52">
        <w:t xml:space="preserve">% или </w:t>
      </w:r>
      <w:r w:rsidR="00B12264">
        <w:t>1.091.356,37</w:t>
      </w:r>
      <w:r w:rsidR="00391242">
        <w:t xml:space="preserve"> КМ. </w:t>
      </w:r>
      <w:r w:rsidR="003864F6">
        <w:t xml:space="preserve">На високо остварење трансфера у посматраном периоду </w:t>
      </w:r>
      <w:r w:rsidR="00B12264">
        <w:t>највише је утицао</w:t>
      </w:r>
      <w:r w:rsidR="00C93FC2">
        <w:t xml:space="preserve"> трансфер </w:t>
      </w:r>
      <w:r w:rsidR="003B6292">
        <w:t>Фонда солидарности за обнову Републике Српске дозначен у циљу сузбијања посљедица изазваних пандемијом корона вируса у износу од 835.470,00 КМ.</w:t>
      </w:r>
      <w:r w:rsidR="00091AD9">
        <w:rPr>
          <w:lang w:val="sr-Latn-RS"/>
        </w:rPr>
        <w:t xml:space="preserve"> </w:t>
      </w:r>
      <w:r w:rsidR="00391242">
        <w:t xml:space="preserve">За разлику од свих осталих буџетских прихода и примитака (порески и </w:t>
      </w:r>
      <w:proofErr w:type="spellStart"/>
      <w:r w:rsidR="00391242">
        <w:t>непорески</w:t>
      </w:r>
      <w:proofErr w:type="spellEnd"/>
      <w:r w:rsidR="00391242">
        <w:t xml:space="preserve"> приходи, грантови, примици за </w:t>
      </w:r>
      <w:proofErr w:type="spellStart"/>
      <w:r w:rsidR="00391242">
        <w:t>нефинансијску</w:t>
      </w:r>
      <w:proofErr w:type="spellEnd"/>
      <w:r w:rsidR="00391242">
        <w:t xml:space="preserve"> имовину, примици од финансијске имовине и задуживања </w:t>
      </w:r>
      <w:r w:rsidR="00391242">
        <w:lastRenderedPageBreak/>
        <w:t>и остали примици) који се у складу са Правилником о рачуноводств</w:t>
      </w:r>
      <w:r w:rsidR="00B26DEE">
        <w:t xml:space="preserve">у, рачуноводственим политикама и рачуноводственим </w:t>
      </w:r>
      <w:proofErr w:type="spellStart"/>
      <w:r w:rsidR="00B26DEE">
        <w:t>процјенама</w:t>
      </w:r>
      <w:proofErr w:type="spellEnd"/>
      <w:r w:rsidR="00B26DEE">
        <w:t xml:space="preserve"> за буџетске кориснике</w:t>
      </w:r>
      <w:r w:rsidR="00391242">
        <w:t xml:space="preserve"> признају на готовинском основу, приходи од трансфера признају се на обрачунском основу у моменту стицања права (право може произилазити из закона, уговорног односа, </w:t>
      </w:r>
      <w:proofErr w:type="spellStart"/>
      <w:r w:rsidR="00391242">
        <w:t>рјешења</w:t>
      </w:r>
      <w:proofErr w:type="spellEnd"/>
      <w:r w:rsidR="00391242">
        <w:t xml:space="preserve"> о одобрењу средстава и др.). Остварени трансфери </w:t>
      </w:r>
      <w:r w:rsidR="009F76E2">
        <w:t>током</w:t>
      </w:r>
      <w:r w:rsidR="003B6292">
        <w:t xml:space="preserve"> 2020. године</w:t>
      </w:r>
      <w:r w:rsidR="00091AD9">
        <w:rPr>
          <w:lang w:val="sr-Latn-RS"/>
        </w:rPr>
        <w:t xml:space="preserve"> </w:t>
      </w:r>
      <w:r w:rsidR="00391242" w:rsidRPr="00E94F52">
        <w:t xml:space="preserve">односе </w:t>
      </w:r>
      <w:r w:rsidR="00391242">
        <w:t xml:space="preserve">се </w:t>
      </w:r>
      <w:r w:rsidR="00391242" w:rsidRPr="00E94F52">
        <w:t>на:</w:t>
      </w:r>
    </w:p>
    <w:p w14:paraId="5FDE31FA" w14:textId="77777777" w:rsidR="00285986" w:rsidRDefault="00285986" w:rsidP="009F5F18">
      <w:pPr>
        <w:ind w:left="0" w:right="-835" w:firstLine="0"/>
      </w:pPr>
    </w:p>
    <w:p w14:paraId="6A301CD5" w14:textId="77777777" w:rsidR="00285986" w:rsidRPr="00285986" w:rsidRDefault="007C7694" w:rsidP="009810AB">
      <w:pPr>
        <w:pStyle w:val="Pasussalistom"/>
        <w:numPr>
          <w:ilvl w:val="0"/>
          <w:numId w:val="11"/>
        </w:numPr>
        <w:ind w:left="714" w:right="-833" w:hanging="357"/>
        <w:rPr>
          <w:iCs/>
        </w:rPr>
      </w:pPr>
      <w:r w:rsidRPr="00285986">
        <w:rPr>
          <w:iCs/>
        </w:rPr>
        <w:t xml:space="preserve">средства из буџета Републике Српске за </w:t>
      </w:r>
      <w:r w:rsidR="00E03149" w:rsidRPr="00285986">
        <w:rPr>
          <w:iCs/>
        </w:rPr>
        <w:t>финансирање права из Закона о социјалној заштити (</w:t>
      </w:r>
      <w:r w:rsidR="003B6292">
        <w:rPr>
          <w:iCs/>
        </w:rPr>
        <w:t xml:space="preserve">права која се у складу са Законом </w:t>
      </w:r>
      <w:r w:rsidR="003E7990" w:rsidRPr="00285986">
        <w:rPr>
          <w:iCs/>
        </w:rPr>
        <w:t>финансира</w:t>
      </w:r>
      <w:r w:rsidR="003B6292">
        <w:rPr>
          <w:iCs/>
        </w:rPr>
        <w:t>ју</w:t>
      </w:r>
      <w:r w:rsidR="00792824">
        <w:rPr>
          <w:iCs/>
          <w:lang w:val="sr-Latn-RS"/>
        </w:rPr>
        <w:t xml:space="preserve"> </w:t>
      </w:r>
      <w:r w:rsidR="003B6292">
        <w:rPr>
          <w:iCs/>
        </w:rPr>
        <w:t xml:space="preserve">у </w:t>
      </w:r>
      <w:proofErr w:type="spellStart"/>
      <w:r w:rsidR="003B6292">
        <w:rPr>
          <w:iCs/>
        </w:rPr>
        <w:t>омјеру</w:t>
      </w:r>
      <w:proofErr w:type="spellEnd"/>
      <w:r w:rsidR="003B6292">
        <w:rPr>
          <w:iCs/>
        </w:rPr>
        <w:t xml:space="preserve"> 50:50 из буџета Републике и буџета општине</w:t>
      </w:r>
      <w:r w:rsidR="003E7990" w:rsidRPr="00285986">
        <w:rPr>
          <w:iCs/>
        </w:rPr>
        <w:t>)</w:t>
      </w:r>
      <w:r w:rsidR="00E03149" w:rsidRPr="00285986">
        <w:rPr>
          <w:iCs/>
        </w:rPr>
        <w:t xml:space="preserve">, </w:t>
      </w:r>
      <w:r w:rsidRPr="00285986">
        <w:rPr>
          <w:iCs/>
        </w:rPr>
        <w:t xml:space="preserve">која су остварена </w:t>
      </w:r>
      <w:r w:rsidR="0048393E" w:rsidRPr="00285986">
        <w:rPr>
          <w:iCs/>
        </w:rPr>
        <w:t xml:space="preserve">у износу од </w:t>
      </w:r>
      <w:r w:rsidR="009D7E67">
        <w:rPr>
          <w:iCs/>
        </w:rPr>
        <w:t>965.255,29</w:t>
      </w:r>
      <w:r w:rsidR="0048393E" w:rsidRPr="00285986">
        <w:rPr>
          <w:iCs/>
        </w:rPr>
        <w:t xml:space="preserve"> КМ или </w:t>
      </w:r>
      <w:r w:rsidR="009D7E67">
        <w:rPr>
          <w:iCs/>
        </w:rPr>
        <w:t>98,80</w:t>
      </w:r>
      <w:r w:rsidR="00BB113C" w:rsidRPr="00285986">
        <w:rPr>
          <w:iCs/>
        </w:rPr>
        <w:t xml:space="preserve">% у односу на план, </w:t>
      </w:r>
    </w:p>
    <w:p w14:paraId="52CF0F7D" w14:textId="77777777" w:rsidR="00285986" w:rsidRPr="001F623B" w:rsidRDefault="007C7694" w:rsidP="00285986">
      <w:pPr>
        <w:pStyle w:val="Pasussalistom"/>
        <w:numPr>
          <w:ilvl w:val="0"/>
          <w:numId w:val="11"/>
        </w:numPr>
        <w:ind w:right="-835"/>
        <w:rPr>
          <w:iCs/>
        </w:rPr>
      </w:pPr>
      <w:r w:rsidRPr="00285986">
        <w:rPr>
          <w:iCs/>
        </w:rPr>
        <w:t xml:space="preserve">средства од Министарства здравља и социјалне заштите </w:t>
      </w:r>
      <w:r w:rsidR="00457025">
        <w:rPr>
          <w:iCs/>
        </w:rPr>
        <w:t xml:space="preserve">РС </w:t>
      </w:r>
      <w:r w:rsidRPr="00285986">
        <w:rPr>
          <w:iCs/>
        </w:rPr>
        <w:t xml:space="preserve">Центру за социјални рад </w:t>
      </w:r>
      <w:r w:rsidR="003E7990" w:rsidRPr="00285986">
        <w:rPr>
          <w:iCs/>
        </w:rPr>
        <w:t>за финансирање права</w:t>
      </w:r>
      <w:r w:rsidRPr="00285986">
        <w:rPr>
          <w:iCs/>
        </w:rPr>
        <w:t xml:space="preserve"> на подршку у изједначавању могућности </w:t>
      </w:r>
      <w:proofErr w:type="spellStart"/>
      <w:r w:rsidRPr="00285986">
        <w:rPr>
          <w:iCs/>
        </w:rPr>
        <w:t>дјеце</w:t>
      </w:r>
      <w:proofErr w:type="spellEnd"/>
      <w:r w:rsidRPr="00285986">
        <w:rPr>
          <w:iCs/>
        </w:rPr>
        <w:t xml:space="preserve"> и омладине са сметњама у развоју, која су остварена </w:t>
      </w:r>
      <w:r w:rsidR="0048393E" w:rsidRPr="00285986">
        <w:rPr>
          <w:iCs/>
        </w:rPr>
        <w:t xml:space="preserve">у износу од </w:t>
      </w:r>
      <w:r w:rsidR="009D7E67">
        <w:rPr>
          <w:iCs/>
        </w:rPr>
        <w:t>10.665,26</w:t>
      </w:r>
      <w:r w:rsidR="0048393E" w:rsidRPr="00285986">
        <w:rPr>
          <w:iCs/>
        </w:rPr>
        <w:t xml:space="preserve"> КМ или </w:t>
      </w:r>
      <w:r w:rsidR="009D7E67">
        <w:rPr>
          <w:iCs/>
        </w:rPr>
        <w:t>76,18</w:t>
      </w:r>
      <w:r w:rsidR="00BB113C" w:rsidRPr="00285986">
        <w:rPr>
          <w:iCs/>
        </w:rPr>
        <w:t xml:space="preserve">% у односу на годишњи план, </w:t>
      </w:r>
    </w:p>
    <w:p w14:paraId="6C920EC4" w14:textId="77777777" w:rsidR="001F623B" w:rsidRPr="00457025" w:rsidRDefault="001F623B" w:rsidP="00285986">
      <w:pPr>
        <w:pStyle w:val="Pasussalistom"/>
        <w:numPr>
          <w:ilvl w:val="0"/>
          <w:numId w:val="11"/>
        </w:numPr>
        <w:ind w:right="-835"/>
        <w:rPr>
          <w:iCs/>
        </w:rPr>
      </w:pPr>
      <w:r>
        <w:rPr>
          <w:iCs/>
        </w:rPr>
        <w:t xml:space="preserve">трансфер Министарства </w:t>
      </w:r>
      <w:proofErr w:type="spellStart"/>
      <w:r>
        <w:rPr>
          <w:iCs/>
        </w:rPr>
        <w:t>просвјете</w:t>
      </w:r>
      <w:proofErr w:type="spellEnd"/>
      <w:r>
        <w:rPr>
          <w:iCs/>
        </w:rPr>
        <w:t xml:space="preserve"> и културе РС Дјечијем вртићу „Наша радост“ за програм припреме </w:t>
      </w:r>
      <w:proofErr w:type="spellStart"/>
      <w:r>
        <w:rPr>
          <w:iCs/>
        </w:rPr>
        <w:t>дјеце</w:t>
      </w:r>
      <w:proofErr w:type="spellEnd"/>
      <w:r>
        <w:rPr>
          <w:iCs/>
        </w:rPr>
        <w:t xml:space="preserve"> за полазак у школу у износу од 2.535,99 КМ, што је </w:t>
      </w:r>
      <w:r w:rsidR="009D7E67">
        <w:rPr>
          <w:iCs/>
        </w:rPr>
        <w:t>100</w:t>
      </w:r>
      <w:r>
        <w:rPr>
          <w:iCs/>
        </w:rPr>
        <w:t xml:space="preserve">% од планираних средстава. Програм припреме </w:t>
      </w:r>
      <w:proofErr w:type="spellStart"/>
      <w:r>
        <w:rPr>
          <w:iCs/>
        </w:rPr>
        <w:t>дјеце</w:t>
      </w:r>
      <w:proofErr w:type="spellEnd"/>
      <w:r>
        <w:rPr>
          <w:iCs/>
        </w:rPr>
        <w:t xml:space="preserve"> за полазак у школи је у </w:t>
      </w:r>
      <w:r w:rsidR="00792824">
        <w:rPr>
          <w:iCs/>
          <w:lang w:val="sr-Latn-RS"/>
        </w:rPr>
        <w:t>2020.</w:t>
      </w:r>
      <w:r>
        <w:rPr>
          <w:iCs/>
        </w:rPr>
        <w:t xml:space="preserve"> години реализован у мањем обиму у односу на </w:t>
      </w:r>
      <w:r w:rsidR="009D7E67">
        <w:rPr>
          <w:iCs/>
        </w:rPr>
        <w:t>претходне године</w:t>
      </w:r>
      <w:r>
        <w:rPr>
          <w:iCs/>
        </w:rPr>
        <w:t xml:space="preserve"> због ситуа</w:t>
      </w:r>
      <w:r w:rsidR="00792824">
        <w:rPr>
          <w:iCs/>
        </w:rPr>
        <w:t>ције изазване вирусом корона,</w:t>
      </w:r>
    </w:p>
    <w:p w14:paraId="3A4D65AC" w14:textId="77777777" w:rsidR="00457025" w:rsidRDefault="00457025" w:rsidP="00457025">
      <w:pPr>
        <w:pStyle w:val="Pasussalistom"/>
        <w:numPr>
          <w:ilvl w:val="0"/>
          <w:numId w:val="11"/>
        </w:numPr>
        <w:ind w:right="-835"/>
        <w:rPr>
          <w:iCs/>
        </w:rPr>
      </w:pPr>
      <w:r>
        <w:rPr>
          <w:iCs/>
        </w:rPr>
        <w:t xml:space="preserve">трансфер Министарства здравља и социјалне заштите РС Центру за социјални рад за исплату накнада за личну инвалиднину </w:t>
      </w:r>
      <w:r w:rsidR="00AE72D3">
        <w:rPr>
          <w:iCs/>
        </w:rPr>
        <w:t xml:space="preserve">у </w:t>
      </w:r>
      <w:r>
        <w:rPr>
          <w:iCs/>
        </w:rPr>
        <w:t>износ</w:t>
      </w:r>
      <w:r w:rsidR="00AE72D3">
        <w:rPr>
          <w:iCs/>
        </w:rPr>
        <w:t>у</w:t>
      </w:r>
      <w:r>
        <w:rPr>
          <w:iCs/>
        </w:rPr>
        <w:t xml:space="preserve"> од </w:t>
      </w:r>
      <w:r w:rsidR="009D7E67">
        <w:rPr>
          <w:iCs/>
        </w:rPr>
        <w:t>332.895,66</w:t>
      </w:r>
      <w:r w:rsidR="00AE72D3">
        <w:rPr>
          <w:iCs/>
        </w:rPr>
        <w:t xml:space="preserve"> КМ, што је </w:t>
      </w:r>
      <w:r w:rsidR="009D7E67">
        <w:rPr>
          <w:iCs/>
        </w:rPr>
        <w:t>98,78</w:t>
      </w:r>
      <w:r w:rsidR="00AE72D3">
        <w:rPr>
          <w:iCs/>
        </w:rPr>
        <w:t>% од планираних средстава.</w:t>
      </w:r>
      <w:r w:rsidR="00792824">
        <w:rPr>
          <w:iCs/>
          <w:lang w:val="sr-Latn-RS"/>
        </w:rPr>
        <w:t xml:space="preserve"> </w:t>
      </w:r>
      <w:r w:rsidR="00D64D76">
        <w:rPr>
          <w:iCs/>
        </w:rPr>
        <w:t>Исплате</w:t>
      </w:r>
      <w:r w:rsidR="00554692">
        <w:rPr>
          <w:iCs/>
        </w:rPr>
        <w:t xml:space="preserve"> н</w:t>
      </w:r>
      <w:r>
        <w:rPr>
          <w:iCs/>
        </w:rPr>
        <w:t>акнада за личну инвалиднину</w:t>
      </w:r>
      <w:r w:rsidR="00A64059">
        <w:rPr>
          <w:iCs/>
        </w:rPr>
        <w:t>,</w:t>
      </w:r>
      <w:r w:rsidR="00792824">
        <w:rPr>
          <w:iCs/>
          <w:lang w:val="sr-Latn-RS"/>
        </w:rPr>
        <w:t xml:space="preserve"> </w:t>
      </w:r>
      <w:r w:rsidR="00A64059">
        <w:rPr>
          <w:iCs/>
        </w:rPr>
        <w:t xml:space="preserve">као новчаних помоћи </w:t>
      </w:r>
      <w:r w:rsidR="00A64059" w:rsidRPr="00FF7418">
        <w:rPr>
          <w:bCs/>
          <w:iCs/>
        </w:rPr>
        <w:t xml:space="preserve">лицима са инвалидитетом која нису </w:t>
      </w:r>
      <w:proofErr w:type="spellStart"/>
      <w:r w:rsidR="00A64059" w:rsidRPr="00FF7418">
        <w:rPr>
          <w:bCs/>
          <w:iCs/>
        </w:rPr>
        <w:t>смјештена</w:t>
      </w:r>
      <w:proofErr w:type="spellEnd"/>
      <w:r w:rsidR="00A64059" w:rsidRPr="00FF7418">
        <w:rPr>
          <w:bCs/>
          <w:iCs/>
        </w:rPr>
        <w:t xml:space="preserve"> у установу социјалне заштите</w:t>
      </w:r>
      <w:r w:rsidR="00A64059">
        <w:rPr>
          <w:bCs/>
          <w:iCs/>
        </w:rPr>
        <w:t>,</w:t>
      </w:r>
      <w:r w:rsidR="00A64059">
        <w:rPr>
          <w:iCs/>
        </w:rPr>
        <w:t xml:space="preserve"> т</w:t>
      </w:r>
      <w:r w:rsidR="00D64D76">
        <w:rPr>
          <w:iCs/>
        </w:rPr>
        <w:t>оком 2018. и 2019. године вршене</w:t>
      </w:r>
      <w:r w:rsidR="00792824">
        <w:rPr>
          <w:iCs/>
          <w:lang w:val="sr-Latn-RS"/>
        </w:rPr>
        <w:t xml:space="preserve"> </w:t>
      </w:r>
      <w:r w:rsidR="00D64D76">
        <w:rPr>
          <w:iCs/>
        </w:rPr>
        <w:t>су</w:t>
      </w:r>
      <w:r w:rsidR="00A64059">
        <w:rPr>
          <w:iCs/>
        </w:rPr>
        <w:t xml:space="preserve"> на основу одлука Владе Републике Српске</w:t>
      </w:r>
      <w:r w:rsidR="00905E22">
        <w:rPr>
          <w:iCs/>
        </w:rPr>
        <w:t xml:space="preserve">, док је усвојеним </w:t>
      </w:r>
      <w:proofErr w:type="spellStart"/>
      <w:r w:rsidR="00905E22">
        <w:rPr>
          <w:iCs/>
        </w:rPr>
        <w:t>измјенама</w:t>
      </w:r>
      <w:proofErr w:type="spellEnd"/>
      <w:r w:rsidR="00905E22">
        <w:rPr>
          <w:iCs/>
        </w:rPr>
        <w:t xml:space="preserve"> и допунама З</w:t>
      </w:r>
      <w:r w:rsidR="00A64059">
        <w:rPr>
          <w:iCs/>
        </w:rPr>
        <w:t xml:space="preserve">акона о социјалној заштити ово право уређено законом, и од 01.01.2020. године исплаћују се у складу </w:t>
      </w:r>
      <w:r w:rsidR="00E910C9">
        <w:rPr>
          <w:iCs/>
        </w:rPr>
        <w:t xml:space="preserve">са Законом о социјалној заштити. Остварење средстава за исплату личних инвалиднина је за </w:t>
      </w:r>
      <w:r w:rsidR="009D7E67">
        <w:rPr>
          <w:iCs/>
        </w:rPr>
        <w:t>51,32</w:t>
      </w:r>
      <w:r w:rsidR="00E910C9">
        <w:rPr>
          <w:iCs/>
        </w:rPr>
        <w:t xml:space="preserve">% или </w:t>
      </w:r>
      <w:r w:rsidR="009D7E67">
        <w:rPr>
          <w:iCs/>
        </w:rPr>
        <w:t>112.895,66</w:t>
      </w:r>
      <w:r w:rsidR="00E910C9">
        <w:rPr>
          <w:iCs/>
        </w:rPr>
        <w:t xml:space="preserve"> КМ веће у односу на </w:t>
      </w:r>
      <w:r w:rsidR="009D7E67">
        <w:rPr>
          <w:iCs/>
        </w:rPr>
        <w:t>2019.</w:t>
      </w:r>
      <w:r w:rsidR="00792824">
        <w:rPr>
          <w:iCs/>
          <w:lang w:val="sr-Latn-RS"/>
        </w:rPr>
        <w:t xml:space="preserve"> </w:t>
      </w:r>
      <w:r w:rsidR="009D7E67">
        <w:rPr>
          <w:iCs/>
        </w:rPr>
        <w:t>годину</w:t>
      </w:r>
      <w:r w:rsidR="00E910C9">
        <w:rPr>
          <w:iCs/>
        </w:rPr>
        <w:t>, јер су Законом утврђени већи износи инвалиднина и већи обим права у односу на одлуке Владе РС</w:t>
      </w:r>
      <w:r w:rsidR="00D64D76">
        <w:rPr>
          <w:iCs/>
        </w:rPr>
        <w:t xml:space="preserve"> из претходне </w:t>
      </w:r>
      <w:proofErr w:type="spellStart"/>
      <w:r w:rsidR="00D64D76">
        <w:rPr>
          <w:iCs/>
        </w:rPr>
        <w:t>двије</w:t>
      </w:r>
      <w:proofErr w:type="spellEnd"/>
      <w:r w:rsidR="00D64D76">
        <w:rPr>
          <w:iCs/>
        </w:rPr>
        <w:t xml:space="preserve"> године</w:t>
      </w:r>
      <w:r w:rsidR="00E910C9">
        <w:rPr>
          <w:iCs/>
        </w:rPr>
        <w:t>,</w:t>
      </w:r>
    </w:p>
    <w:p w14:paraId="464243B0" w14:textId="77777777" w:rsidR="00516066" w:rsidRDefault="00516066" w:rsidP="00516066">
      <w:pPr>
        <w:pStyle w:val="Pasussalistom"/>
        <w:numPr>
          <w:ilvl w:val="0"/>
          <w:numId w:val="11"/>
        </w:numPr>
        <w:ind w:right="-835"/>
        <w:rPr>
          <w:iCs/>
        </w:rPr>
      </w:pPr>
      <w:r>
        <w:rPr>
          <w:iCs/>
        </w:rPr>
        <w:t>т</w:t>
      </w:r>
      <w:r w:rsidRPr="00516066">
        <w:rPr>
          <w:iCs/>
        </w:rPr>
        <w:t>рансфер Министарства за европске интеграције и међународну сарадњу за реализацију УНДП пројекта "Зелени економски развој II"</w:t>
      </w:r>
      <w:r>
        <w:rPr>
          <w:iCs/>
        </w:rPr>
        <w:t xml:space="preserve"> у износу од 210.000,00 КМ. </w:t>
      </w:r>
      <w:r w:rsidR="00792824">
        <w:rPr>
          <w:iCs/>
          <w:lang w:val="sr-Cyrl-RS"/>
        </w:rPr>
        <w:t xml:space="preserve">Средства су одобрена али </w:t>
      </w:r>
      <w:r w:rsidR="00F40143">
        <w:rPr>
          <w:iCs/>
        </w:rPr>
        <w:t xml:space="preserve">нису дозначена до краја 2020. године, а </w:t>
      </w:r>
      <w:r w:rsidR="00792824">
        <w:rPr>
          <w:iCs/>
          <w:lang w:val="sr-Cyrl-RS"/>
        </w:rPr>
        <w:t>сврха средстава је</w:t>
      </w:r>
      <w:r w:rsidR="00F40143">
        <w:rPr>
          <w:iCs/>
        </w:rPr>
        <w:t xml:space="preserve"> учешће општине Прњавор у финансирању пројекта „Зелени економски развој II“, у складу са потписаним Споразумом о финансирању између УНДП-а и општине Прњавор, у складу са којим је општина Прњавор за пројектну активност „Повећање енергетске ефикасности у јавној </w:t>
      </w:r>
      <w:proofErr w:type="spellStart"/>
      <w:r w:rsidR="00F40143">
        <w:rPr>
          <w:iCs/>
        </w:rPr>
        <w:t>расвјети</w:t>
      </w:r>
      <w:proofErr w:type="spellEnd"/>
      <w:r w:rsidR="00F40143">
        <w:rPr>
          <w:iCs/>
        </w:rPr>
        <w:t xml:space="preserve"> у општини Прњавор“ дужна да </w:t>
      </w:r>
      <w:proofErr w:type="spellStart"/>
      <w:r w:rsidR="00F40143">
        <w:rPr>
          <w:iCs/>
        </w:rPr>
        <w:t>обезбиједи</w:t>
      </w:r>
      <w:proofErr w:type="spellEnd"/>
      <w:r w:rsidR="00F40143">
        <w:rPr>
          <w:iCs/>
        </w:rPr>
        <w:t xml:space="preserve"> 210.</w:t>
      </w:r>
      <w:r w:rsidR="00CA2C2E">
        <w:rPr>
          <w:iCs/>
        </w:rPr>
        <w:t>527</w:t>
      </w:r>
      <w:r w:rsidR="00F40143">
        <w:rPr>
          <w:iCs/>
        </w:rPr>
        <w:t>,00 КМ</w:t>
      </w:r>
      <w:r w:rsidR="00CA2C2E">
        <w:rPr>
          <w:iCs/>
        </w:rPr>
        <w:t xml:space="preserve">, док ће учешће УНДП-а износити 200.000,00 КМ. Реализацијом пројекта доћи ће до </w:t>
      </w:r>
      <w:proofErr w:type="spellStart"/>
      <w:r w:rsidR="00CA2C2E">
        <w:rPr>
          <w:iCs/>
        </w:rPr>
        <w:t>замјене</w:t>
      </w:r>
      <w:proofErr w:type="spellEnd"/>
      <w:r w:rsidR="00CA2C2E">
        <w:rPr>
          <w:iCs/>
        </w:rPr>
        <w:t xml:space="preserve"> постојећих </w:t>
      </w:r>
      <w:proofErr w:type="spellStart"/>
      <w:r w:rsidR="00CA2C2E">
        <w:rPr>
          <w:iCs/>
        </w:rPr>
        <w:t>расвјетних</w:t>
      </w:r>
      <w:proofErr w:type="spellEnd"/>
      <w:r w:rsidR="00CA2C2E">
        <w:rPr>
          <w:iCs/>
        </w:rPr>
        <w:t xml:space="preserve"> </w:t>
      </w:r>
      <w:proofErr w:type="spellStart"/>
      <w:r w:rsidR="00CA2C2E">
        <w:rPr>
          <w:iCs/>
        </w:rPr>
        <w:t>тијела</w:t>
      </w:r>
      <w:proofErr w:type="spellEnd"/>
      <w:r w:rsidR="00CA2C2E">
        <w:rPr>
          <w:iCs/>
        </w:rPr>
        <w:t xml:space="preserve"> у јавној </w:t>
      </w:r>
      <w:proofErr w:type="spellStart"/>
      <w:r w:rsidR="00CA2C2E">
        <w:rPr>
          <w:iCs/>
        </w:rPr>
        <w:t>расвјети</w:t>
      </w:r>
      <w:proofErr w:type="spellEnd"/>
      <w:r w:rsidR="00CA2C2E">
        <w:rPr>
          <w:iCs/>
        </w:rPr>
        <w:t xml:space="preserve"> у општини Прњавор ЛЕД </w:t>
      </w:r>
      <w:proofErr w:type="spellStart"/>
      <w:r w:rsidR="00CA2C2E">
        <w:rPr>
          <w:iCs/>
        </w:rPr>
        <w:t>ра</w:t>
      </w:r>
      <w:r w:rsidR="0095513D">
        <w:rPr>
          <w:iCs/>
        </w:rPr>
        <w:t>свјетом</w:t>
      </w:r>
      <w:proofErr w:type="spellEnd"/>
      <w:r w:rsidR="0095513D">
        <w:rPr>
          <w:iCs/>
        </w:rPr>
        <w:t>,</w:t>
      </w:r>
    </w:p>
    <w:p w14:paraId="772B865C" w14:textId="77777777" w:rsidR="00976316" w:rsidRPr="00976316" w:rsidRDefault="00976316" w:rsidP="00976316">
      <w:pPr>
        <w:pStyle w:val="Pasussalistom"/>
        <w:numPr>
          <w:ilvl w:val="0"/>
          <w:numId w:val="11"/>
        </w:numPr>
        <w:ind w:right="-835"/>
        <w:rPr>
          <w:iCs/>
        </w:rPr>
      </w:pPr>
      <w:r>
        <w:rPr>
          <w:iCs/>
        </w:rPr>
        <w:t>трансфер</w:t>
      </w:r>
      <w:r>
        <w:rPr>
          <w:iCs/>
          <w:lang w:val="sr-Latn-RS"/>
        </w:rPr>
        <w:t xml:space="preserve"> </w:t>
      </w:r>
      <w:r>
        <w:rPr>
          <w:iCs/>
        </w:rPr>
        <w:t xml:space="preserve">Фонда солидарности за обнову Републике Српске за сузбијање посљедица изазваних пандемијом корона вируса у износу од 835.470,00 КМ. Фонд солидарности за обнову РС </w:t>
      </w:r>
      <w:proofErr w:type="spellStart"/>
      <w:r>
        <w:rPr>
          <w:iCs/>
        </w:rPr>
        <w:t>расподијелио</w:t>
      </w:r>
      <w:proofErr w:type="spellEnd"/>
      <w:r>
        <w:rPr>
          <w:iCs/>
        </w:rPr>
        <w:t xml:space="preserve"> је 30 </w:t>
      </w:r>
      <w:proofErr w:type="spellStart"/>
      <w:r>
        <w:rPr>
          <w:iCs/>
        </w:rPr>
        <w:t>мил</w:t>
      </w:r>
      <w:proofErr w:type="spellEnd"/>
      <w:r>
        <w:rPr>
          <w:iCs/>
        </w:rPr>
        <w:t>. КМ општинама и градовима у Републици Српској</w:t>
      </w:r>
      <w:r w:rsidR="007A0BFD">
        <w:rPr>
          <w:iCs/>
          <w:lang w:val="sr-Cyrl-RS"/>
        </w:rPr>
        <w:t xml:space="preserve"> </w:t>
      </w:r>
      <w:r>
        <w:rPr>
          <w:iCs/>
        </w:rPr>
        <w:t>као подршку буџетима локалних заједница због мањег остварења прихода које је проузроковала појава вируса корона,</w:t>
      </w:r>
    </w:p>
    <w:p w14:paraId="5BCE65F1" w14:textId="77777777" w:rsidR="0095513D" w:rsidRDefault="0095513D" w:rsidP="0095513D">
      <w:pPr>
        <w:pStyle w:val="Pasussalistom"/>
        <w:numPr>
          <w:ilvl w:val="0"/>
          <w:numId w:val="11"/>
        </w:numPr>
        <w:ind w:right="-835"/>
        <w:rPr>
          <w:iCs/>
        </w:rPr>
      </w:pPr>
      <w:r>
        <w:rPr>
          <w:iCs/>
        </w:rPr>
        <w:t>т</w:t>
      </w:r>
      <w:r w:rsidRPr="0095513D">
        <w:rPr>
          <w:iCs/>
        </w:rPr>
        <w:t xml:space="preserve">рансфер Републичког </w:t>
      </w:r>
      <w:proofErr w:type="spellStart"/>
      <w:r w:rsidRPr="0095513D">
        <w:rPr>
          <w:iCs/>
        </w:rPr>
        <w:t>секретеријата</w:t>
      </w:r>
      <w:proofErr w:type="spellEnd"/>
      <w:r w:rsidRPr="0095513D">
        <w:rPr>
          <w:iCs/>
        </w:rPr>
        <w:t xml:space="preserve"> за расељена лица и миграције за реконструкцију локалног пута у МЗ </w:t>
      </w:r>
      <w:proofErr w:type="spellStart"/>
      <w:r w:rsidRPr="0095513D">
        <w:rPr>
          <w:iCs/>
        </w:rPr>
        <w:t>Коњуховци</w:t>
      </w:r>
      <w:proofErr w:type="spellEnd"/>
      <w:r>
        <w:rPr>
          <w:iCs/>
        </w:rPr>
        <w:t xml:space="preserve"> у износу од 68.000,00 КМ. Уговор </w:t>
      </w:r>
      <w:proofErr w:type="spellStart"/>
      <w:r>
        <w:rPr>
          <w:iCs/>
        </w:rPr>
        <w:t>имеђу</w:t>
      </w:r>
      <w:proofErr w:type="spellEnd"/>
      <w:r>
        <w:rPr>
          <w:iCs/>
        </w:rPr>
        <w:t xml:space="preserve"> Републичког </w:t>
      </w:r>
      <w:proofErr w:type="spellStart"/>
      <w:r>
        <w:rPr>
          <w:iCs/>
        </w:rPr>
        <w:t>секретеријата</w:t>
      </w:r>
      <w:proofErr w:type="spellEnd"/>
      <w:r>
        <w:rPr>
          <w:iCs/>
        </w:rPr>
        <w:t xml:space="preserve"> за расељена лица и миграције потписан је 31.12.2020. године, и средства нису дозначена до краја 2020. године,</w:t>
      </w:r>
    </w:p>
    <w:p w14:paraId="1829A565" w14:textId="77777777" w:rsidR="0095513D" w:rsidRPr="00457025" w:rsidRDefault="0095513D" w:rsidP="0095513D">
      <w:pPr>
        <w:pStyle w:val="Pasussalistom"/>
        <w:numPr>
          <w:ilvl w:val="0"/>
          <w:numId w:val="11"/>
        </w:numPr>
        <w:ind w:right="-835"/>
        <w:rPr>
          <w:iCs/>
        </w:rPr>
      </w:pPr>
      <w:r>
        <w:rPr>
          <w:iCs/>
        </w:rPr>
        <w:t>т</w:t>
      </w:r>
      <w:r w:rsidRPr="0095513D">
        <w:rPr>
          <w:iCs/>
        </w:rPr>
        <w:t>рансфер Министарства за просторно уређење, грађевинарство и екологију на име суфинансирања израде докумената просторног уређења</w:t>
      </w:r>
      <w:r>
        <w:rPr>
          <w:iCs/>
        </w:rPr>
        <w:t xml:space="preserve"> у износу од 10.000,00 КМ. Одлука </w:t>
      </w:r>
      <w:r>
        <w:rPr>
          <w:iCs/>
        </w:rPr>
        <w:lastRenderedPageBreak/>
        <w:t xml:space="preserve">о одобравању уплате средстава донесена је у јануару 2021. године, али будући да ће се средства дозначити на терет буџета </w:t>
      </w:r>
      <w:r w:rsidR="008F6C23">
        <w:rPr>
          <w:iCs/>
        </w:rPr>
        <w:t>2020. године</w:t>
      </w:r>
      <w:r>
        <w:rPr>
          <w:iCs/>
        </w:rPr>
        <w:t>, одобрена средства су књижена као трансфер у 2020. години, а до реализације ће доћи у 2021. години,</w:t>
      </w:r>
    </w:p>
    <w:p w14:paraId="10BADB2D" w14:textId="77777777" w:rsidR="00484B67" w:rsidRPr="00DA568F" w:rsidRDefault="00484B67" w:rsidP="00484B67">
      <w:pPr>
        <w:pStyle w:val="Pasussalistom"/>
        <w:numPr>
          <w:ilvl w:val="0"/>
          <w:numId w:val="11"/>
        </w:numPr>
        <w:ind w:right="-835"/>
        <w:rPr>
          <w:iCs/>
        </w:rPr>
      </w:pPr>
      <w:r>
        <w:rPr>
          <w:iCs/>
        </w:rPr>
        <w:t>т</w:t>
      </w:r>
      <w:r w:rsidRPr="00484B67">
        <w:rPr>
          <w:iCs/>
        </w:rPr>
        <w:t xml:space="preserve">рансфер </w:t>
      </w:r>
      <w:r w:rsidR="00A05A35">
        <w:rPr>
          <w:iCs/>
        </w:rPr>
        <w:t>Фонда солидарности за обнову Републике Српске за исплату накнаде комуналним поли</w:t>
      </w:r>
      <w:r w:rsidR="00540572">
        <w:rPr>
          <w:iCs/>
        </w:rPr>
        <w:t>цајцима у износу од 6.000,00 КМ. Ова средства су дозначена за исплату једнократне новчане помоћи комуналним полицајцима који су радили у посебно отежаним условима рада у периоду од 15.03. до 15.04.2020. године</w:t>
      </w:r>
      <w:r w:rsidR="00091AD9">
        <w:rPr>
          <w:iCs/>
          <w:lang w:val="sr-Latn-RS"/>
        </w:rPr>
        <w:t xml:space="preserve"> </w:t>
      </w:r>
      <w:r w:rsidR="00540572">
        <w:rPr>
          <w:iCs/>
        </w:rPr>
        <w:t>проузрокованим појавом вируса корона</w:t>
      </w:r>
      <w:r w:rsidR="00976316">
        <w:rPr>
          <w:iCs/>
        </w:rPr>
        <w:t xml:space="preserve"> и</w:t>
      </w:r>
    </w:p>
    <w:p w14:paraId="6B770BC3" w14:textId="77777777" w:rsidR="00941A2F" w:rsidRDefault="00941A2F" w:rsidP="00941A2F">
      <w:pPr>
        <w:numPr>
          <w:ilvl w:val="0"/>
          <w:numId w:val="11"/>
        </w:numPr>
      </w:pPr>
      <w:r>
        <w:t xml:space="preserve">трансфери по основу записника Пореске управе РС </w:t>
      </w:r>
      <w:r w:rsidRPr="00124A32">
        <w:t xml:space="preserve">о обрачуну и поравнању више и погрешно </w:t>
      </w:r>
      <w:proofErr w:type="spellStart"/>
      <w:r w:rsidRPr="00124A32">
        <w:t>уплаћених</w:t>
      </w:r>
      <w:proofErr w:type="spellEnd"/>
      <w:r w:rsidRPr="00124A32">
        <w:t xml:space="preserve"> јавних прихода</w:t>
      </w:r>
      <w:r w:rsidR="007A0BFD">
        <w:rPr>
          <w:lang w:val="sr-Cyrl-RS"/>
        </w:rPr>
        <w:t xml:space="preserve"> </w:t>
      </w:r>
      <w:r w:rsidR="00712CFF">
        <w:t xml:space="preserve">у </w:t>
      </w:r>
      <w:r>
        <w:t>износ</w:t>
      </w:r>
      <w:r w:rsidR="00712CFF">
        <w:t>у</w:t>
      </w:r>
      <w:r>
        <w:t xml:space="preserve"> од </w:t>
      </w:r>
      <w:r w:rsidR="009F1BC0">
        <w:t>13.</w:t>
      </w:r>
      <w:r w:rsidR="007838AA">
        <w:t>419,30</w:t>
      </w:r>
      <w:r>
        <w:t xml:space="preserve"> КМ, који се односе на трансфере од ентитета (Буџет РС) износ од </w:t>
      </w:r>
      <w:r w:rsidR="009F1BC0">
        <w:t>8.569,80</w:t>
      </w:r>
      <w:r>
        <w:t xml:space="preserve"> КМ, трансфере од јединица локалне самоуправе износ од </w:t>
      </w:r>
      <w:r w:rsidR="009F1BC0">
        <w:t>4.</w:t>
      </w:r>
      <w:r w:rsidR="007838AA">
        <w:t>708,24</w:t>
      </w:r>
      <w:r>
        <w:t xml:space="preserve"> КМ и трансфере од фондова обавезног социјалног осигурања износ од </w:t>
      </w:r>
      <w:r w:rsidR="002F45A8">
        <w:t>141,26</w:t>
      </w:r>
      <w:r w:rsidR="00976316">
        <w:t xml:space="preserve"> КМ.</w:t>
      </w:r>
    </w:p>
    <w:p w14:paraId="510B1D71" w14:textId="77777777" w:rsidR="003E51B6" w:rsidRPr="00BF6F68" w:rsidRDefault="003E51B6" w:rsidP="003E51B6">
      <w:pPr>
        <w:ind w:left="720" w:firstLine="0"/>
      </w:pPr>
    </w:p>
    <w:p w14:paraId="32755D94" w14:textId="77777777" w:rsidR="009F5F18" w:rsidRPr="00383D4F" w:rsidRDefault="009F5F18" w:rsidP="003E51B6">
      <w:pPr>
        <w:pStyle w:val="Podnaslovi2"/>
        <w:spacing w:before="120"/>
        <w:rPr>
          <w:sz w:val="24"/>
          <w:szCs w:val="24"/>
        </w:rPr>
      </w:pPr>
      <w:r w:rsidRPr="00383D4F">
        <w:rPr>
          <w:sz w:val="24"/>
          <w:szCs w:val="24"/>
        </w:rPr>
        <w:tab/>
      </w:r>
      <w:bookmarkStart w:id="30" w:name="_Toc530745871"/>
      <w:bookmarkStart w:id="31" w:name="_Toc50641191"/>
      <w:r w:rsidR="00234009">
        <w:rPr>
          <w:sz w:val="24"/>
          <w:szCs w:val="24"/>
        </w:rPr>
        <w:t>Д</w:t>
      </w:r>
      <w:r w:rsidR="00C217A9" w:rsidRPr="00383D4F">
        <w:rPr>
          <w:sz w:val="24"/>
          <w:szCs w:val="24"/>
        </w:rPr>
        <w:t xml:space="preserve">. </w:t>
      </w:r>
      <w:r w:rsidRPr="00383D4F">
        <w:rPr>
          <w:sz w:val="24"/>
          <w:szCs w:val="24"/>
        </w:rPr>
        <w:t xml:space="preserve">Примици за </w:t>
      </w:r>
      <w:proofErr w:type="spellStart"/>
      <w:r w:rsidRPr="00383D4F">
        <w:rPr>
          <w:sz w:val="24"/>
          <w:szCs w:val="24"/>
        </w:rPr>
        <w:t>нефинансијску</w:t>
      </w:r>
      <w:proofErr w:type="spellEnd"/>
      <w:r w:rsidRPr="00383D4F">
        <w:rPr>
          <w:sz w:val="24"/>
          <w:szCs w:val="24"/>
        </w:rPr>
        <w:t xml:space="preserve"> имовину</w:t>
      </w:r>
      <w:bookmarkEnd w:id="30"/>
      <w:bookmarkEnd w:id="31"/>
    </w:p>
    <w:p w14:paraId="5B93D553" w14:textId="77777777" w:rsidR="00420E4C" w:rsidRDefault="00420E4C" w:rsidP="007C7694">
      <w:pPr>
        <w:ind w:left="0" w:right="-835" w:firstLine="0"/>
        <w:rPr>
          <w:bCs/>
        </w:rPr>
      </w:pPr>
    </w:p>
    <w:p w14:paraId="516BB3D5" w14:textId="77777777" w:rsidR="003F74A8" w:rsidRDefault="00420E4C" w:rsidP="00420E4C">
      <w:pPr>
        <w:ind w:left="0" w:right="-835" w:firstLine="720"/>
        <w:rPr>
          <w:bCs/>
        </w:rPr>
      </w:pPr>
      <w:r>
        <w:rPr>
          <w:bCs/>
        </w:rPr>
        <w:t xml:space="preserve">Остварење примитака за </w:t>
      </w:r>
      <w:proofErr w:type="spellStart"/>
      <w:r>
        <w:rPr>
          <w:bCs/>
        </w:rPr>
        <w:t>нефинансијску</w:t>
      </w:r>
      <w:proofErr w:type="spellEnd"/>
      <w:r>
        <w:rPr>
          <w:bCs/>
        </w:rPr>
        <w:t xml:space="preserve"> имовину у пер</w:t>
      </w:r>
      <w:r w:rsidR="003E51B6">
        <w:rPr>
          <w:bCs/>
        </w:rPr>
        <w:t>иоду 01</w:t>
      </w:r>
      <w:r w:rsidR="00900418">
        <w:rPr>
          <w:bCs/>
        </w:rPr>
        <w:t>.01-31.12</w:t>
      </w:r>
      <w:r>
        <w:rPr>
          <w:bCs/>
        </w:rPr>
        <w:t xml:space="preserve">.2020. године износи </w:t>
      </w:r>
      <w:r w:rsidR="00900418">
        <w:rPr>
          <w:bCs/>
        </w:rPr>
        <w:t>140.413,11</w:t>
      </w:r>
      <w:r>
        <w:rPr>
          <w:bCs/>
        </w:rPr>
        <w:t xml:space="preserve"> КМ. Ови примици се односе на примитке од </w:t>
      </w:r>
      <w:r w:rsidR="003E51B6">
        <w:rPr>
          <w:bCs/>
        </w:rPr>
        <w:t xml:space="preserve">продаје возила у износу од   1.010,00 КМ, примитке од </w:t>
      </w:r>
      <w:r>
        <w:rPr>
          <w:bCs/>
        </w:rPr>
        <w:t xml:space="preserve">продаје земљишта у износу од </w:t>
      </w:r>
      <w:r w:rsidR="00900418">
        <w:rPr>
          <w:bCs/>
        </w:rPr>
        <w:t>137.127,81</w:t>
      </w:r>
      <w:r>
        <w:rPr>
          <w:bCs/>
        </w:rPr>
        <w:t xml:space="preserve"> КМ (</w:t>
      </w:r>
      <w:r w:rsidR="00900418">
        <w:rPr>
          <w:bCs/>
        </w:rPr>
        <w:t>8,73</w:t>
      </w:r>
      <w:r>
        <w:rPr>
          <w:bCs/>
        </w:rPr>
        <w:t xml:space="preserve">% у односу на план) и примитке од продаје робе у угоститељском објекту Центра за културу у износу од </w:t>
      </w:r>
      <w:r w:rsidR="00900418">
        <w:rPr>
          <w:bCs/>
        </w:rPr>
        <w:t>2.275,30</w:t>
      </w:r>
      <w:r>
        <w:rPr>
          <w:bCs/>
        </w:rPr>
        <w:t xml:space="preserve"> КМ (</w:t>
      </w:r>
      <w:r w:rsidR="00900418">
        <w:rPr>
          <w:bCs/>
        </w:rPr>
        <w:t>41,37</w:t>
      </w:r>
      <w:r>
        <w:rPr>
          <w:bCs/>
        </w:rPr>
        <w:t>% у односу на план).</w:t>
      </w:r>
    </w:p>
    <w:p w14:paraId="2BDED4B0" w14:textId="77777777" w:rsidR="00AB371B" w:rsidRDefault="00FE23ED" w:rsidP="00420E4C">
      <w:pPr>
        <w:ind w:left="0" w:right="-835" w:firstLine="720"/>
        <w:rPr>
          <w:lang w:val="sr-Cyrl-RS"/>
        </w:rPr>
      </w:pPr>
      <w:r>
        <w:rPr>
          <w:bCs/>
        </w:rPr>
        <w:t xml:space="preserve">Ребалансом буџета </w:t>
      </w:r>
      <w:r w:rsidR="007A0BFD">
        <w:rPr>
          <w:bCs/>
          <w:lang w:val="sr-Cyrl-RS"/>
        </w:rPr>
        <w:t xml:space="preserve">за 2020. годину </w:t>
      </w:r>
      <w:r>
        <w:rPr>
          <w:bCs/>
        </w:rPr>
        <w:t xml:space="preserve">примици од продаје земљишта планирани су у износу од </w:t>
      </w:r>
      <w:r w:rsidR="007A0BFD">
        <w:rPr>
          <w:bCs/>
          <w:lang w:val="sr-Cyrl-RS"/>
        </w:rPr>
        <w:t>1.571.000</w:t>
      </w:r>
      <w:r>
        <w:rPr>
          <w:bCs/>
        </w:rPr>
        <w:t xml:space="preserve">,00 КМ, и највећим </w:t>
      </w:r>
      <w:proofErr w:type="spellStart"/>
      <w:r>
        <w:rPr>
          <w:bCs/>
        </w:rPr>
        <w:t>дијелом</w:t>
      </w:r>
      <w:proofErr w:type="spellEnd"/>
      <w:r>
        <w:rPr>
          <w:bCs/>
        </w:rPr>
        <w:t xml:space="preserve"> </w:t>
      </w:r>
      <w:r>
        <w:t>(1.419.732,00 КМ) се односе на примитке од продаје земљишта на основу Одлуке о начину и условима продаје непокретности (</w:t>
      </w:r>
      <w:proofErr w:type="spellStart"/>
      <w:r>
        <w:t>к.ч</w:t>
      </w:r>
      <w:proofErr w:type="spellEnd"/>
      <w:r>
        <w:t xml:space="preserve">. бр. 429/1, 431/1, 431/2 и 432 </w:t>
      </w:r>
      <w:proofErr w:type="spellStart"/>
      <w:r>
        <w:t>к.о</w:t>
      </w:r>
      <w:proofErr w:type="spellEnd"/>
      <w:r>
        <w:t xml:space="preserve">. Горњи </w:t>
      </w:r>
      <w:proofErr w:type="spellStart"/>
      <w:r>
        <w:t>Штрпци</w:t>
      </w:r>
      <w:proofErr w:type="spellEnd"/>
      <w:r>
        <w:t>) у својини општине Прњавор („Службени гласник општине Прњавор“, број 36/20). Ови примици су планирани ребалансом буџета за 2020. годину, јер је на основу резултата расписаног огласа о лицитацији донесена и Одлука о продаји непокретности (</w:t>
      </w:r>
      <w:proofErr w:type="spellStart"/>
      <w:r>
        <w:t>к.ч</w:t>
      </w:r>
      <w:proofErr w:type="spellEnd"/>
      <w:r>
        <w:t xml:space="preserve">. бр. 429/1, 431/1, 431/2 и 432 </w:t>
      </w:r>
      <w:proofErr w:type="spellStart"/>
      <w:r>
        <w:t>к.о</w:t>
      </w:r>
      <w:proofErr w:type="spellEnd"/>
      <w:r>
        <w:t xml:space="preserve">. Горњи </w:t>
      </w:r>
      <w:proofErr w:type="spellStart"/>
      <w:r>
        <w:t>Штрпци</w:t>
      </w:r>
      <w:proofErr w:type="spellEnd"/>
      <w:r>
        <w:t xml:space="preserve">) у својини општине Прњавор („Службени гласник општине Прњавор“, број 36/20). Наведеном одлуком о начину и условима продаје непокретности дефинисано је да је купац обавезан да исплати продајну </w:t>
      </w:r>
      <w:proofErr w:type="spellStart"/>
      <w:r>
        <w:t>цијену</w:t>
      </w:r>
      <w:proofErr w:type="spellEnd"/>
      <w:r>
        <w:t xml:space="preserve"> на рачун продавца до дана потписивања и </w:t>
      </w:r>
      <w:proofErr w:type="spellStart"/>
      <w:r>
        <w:t>овјере</w:t>
      </w:r>
      <w:proofErr w:type="spellEnd"/>
      <w:r>
        <w:t xml:space="preserve"> уговора код надлежног нотара, а након прибављеног позитивног мишљења Правобранилаштва Републике Српске, и на основу достављеног позива Општине да уплати купопродајну </w:t>
      </w:r>
      <w:proofErr w:type="spellStart"/>
      <w:r>
        <w:t>цијену</w:t>
      </w:r>
      <w:proofErr w:type="spellEnd"/>
      <w:r>
        <w:t>. До краја 2020. године купац је уплатио износ од 1.090.000,00 КМ, али ова средства нису прокњижена као примитак од продаје земљишта</w:t>
      </w:r>
      <w:r w:rsidR="005E4CC3">
        <w:rPr>
          <w:lang w:val="sr-Latn-RS"/>
        </w:rPr>
        <w:t xml:space="preserve">, </w:t>
      </w:r>
      <w:r w:rsidR="005E4CC3">
        <w:rPr>
          <w:lang w:val="sr-Cyrl-RS"/>
        </w:rPr>
        <w:t>већ на конту 931311 – Примици од аванса који се затварају у сљедећој години, јер ће до потписивања уговора доћи у 2021,</w:t>
      </w:r>
      <w:r>
        <w:t xml:space="preserve"> када ће се </w:t>
      </w:r>
      <w:proofErr w:type="spellStart"/>
      <w:r>
        <w:t>цјелокуп</w:t>
      </w:r>
      <w:r w:rsidR="005E4CC3">
        <w:rPr>
          <w:lang w:val="sr-Cyrl-RS"/>
        </w:rPr>
        <w:t>ан</w:t>
      </w:r>
      <w:proofErr w:type="spellEnd"/>
      <w:r>
        <w:t xml:space="preserve"> уплаћени износ у 2020. години и разлика средстава која буду уплаћена у 2021. години, евидентирати као примитак од продаје земљишта. </w:t>
      </w:r>
      <w:r w:rsidR="005E4CC3">
        <w:rPr>
          <w:lang w:val="sr-Cyrl-RS"/>
        </w:rPr>
        <w:t xml:space="preserve">Поред наведене уплате, у 2020. години су на примицима од аванса евидентиране још </w:t>
      </w:r>
      <w:proofErr w:type="spellStart"/>
      <w:r w:rsidR="005E4CC3">
        <w:rPr>
          <w:lang w:val="sr-Cyrl-RS"/>
        </w:rPr>
        <w:t>двије</w:t>
      </w:r>
      <w:proofErr w:type="spellEnd"/>
      <w:r w:rsidR="005E4CC3">
        <w:rPr>
          <w:lang w:val="sr-Cyrl-RS"/>
        </w:rPr>
        <w:t xml:space="preserve"> мање уплате по основу продаје непокретности у укупном износу од 8.415,10 КМ, </w:t>
      </w:r>
      <w:proofErr w:type="spellStart"/>
      <w:r w:rsidR="005E4CC3">
        <w:rPr>
          <w:lang w:val="sr-Cyrl-RS"/>
        </w:rPr>
        <w:t>гдје</w:t>
      </w:r>
      <w:proofErr w:type="spellEnd"/>
      <w:r w:rsidR="005E4CC3">
        <w:rPr>
          <w:lang w:val="sr-Cyrl-RS"/>
        </w:rPr>
        <w:t xml:space="preserve"> се такође ради о </w:t>
      </w:r>
      <w:proofErr w:type="spellStart"/>
      <w:r w:rsidR="005E4CC3">
        <w:rPr>
          <w:lang w:val="sr-Cyrl-RS"/>
        </w:rPr>
        <w:t>уплаћеним</w:t>
      </w:r>
      <w:proofErr w:type="spellEnd"/>
      <w:r w:rsidR="005E4CC3">
        <w:rPr>
          <w:lang w:val="sr-Cyrl-RS"/>
        </w:rPr>
        <w:t xml:space="preserve"> средствима у 2020. години у предметима у којима ће се поступак продаје непокретности окончати у 2021. години. </w:t>
      </w:r>
    </w:p>
    <w:p w14:paraId="1E922367" w14:textId="77777777" w:rsidR="00FE23ED" w:rsidRPr="00A80782" w:rsidRDefault="00FE23ED" w:rsidP="00420E4C">
      <w:pPr>
        <w:ind w:left="0" w:right="-835" w:firstLine="720"/>
        <w:rPr>
          <w:bCs/>
        </w:rPr>
      </w:pPr>
      <w:r>
        <w:t xml:space="preserve">Остварени примици од продаје земљишта у 2020. години највећим </w:t>
      </w:r>
      <w:proofErr w:type="spellStart"/>
      <w:r>
        <w:t>дијелом</w:t>
      </w:r>
      <w:proofErr w:type="spellEnd"/>
      <w:r>
        <w:t xml:space="preserve"> се односе на приходе од </w:t>
      </w:r>
      <w:r>
        <w:rPr>
          <w:bCs/>
        </w:rPr>
        <w:t>продаје непокретности у Кулашима (износ од 55.000,00 КМ), у складу са Одлуком о продаји непокретности (</w:t>
      </w:r>
      <w:proofErr w:type="spellStart"/>
      <w:r>
        <w:rPr>
          <w:bCs/>
        </w:rPr>
        <w:t>к.ч</w:t>
      </w:r>
      <w:proofErr w:type="spellEnd"/>
      <w:r>
        <w:rPr>
          <w:bCs/>
        </w:rPr>
        <w:t xml:space="preserve">. бр.158/5 </w:t>
      </w:r>
      <w:proofErr w:type="spellStart"/>
      <w:r>
        <w:rPr>
          <w:bCs/>
        </w:rPr>
        <w:t>к.о</w:t>
      </w:r>
      <w:proofErr w:type="spellEnd"/>
      <w:r>
        <w:rPr>
          <w:bCs/>
        </w:rPr>
        <w:t>. Кулаши) у својини општине Прњавор („Службени гласник општине Прњавор“,</w:t>
      </w:r>
      <w:r w:rsidR="007A0BFD">
        <w:rPr>
          <w:bCs/>
          <w:lang w:val="sr-Cyrl-RS"/>
        </w:rPr>
        <w:t xml:space="preserve"> </w:t>
      </w:r>
      <w:r>
        <w:rPr>
          <w:bCs/>
        </w:rPr>
        <w:t>бр. 7/20)</w:t>
      </w:r>
      <w:r w:rsidR="00A80782">
        <w:rPr>
          <w:bCs/>
        </w:rPr>
        <w:t xml:space="preserve">, примитке од продаје земљишта у </w:t>
      </w:r>
      <w:proofErr w:type="spellStart"/>
      <w:r w:rsidR="00A80782">
        <w:rPr>
          <w:bCs/>
        </w:rPr>
        <w:t>Бабановцима</w:t>
      </w:r>
      <w:proofErr w:type="spellEnd"/>
      <w:r w:rsidR="00A80782">
        <w:rPr>
          <w:bCs/>
        </w:rPr>
        <w:t xml:space="preserve"> (износ од 29.810,85 КМ), у складу са Одлуком о продаји непокретности (</w:t>
      </w:r>
      <w:proofErr w:type="spellStart"/>
      <w:r w:rsidR="00A80782">
        <w:rPr>
          <w:bCs/>
        </w:rPr>
        <w:t>к.ч</w:t>
      </w:r>
      <w:proofErr w:type="spellEnd"/>
      <w:r w:rsidR="00A80782">
        <w:rPr>
          <w:bCs/>
        </w:rPr>
        <w:t xml:space="preserve">. бр. 20/3 </w:t>
      </w:r>
      <w:proofErr w:type="spellStart"/>
      <w:r w:rsidR="00A80782">
        <w:rPr>
          <w:bCs/>
        </w:rPr>
        <w:t>к.о</w:t>
      </w:r>
      <w:proofErr w:type="spellEnd"/>
      <w:r w:rsidR="00A80782">
        <w:rPr>
          <w:bCs/>
        </w:rPr>
        <w:t xml:space="preserve">. </w:t>
      </w:r>
      <w:proofErr w:type="spellStart"/>
      <w:r w:rsidR="00A80782">
        <w:rPr>
          <w:bCs/>
        </w:rPr>
        <w:t>Бабановци</w:t>
      </w:r>
      <w:proofErr w:type="spellEnd"/>
      <w:r w:rsidR="00A80782">
        <w:rPr>
          <w:bCs/>
        </w:rPr>
        <w:t>) у својини општине Прњавор („Службени глас</w:t>
      </w:r>
      <w:r w:rsidR="00046AFF">
        <w:rPr>
          <w:bCs/>
        </w:rPr>
        <w:t>ник општине Прњавор“,</w:t>
      </w:r>
      <w:r w:rsidR="007A0BFD">
        <w:rPr>
          <w:bCs/>
          <w:lang w:val="sr-Cyrl-RS"/>
        </w:rPr>
        <w:t xml:space="preserve"> </w:t>
      </w:r>
      <w:r w:rsidR="00046AFF">
        <w:rPr>
          <w:bCs/>
        </w:rPr>
        <w:t>бр. 49/20),</w:t>
      </w:r>
      <w:r>
        <w:rPr>
          <w:bCs/>
        </w:rPr>
        <w:t xml:space="preserve"> </w:t>
      </w:r>
      <w:r w:rsidR="00A80782">
        <w:rPr>
          <w:bCs/>
        </w:rPr>
        <w:t xml:space="preserve">примитке од продаје земљишта у Горњим </w:t>
      </w:r>
      <w:proofErr w:type="spellStart"/>
      <w:r w:rsidR="00A80782">
        <w:rPr>
          <w:bCs/>
        </w:rPr>
        <w:t>Штрпцима</w:t>
      </w:r>
      <w:proofErr w:type="spellEnd"/>
      <w:r w:rsidR="00A80782">
        <w:rPr>
          <w:bCs/>
        </w:rPr>
        <w:t xml:space="preserve"> (износ од 16.183,50 КМ), у складу са Одлуком о продаји непокретности (</w:t>
      </w:r>
      <w:proofErr w:type="spellStart"/>
      <w:r w:rsidR="00A80782">
        <w:rPr>
          <w:bCs/>
        </w:rPr>
        <w:t>к.ч</w:t>
      </w:r>
      <w:proofErr w:type="spellEnd"/>
      <w:r w:rsidR="00A80782">
        <w:rPr>
          <w:bCs/>
        </w:rPr>
        <w:t xml:space="preserve">. бр. 639/12 и 639/13 </w:t>
      </w:r>
      <w:proofErr w:type="spellStart"/>
      <w:r w:rsidR="00A80782">
        <w:rPr>
          <w:bCs/>
        </w:rPr>
        <w:t>к.о</w:t>
      </w:r>
      <w:proofErr w:type="spellEnd"/>
      <w:r w:rsidR="00A80782">
        <w:rPr>
          <w:bCs/>
        </w:rPr>
        <w:t xml:space="preserve">. Горњи </w:t>
      </w:r>
      <w:proofErr w:type="spellStart"/>
      <w:r w:rsidR="00A80782">
        <w:rPr>
          <w:bCs/>
        </w:rPr>
        <w:t>Штрпци</w:t>
      </w:r>
      <w:proofErr w:type="spellEnd"/>
      <w:r w:rsidR="00A80782">
        <w:rPr>
          <w:bCs/>
        </w:rPr>
        <w:t xml:space="preserve">) у својини општине Прњавор испод </w:t>
      </w:r>
      <w:r w:rsidR="00A80782">
        <w:rPr>
          <w:bCs/>
        </w:rPr>
        <w:lastRenderedPageBreak/>
        <w:t xml:space="preserve">тржишне </w:t>
      </w:r>
      <w:proofErr w:type="spellStart"/>
      <w:r w:rsidR="00A80782">
        <w:rPr>
          <w:bCs/>
        </w:rPr>
        <w:t>цијене</w:t>
      </w:r>
      <w:proofErr w:type="spellEnd"/>
      <w:r w:rsidR="00A80782">
        <w:rPr>
          <w:bCs/>
        </w:rPr>
        <w:t xml:space="preserve"> („Службени гласник општине Прњавор“,</w:t>
      </w:r>
      <w:r w:rsidR="007A0BFD">
        <w:rPr>
          <w:bCs/>
          <w:lang w:val="sr-Cyrl-RS"/>
        </w:rPr>
        <w:t xml:space="preserve"> </w:t>
      </w:r>
      <w:r w:rsidR="00A80782">
        <w:rPr>
          <w:bCs/>
        </w:rPr>
        <w:t xml:space="preserve">бр. 49/20) и примитке од продаје земљишта у </w:t>
      </w:r>
      <w:proofErr w:type="spellStart"/>
      <w:r w:rsidR="00A80782">
        <w:rPr>
          <w:bCs/>
        </w:rPr>
        <w:t>Бабановцима</w:t>
      </w:r>
      <w:proofErr w:type="spellEnd"/>
      <w:r w:rsidR="00A80782">
        <w:rPr>
          <w:bCs/>
        </w:rPr>
        <w:t xml:space="preserve"> (износ од 12.476,00 КМ), у складу са Одлуком о продаји непокретности (</w:t>
      </w:r>
      <w:proofErr w:type="spellStart"/>
      <w:r w:rsidR="00A80782">
        <w:rPr>
          <w:bCs/>
        </w:rPr>
        <w:t>к.ч</w:t>
      </w:r>
      <w:proofErr w:type="spellEnd"/>
      <w:r w:rsidR="00A80782">
        <w:rPr>
          <w:bCs/>
        </w:rPr>
        <w:t xml:space="preserve">. бр. 20/1 </w:t>
      </w:r>
      <w:proofErr w:type="spellStart"/>
      <w:r w:rsidR="00A80782">
        <w:rPr>
          <w:bCs/>
        </w:rPr>
        <w:t>к.о</w:t>
      </w:r>
      <w:proofErr w:type="spellEnd"/>
      <w:r w:rsidR="00A80782">
        <w:rPr>
          <w:bCs/>
        </w:rPr>
        <w:t xml:space="preserve">. </w:t>
      </w:r>
      <w:proofErr w:type="spellStart"/>
      <w:r w:rsidR="00A80782">
        <w:rPr>
          <w:bCs/>
        </w:rPr>
        <w:t>Бабановци</w:t>
      </w:r>
      <w:proofErr w:type="spellEnd"/>
      <w:r w:rsidR="00A80782">
        <w:rPr>
          <w:bCs/>
        </w:rPr>
        <w:t>) у својини општине Прњавор („Службени гласник општине Прњавор“,</w:t>
      </w:r>
      <w:r w:rsidR="007A0BFD">
        <w:rPr>
          <w:bCs/>
          <w:lang w:val="sr-Cyrl-RS"/>
        </w:rPr>
        <w:t xml:space="preserve"> </w:t>
      </w:r>
      <w:r w:rsidR="00A80782">
        <w:rPr>
          <w:bCs/>
        </w:rPr>
        <w:t>бр. 49/20).</w:t>
      </w:r>
    </w:p>
    <w:p w14:paraId="6764FA7C" w14:textId="77777777" w:rsidR="00B63B6A" w:rsidRPr="00AF68A0" w:rsidRDefault="00B63B6A" w:rsidP="009258D7">
      <w:pPr>
        <w:pStyle w:val="Podnaslovi1"/>
        <w:spacing w:before="0"/>
        <w:ind w:left="142"/>
        <w:jc w:val="left"/>
      </w:pPr>
    </w:p>
    <w:p w14:paraId="27EA5F9C" w14:textId="77777777" w:rsidR="00F01D0D" w:rsidRDefault="00C217A9" w:rsidP="008E6410">
      <w:pPr>
        <w:pStyle w:val="Podnaslovi1"/>
        <w:ind w:left="142"/>
        <w:rPr>
          <w:sz w:val="24"/>
          <w:szCs w:val="24"/>
        </w:rPr>
      </w:pPr>
      <w:bookmarkStart w:id="32" w:name="_Toc530745872"/>
      <w:bookmarkStart w:id="33" w:name="_Toc50641192"/>
      <w:r w:rsidRPr="00F01D0D">
        <w:rPr>
          <w:sz w:val="24"/>
          <w:szCs w:val="24"/>
        </w:rPr>
        <w:t>3.</w:t>
      </w:r>
      <w:r w:rsidR="00F01D0D" w:rsidRPr="00F01D0D">
        <w:rPr>
          <w:sz w:val="24"/>
          <w:szCs w:val="24"/>
        </w:rPr>
        <w:t>1.</w:t>
      </w:r>
      <w:r w:rsidRPr="00F01D0D">
        <w:rPr>
          <w:sz w:val="24"/>
          <w:szCs w:val="24"/>
        </w:rPr>
        <w:t xml:space="preserve">3. </w:t>
      </w:r>
      <w:r w:rsidR="0072479B" w:rsidRPr="00F01D0D">
        <w:rPr>
          <w:sz w:val="24"/>
          <w:szCs w:val="24"/>
        </w:rPr>
        <w:t>БУЏЕТСКИ РАСХОДИ И ИЗДАЦИ ЗА НЕФИНАНСИЈСКУ</w:t>
      </w:r>
      <w:r w:rsidR="008E6410">
        <w:rPr>
          <w:sz w:val="24"/>
          <w:szCs w:val="24"/>
          <w:lang w:val="sr-Cyrl-RS"/>
        </w:rPr>
        <w:t xml:space="preserve"> </w:t>
      </w:r>
      <w:r w:rsidR="0072479B" w:rsidRPr="00F01D0D">
        <w:rPr>
          <w:sz w:val="24"/>
          <w:szCs w:val="24"/>
        </w:rPr>
        <w:t>ИМОВИНУ</w:t>
      </w:r>
      <w:bookmarkEnd w:id="32"/>
      <w:bookmarkEnd w:id="33"/>
    </w:p>
    <w:p w14:paraId="6562A11C" w14:textId="77777777" w:rsidR="0072479B" w:rsidRPr="00F01D0D" w:rsidRDefault="0072479B" w:rsidP="00882C4D">
      <w:pPr>
        <w:pStyle w:val="Podnaslovi1"/>
        <w:spacing w:before="0"/>
        <w:rPr>
          <w:sz w:val="24"/>
          <w:szCs w:val="24"/>
        </w:rPr>
      </w:pPr>
      <w:bookmarkStart w:id="34" w:name="_Toc530745873"/>
      <w:bookmarkStart w:id="35" w:name="_Toc50641193"/>
      <w:r w:rsidRPr="00F01D0D">
        <w:rPr>
          <w:sz w:val="24"/>
          <w:szCs w:val="24"/>
        </w:rPr>
        <w:t>ЗА ПЕРИОД 01.01</w:t>
      </w:r>
      <w:r w:rsidR="00087C73">
        <w:rPr>
          <w:sz w:val="24"/>
          <w:szCs w:val="24"/>
        </w:rPr>
        <w:t>–</w:t>
      </w:r>
      <w:r w:rsidR="00F91CA4">
        <w:rPr>
          <w:sz w:val="24"/>
          <w:szCs w:val="24"/>
        </w:rPr>
        <w:t>31.12</w:t>
      </w:r>
      <w:r w:rsidR="00B63B6A">
        <w:rPr>
          <w:sz w:val="24"/>
          <w:szCs w:val="24"/>
        </w:rPr>
        <w:t>.2020</w:t>
      </w:r>
      <w:r w:rsidRPr="00F01D0D">
        <w:rPr>
          <w:sz w:val="24"/>
          <w:szCs w:val="24"/>
        </w:rPr>
        <w:t>. ГОДИНЕ</w:t>
      </w:r>
      <w:bookmarkEnd w:id="34"/>
      <w:bookmarkEnd w:id="35"/>
    </w:p>
    <w:p w14:paraId="13CBAD47" w14:textId="77777777" w:rsidR="0072479B" w:rsidRDefault="0072479B" w:rsidP="0072479B">
      <w:pPr>
        <w:ind w:left="-357" w:firstLine="357"/>
        <w:jc w:val="center"/>
        <w:rPr>
          <w:b/>
          <w:bCs/>
          <w:sz w:val="28"/>
        </w:rPr>
      </w:pPr>
    </w:p>
    <w:p w14:paraId="07C34B2C" w14:textId="77777777" w:rsidR="00A90040" w:rsidRPr="00383D4F" w:rsidRDefault="00960E57" w:rsidP="003C0CC7">
      <w:pPr>
        <w:pStyle w:val="Podnaslovi2"/>
        <w:ind w:left="-357" w:firstLine="1077"/>
        <w:rPr>
          <w:sz w:val="24"/>
          <w:szCs w:val="24"/>
        </w:rPr>
      </w:pPr>
      <w:bookmarkStart w:id="36" w:name="_Toc530745874"/>
      <w:bookmarkStart w:id="37" w:name="_Toc50641194"/>
      <w:r w:rsidRPr="00383D4F">
        <w:rPr>
          <w:sz w:val="24"/>
          <w:szCs w:val="24"/>
        </w:rPr>
        <w:t>А</w:t>
      </w:r>
      <w:r w:rsidR="00A90040" w:rsidRPr="00383D4F">
        <w:rPr>
          <w:sz w:val="24"/>
          <w:szCs w:val="24"/>
        </w:rPr>
        <w:t>. Опе</w:t>
      </w:r>
      <w:r w:rsidR="007766DE" w:rsidRPr="00383D4F">
        <w:rPr>
          <w:sz w:val="24"/>
          <w:szCs w:val="24"/>
        </w:rPr>
        <w:t>рат</w:t>
      </w:r>
      <w:r w:rsidR="00F91CA4">
        <w:rPr>
          <w:sz w:val="24"/>
          <w:szCs w:val="24"/>
        </w:rPr>
        <w:t>ивни буџет за период 01.01-31.12</w:t>
      </w:r>
      <w:r w:rsidR="00B63B6A" w:rsidRPr="00383D4F">
        <w:rPr>
          <w:sz w:val="24"/>
          <w:szCs w:val="24"/>
        </w:rPr>
        <w:t>.2020</w:t>
      </w:r>
      <w:r w:rsidR="00A90040" w:rsidRPr="00383D4F">
        <w:rPr>
          <w:sz w:val="24"/>
          <w:szCs w:val="24"/>
        </w:rPr>
        <w:t>. године</w:t>
      </w:r>
      <w:bookmarkEnd w:id="36"/>
      <w:bookmarkEnd w:id="37"/>
    </w:p>
    <w:p w14:paraId="6A278A4F" w14:textId="77777777" w:rsidR="00A90040" w:rsidRDefault="00A90040" w:rsidP="00A90040">
      <w:pPr>
        <w:ind w:left="0" w:right="-835" w:firstLine="0"/>
        <w:rPr>
          <w:b/>
          <w:i/>
        </w:rPr>
      </w:pPr>
    </w:p>
    <w:p w14:paraId="09F1E2CD" w14:textId="77777777" w:rsidR="00423870" w:rsidRPr="00FF7418" w:rsidRDefault="001E334A" w:rsidP="00423870">
      <w:pPr>
        <w:pStyle w:val="Teloteksta"/>
        <w:spacing w:after="0"/>
        <w:ind w:left="0" w:firstLine="0"/>
        <w:rPr>
          <w:bCs/>
        </w:rPr>
      </w:pPr>
      <w:r>
        <w:rPr>
          <w:b/>
          <w:i/>
        </w:rPr>
        <w:tab/>
      </w:r>
      <w:r>
        <w:rPr>
          <w:bCs/>
        </w:rPr>
        <w:t>Извршењ</w:t>
      </w:r>
      <w:r w:rsidR="00B63B6A">
        <w:rPr>
          <w:bCs/>
        </w:rPr>
        <w:t>е буџета општине Прњавор за 2020</w:t>
      </w:r>
      <w:r>
        <w:rPr>
          <w:bCs/>
        </w:rPr>
        <w:t>. годину спроводи се на основу Одлуке о извршењ</w:t>
      </w:r>
      <w:r w:rsidR="00B63B6A">
        <w:rPr>
          <w:bCs/>
        </w:rPr>
        <w:t>у буџета општине Прњавор за 2020</w:t>
      </w:r>
      <w:r>
        <w:rPr>
          <w:bCs/>
        </w:rPr>
        <w:t xml:space="preserve">. годину („Службени гласник општине Прњавор“, број </w:t>
      </w:r>
      <w:r w:rsidR="00B63B6A">
        <w:rPr>
          <w:bCs/>
        </w:rPr>
        <w:t>19/19</w:t>
      </w:r>
      <w:r w:rsidR="00B13EA7">
        <w:rPr>
          <w:bCs/>
          <w:lang w:val="sr-Latn-RS"/>
        </w:rPr>
        <w:t xml:space="preserve"> </w:t>
      </w:r>
      <w:r w:rsidR="001D0496">
        <w:rPr>
          <w:bCs/>
        </w:rPr>
        <w:t>и 51/20</w:t>
      </w:r>
      <w:r>
        <w:rPr>
          <w:bCs/>
        </w:rPr>
        <w:t xml:space="preserve">). Према Одлуци, буџетски корисници могу стварати обавезе и користити средства само за </w:t>
      </w:r>
      <w:proofErr w:type="spellStart"/>
      <w:r>
        <w:rPr>
          <w:bCs/>
        </w:rPr>
        <w:t>намјене</w:t>
      </w:r>
      <w:proofErr w:type="spellEnd"/>
      <w:r>
        <w:rPr>
          <w:bCs/>
        </w:rPr>
        <w:t xml:space="preserve"> предвиђене буџетом, и то до износа који је планиран, а у складу са расположивим средствима. Буџетски корисници са планираним буџетским средствима располажу </w:t>
      </w:r>
      <w:r w:rsidR="00A3554E">
        <w:rPr>
          <w:bCs/>
        </w:rPr>
        <w:t>у складу са</w:t>
      </w:r>
      <w:r>
        <w:rPr>
          <w:bCs/>
        </w:rPr>
        <w:t xml:space="preserve"> утврђеним оперативним финансијским планом који се доноси за ниво квартала. </w:t>
      </w:r>
      <w:r w:rsidR="0076792C">
        <w:rPr>
          <w:bCs/>
        </w:rPr>
        <w:t xml:space="preserve">Оперативне финансијске планове одобрава </w:t>
      </w:r>
      <w:proofErr w:type="spellStart"/>
      <w:r w:rsidR="0076792C">
        <w:rPr>
          <w:bCs/>
        </w:rPr>
        <w:t>Одјељење</w:t>
      </w:r>
      <w:proofErr w:type="spellEnd"/>
      <w:r w:rsidR="0076792C">
        <w:rPr>
          <w:bCs/>
        </w:rPr>
        <w:t xml:space="preserve"> за финансије, у складу са </w:t>
      </w:r>
      <w:proofErr w:type="spellStart"/>
      <w:r w:rsidR="0076792C">
        <w:rPr>
          <w:bCs/>
        </w:rPr>
        <w:t>процјеном</w:t>
      </w:r>
      <w:proofErr w:type="spellEnd"/>
      <w:r w:rsidR="0076792C">
        <w:rPr>
          <w:bCs/>
        </w:rPr>
        <w:t xml:space="preserve"> остварења буџетских сре</w:t>
      </w:r>
      <w:r w:rsidR="00423870">
        <w:rPr>
          <w:bCs/>
        </w:rPr>
        <w:t>дстава у односу на годишњи план, и указаних потреба буџетских корисника.</w:t>
      </w:r>
      <w:r w:rsidR="00B13EA7">
        <w:rPr>
          <w:bCs/>
          <w:lang w:val="sr-Latn-RS"/>
        </w:rPr>
        <w:t xml:space="preserve"> </w:t>
      </w:r>
      <w:r w:rsidR="008B2414" w:rsidRPr="00793142">
        <w:rPr>
          <w:bCs/>
        </w:rPr>
        <w:t xml:space="preserve">Ако у датом моменту буџетски корисник нема довољно расположивих средстава на одређеној буџетској позицији, може се уз достављено образложење Начелнику општине </w:t>
      </w:r>
      <w:proofErr w:type="spellStart"/>
      <w:r w:rsidR="008B2414" w:rsidRPr="00793142">
        <w:rPr>
          <w:bCs/>
        </w:rPr>
        <w:t>поднијети</w:t>
      </w:r>
      <w:proofErr w:type="spellEnd"/>
      <w:r w:rsidR="008B2414" w:rsidRPr="00793142">
        <w:rPr>
          <w:bCs/>
        </w:rPr>
        <w:t xml:space="preserve"> </w:t>
      </w:r>
      <w:proofErr w:type="spellStart"/>
      <w:r w:rsidR="008B2414" w:rsidRPr="00793142">
        <w:rPr>
          <w:bCs/>
        </w:rPr>
        <w:t>захтјев</w:t>
      </w:r>
      <w:proofErr w:type="spellEnd"/>
      <w:r w:rsidR="008B2414" w:rsidRPr="00793142">
        <w:rPr>
          <w:bCs/>
        </w:rPr>
        <w:t xml:space="preserve"> за додатни унос средстава на терет наредних квартала</w:t>
      </w:r>
      <w:r w:rsidR="008B2414">
        <w:rPr>
          <w:bCs/>
        </w:rPr>
        <w:t xml:space="preserve">. </w:t>
      </w:r>
      <w:r>
        <w:rPr>
          <w:bCs/>
        </w:rPr>
        <w:t>Укупан износ свих кварталних финансијских планова за извршење буџета сваког буџетског корисника може бити мањи или једнак износу усвојеног годишњег буџета за сваког буџетског корисника</w:t>
      </w:r>
      <w:r w:rsidRPr="00F059B8">
        <w:rPr>
          <w:bCs/>
        </w:rPr>
        <w:t xml:space="preserve">. </w:t>
      </w:r>
      <w:proofErr w:type="spellStart"/>
      <w:r w:rsidR="00423870" w:rsidRPr="00FF7418">
        <w:t>Намјенски</w:t>
      </w:r>
      <w:proofErr w:type="spellEnd"/>
      <w:r w:rsidR="00423870" w:rsidRPr="00FF7418">
        <w:t xml:space="preserve"> остварена средства по основу грантова и трансфера од других јединица власти, која нису планирана у буџету стављају се на располагање за буџетску потрошњу када се укаже потреба и троше се у складу са утврђеном </w:t>
      </w:r>
      <w:proofErr w:type="spellStart"/>
      <w:r w:rsidR="00423870" w:rsidRPr="00FF7418">
        <w:t>намјеном</w:t>
      </w:r>
      <w:proofErr w:type="spellEnd"/>
      <w:r w:rsidR="00423870" w:rsidRPr="00FF7418">
        <w:t>, а укључују се у буџет путем ребаланса буџета.</w:t>
      </w:r>
    </w:p>
    <w:p w14:paraId="1F968DBE" w14:textId="77777777" w:rsidR="004D1E24" w:rsidRDefault="00A3554E" w:rsidP="004B3A1B">
      <w:pPr>
        <w:pStyle w:val="Teloteksta"/>
        <w:spacing w:after="0"/>
        <w:ind w:left="0" w:firstLine="720"/>
        <w:rPr>
          <w:bCs/>
        </w:rPr>
      </w:pPr>
      <w:r>
        <w:rPr>
          <w:bCs/>
        </w:rPr>
        <w:t xml:space="preserve">Усвајањем Ребаланса буџета општине Прњавор за 2020. годину („Службени гласник општине Прњавор“, број 51/20), оперативна финансијска средства постала су средства утврђена ребалансом буџета. Ребаланс буџета ступио је на снагу </w:t>
      </w:r>
      <w:r w:rsidR="004B3A1B">
        <w:rPr>
          <w:bCs/>
        </w:rPr>
        <w:t>31.10.2020</w:t>
      </w:r>
      <w:r>
        <w:rPr>
          <w:bCs/>
        </w:rPr>
        <w:t xml:space="preserve">. године. Након усвајања ребаланса буџета, на ниво оперативних средстава којима су буџетски корисници располагали утицале су извршене </w:t>
      </w:r>
      <w:proofErr w:type="spellStart"/>
      <w:r>
        <w:rPr>
          <w:bCs/>
        </w:rPr>
        <w:t>реалокације</w:t>
      </w:r>
      <w:proofErr w:type="spellEnd"/>
      <w:r>
        <w:rPr>
          <w:bCs/>
        </w:rPr>
        <w:t xml:space="preserve"> (редовне и </w:t>
      </w:r>
      <w:proofErr w:type="spellStart"/>
      <w:r>
        <w:rPr>
          <w:bCs/>
        </w:rPr>
        <w:t>реалокације</w:t>
      </w:r>
      <w:proofErr w:type="spellEnd"/>
      <w:r>
        <w:rPr>
          <w:bCs/>
        </w:rPr>
        <w:t xml:space="preserve"> средстава текуће буџетске резерве) и одобравање коришћења </w:t>
      </w:r>
      <w:proofErr w:type="spellStart"/>
      <w:r>
        <w:rPr>
          <w:bCs/>
        </w:rPr>
        <w:t>дозначених</w:t>
      </w:r>
      <w:proofErr w:type="spellEnd"/>
      <w:r>
        <w:rPr>
          <w:bCs/>
        </w:rPr>
        <w:t xml:space="preserve"> </w:t>
      </w:r>
      <w:proofErr w:type="spellStart"/>
      <w:r>
        <w:rPr>
          <w:bCs/>
        </w:rPr>
        <w:t>намјенских</w:t>
      </w:r>
      <w:proofErr w:type="spellEnd"/>
      <w:r>
        <w:rPr>
          <w:bCs/>
        </w:rPr>
        <w:t xml:space="preserve"> средстава која нису била планирана ребалансом буџета. Извршене </w:t>
      </w:r>
      <w:proofErr w:type="spellStart"/>
      <w:r>
        <w:rPr>
          <w:bCs/>
        </w:rPr>
        <w:t>реалокације</w:t>
      </w:r>
      <w:proofErr w:type="spellEnd"/>
      <w:r>
        <w:rPr>
          <w:bCs/>
        </w:rPr>
        <w:t xml:space="preserve"> буџетских средстава немају утицаја на укупан ниво одобрених средстава ребалансом буџета, већ само на </w:t>
      </w:r>
      <w:proofErr w:type="spellStart"/>
      <w:r>
        <w:rPr>
          <w:bCs/>
        </w:rPr>
        <w:t>прерасподјелу</w:t>
      </w:r>
      <w:proofErr w:type="spellEnd"/>
      <w:r>
        <w:rPr>
          <w:bCs/>
        </w:rPr>
        <w:t xml:space="preserve"> средстава између одређених буџетских позиција одн. потрошачких јединица, док је одобравање трошења </w:t>
      </w:r>
      <w:proofErr w:type="spellStart"/>
      <w:r>
        <w:rPr>
          <w:bCs/>
        </w:rPr>
        <w:t>дозначених</w:t>
      </w:r>
      <w:proofErr w:type="spellEnd"/>
      <w:r>
        <w:rPr>
          <w:bCs/>
        </w:rPr>
        <w:t xml:space="preserve"> </w:t>
      </w:r>
      <w:proofErr w:type="spellStart"/>
      <w:r>
        <w:rPr>
          <w:bCs/>
        </w:rPr>
        <w:t>намјенских</w:t>
      </w:r>
      <w:proofErr w:type="spellEnd"/>
      <w:r>
        <w:rPr>
          <w:bCs/>
        </w:rPr>
        <w:t xml:space="preserve"> средстава која нису била планирана ребалансом буџета утицало на повећање расположивих средстава за </w:t>
      </w:r>
      <w:r w:rsidR="004B3A1B">
        <w:rPr>
          <w:bCs/>
        </w:rPr>
        <w:t>900</w:t>
      </w:r>
      <w:r>
        <w:rPr>
          <w:bCs/>
        </w:rPr>
        <w:t xml:space="preserve">,00 КМ. </w:t>
      </w:r>
      <w:proofErr w:type="spellStart"/>
      <w:r>
        <w:rPr>
          <w:bCs/>
        </w:rPr>
        <w:t>Овдје</w:t>
      </w:r>
      <w:proofErr w:type="spellEnd"/>
      <w:r>
        <w:rPr>
          <w:bCs/>
        </w:rPr>
        <w:t xml:space="preserve"> се ради о </w:t>
      </w:r>
      <w:r w:rsidR="004B3A1B">
        <w:rPr>
          <w:bCs/>
        </w:rPr>
        <w:t xml:space="preserve">разлици између укупно </w:t>
      </w:r>
      <w:proofErr w:type="spellStart"/>
      <w:r w:rsidR="004B3A1B">
        <w:rPr>
          <w:bCs/>
        </w:rPr>
        <w:t>дозначених</w:t>
      </w:r>
      <w:proofErr w:type="spellEnd"/>
      <w:r w:rsidR="004B3A1B">
        <w:rPr>
          <w:bCs/>
        </w:rPr>
        <w:t xml:space="preserve"> средстава </w:t>
      </w:r>
      <w:proofErr w:type="spellStart"/>
      <w:r w:rsidR="004B3A1B">
        <w:rPr>
          <w:bCs/>
        </w:rPr>
        <w:t>гранта</w:t>
      </w:r>
      <w:proofErr w:type="spellEnd"/>
      <w:r w:rsidR="004B3A1B">
        <w:rPr>
          <w:bCs/>
        </w:rPr>
        <w:t xml:space="preserve"> ЈУ ЦСШ „Иво Андрић“ Прњавор за пројекат увођења интернет мреже и средстава која су планирана ребалансом буџета. </w:t>
      </w:r>
    </w:p>
    <w:p w14:paraId="6DC87F7F" w14:textId="77777777" w:rsidR="004B3A1B" w:rsidRDefault="004B3A1B" w:rsidP="004B3A1B">
      <w:pPr>
        <w:pStyle w:val="Teloteksta"/>
        <w:spacing w:after="0"/>
        <w:ind w:left="0" w:firstLine="720"/>
        <w:rPr>
          <w:bCs/>
        </w:rPr>
      </w:pPr>
    </w:p>
    <w:p w14:paraId="3FD0244C" w14:textId="77777777" w:rsidR="004B3A1B" w:rsidRDefault="004B3A1B" w:rsidP="004B3A1B">
      <w:pPr>
        <w:pStyle w:val="Teloteksta"/>
        <w:spacing w:after="0"/>
        <w:ind w:left="0" w:firstLine="720"/>
        <w:rPr>
          <w:bCs/>
        </w:rPr>
      </w:pPr>
      <w:r>
        <w:rPr>
          <w:bCs/>
        </w:rPr>
        <w:t xml:space="preserve">У прилогу овог </w:t>
      </w:r>
      <w:proofErr w:type="spellStart"/>
      <w:r>
        <w:rPr>
          <w:bCs/>
        </w:rPr>
        <w:t>извјештаја</w:t>
      </w:r>
      <w:proofErr w:type="spellEnd"/>
      <w:r>
        <w:rPr>
          <w:bCs/>
        </w:rPr>
        <w:t>, у табели</w:t>
      </w:r>
      <w:r w:rsidR="00091AD9">
        <w:rPr>
          <w:bCs/>
          <w:lang w:val="sr-Latn-RS"/>
        </w:rPr>
        <w:t xml:space="preserve"> </w:t>
      </w:r>
      <w:r>
        <w:rPr>
          <w:bCs/>
        </w:rPr>
        <w:t xml:space="preserve">бр. 1, приказано је одступање оперативног буџета појединачних буџетских корисника од буџета за период 01.01-31.12.2020. године. Табела приказује како су одобрене редовне </w:t>
      </w:r>
      <w:proofErr w:type="spellStart"/>
      <w:r>
        <w:rPr>
          <w:bCs/>
        </w:rPr>
        <w:t>реалокације</w:t>
      </w:r>
      <w:proofErr w:type="spellEnd"/>
      <w:r>
        <w:rPr>
          <w:bCs/>
        </w:rPr>
        <w:t xml:space="preserve">, </w:t>
      </w:r>
      <w:proofErr w:type="spellStart"/>
      <w:r>
        <w:rPr>
          <w:bCs/>
        </w:rPr>
        <w:t>реалокације</w:t>
      </w:r>
      <w:proofErr w:type="spellEnd"/>
      <w:r>
        <w:rPr>
          <w:bCs/>
        </w:rPr>
        <w:t xml:space="preserve"> текуће буџетске резерве и одобрење коришћења </w:t>
      </w:r>
      <w:proofErr w:type="spellStart"/>
      <w:r>
        <w:rPr>
          <w:bCs/>
        </w:rPr>
        <w:t>намјенских</w:t>
      </w:r>
      <w:proofErr w:type="spellEnd"/>
      <w:r>
        <w:rPr>
          <w:bCs/>
        </w:rPr>
        <w:t xml:space="preserve"> средстава која нису била планирана ребалансом буџета утицали на ниво средстава који је потрошачким јединицама одобрен усвојеним ребалансом буџета. </w:t>
      </w:r>
    </w:p>
    <w:p w14:paraId="2F0D4683" w14:textId="77777777" w:rsidR="004B3A1B" w:rsidRPr="004B3A1B" w:rsidRDefault="004B3A1B" w:rsidP="004B3A1B">
      <w:pPr>
        <w:pStyle w:val="Teloteksta"/>
        <w:spacing w:after="0"/>
        <w:ind w:left="0" w:firstLine="720"/>
        <w:rPr>
          <w:bCs/>
        </w:rPr>
      </w:pPr>
    </w:p>
    <w:p w14:paraId="2B56CD55" w14:textId="77777777" w:rsidR="0039226D" w:rsidRPr="0039226D" w:rsidRDefault="0039226D" w:rsidP="0039226D">
      <w:pPr>
        <w:pStyle w:val="Teloteksta"/>
        <w:spacing w:after="0"/>
        <w:ind w:left="0" w:firstLine="720"/>
        <w:rPr>
          <w:bCs/>
        </w:rPr>
      </w:pPr>
      <w:r w:rsidRPr="00F059B8">
        <w:rPr>
          <w:bCs/>
        </w:rPr>
        <w:lastRenderedPageBreak/>
        <w:t xml:space="preserve">Одлуком о извршењу буџета дозвољена је могућност </w:t>
      </w:r>
      <w:proofErr w:type="spellStart"/>
      <w:r w:rsidRPr="00F059B8">
        <w:rPr>
          <w:bCs/>
        </w:rPr>
        <w:t>прерасподјеле</w:t>
      </w:r>
      <w:proofErr w:type="spellEnd"/>
      <w:r w:rsidRPr="00F059B8">
        <w:rPr>
          <w:bCs/>
        </w:rPr>
        <w:t xml:space="preserve"> (</w:t>
      </w:r>
      <w:proofErr w:type="spellStart"/>
      <w:r w:rsidRPr="00F059B8">
        <w:rPr>
          <w:bCs/>
        </w:rPr>
        <w:t>реалокације</w:t>
      </w:r>
      <w:proofErr w:type="spellEnd"/>
      <w:r w:rsidRPr="00F059B8">
        <w:rPr>
          <w:bCs/>
        </w:rPr>
        <w:t>) буџетских средстава у оквиру буџетског корисни</w:t>
      </w:r>
      <w:r>
        <w:rPr>
          <w:bCs/>
        </w:rPr>
        <w:t xml:space="preserve">ка и између буџетских корисника, с тим да је </w:t>
      </w:r>
      <w:proofErr w:type="spellStart"/>
      <w:r>
        <w:rPr>
          <w:bCs/>
        </w:rPr>
        <w:t>вриједност</w:t>
      </w:r>
      <w:proofErr w:type="spellEnd"/>
      <w:r>
        <w:rPr>
          <w:bCs/>
        </w:rPr>
        <w:t xml:space="preserve"> извршених </w:t>
      </w:r>
      <w:proofErr w:type="spellStart"/>
      <w:r>
        <w:rPr>
          <w:bCs/>
        </w:rPr>
        <w:t>реалокација</w:t>
      </w:r>
      <w:proofErr w:type="spellEnd"/>
      <w:r>
        <w:rPr>
          <w:bCs/>
        </w:rPr>
        <w:t xml:space="preserve"> између буџетских корисника ограничена на 5% у односу на укупну </w:t>
      </w:r>
      <w:proofErr w:type="spellStart"/>
      <w:r>
        <w:rPr>
          <w:bCs/>
        </w:rPr>
        <w:t>вриједност</w:t>
      </w:r>
      <w:proofErr w:type="spellEnd"/>
      <w:r>
        <w:rPr>
          <w:bCs/>
        </w:rPr>
        <w:t xml:space="preserve"> планираних средстава потрошачке јединице са које се врши </w:t>
      </w:r>
      <w:proofErr w:type="spellStart"/>
      <w:r>
        <w:rPr>
          <w:bCs/>
        </w:rPr>
        <w:t>реалокација</w:t>
      </w:r>
      <w:proofErr w:type="spellEnd"/>
      <w:r>
        <w:rPr>
          <w:bCs/>
        </w:rPr>
        <w:t>.</w:t>
      </w:r>
      <w:r w:rsidR="00B13EA7">
        <w:rPr>
          <w:bCs/>
          <w:lang w:val="sr-Latn-RS"/>
        </w:rPr>
        <w:t xml:space="preserve"> </w:t>
      </w:r>
      <w:r w:rsidRPr="00FF7418">
        <w:rPr>
          <w:bCs/>
        </w:rPr>
        <w:t xml:space="preserve">Трошење планираних средстава буџетске резерве врши се на основу Закона о буџетском систему Републике Српске и </w:t>
      </w:r>
      <w:r w:rsidRPr="00FF7418">
        <w:t xml:space="preserve">Одлуке о коришћењу средстава буџетске резерве („Службени гласник општине Прњавор“, број </w:t>
      </w:r>
      <w:r>
        <w:t>15/19</w:t>
      </w:r>
      <w:r w:rsidRPr="00FF7418">
        <w:t>). Средства буџетске резерве се не планирају на одређеном организационом или економском коду, већ се у складу са закључком начелника о одобравању средстава врши њихов распоред на одговарајућу потрошачку јединицу и позицију у буџету.</w:t>
      </w:r>
      <w:r w:rsidR="00B13EA7">
        <w:rPr>
          <w:lang w:val="sr-Latn-RS"/>
        </w:rPr>
        <w:t xml:space="preserve"> </w:t>
      </w:r>
      <w:proofErr w:type="spellStart"/>
      <w:r w:rsidR="00310454">
        <w:t>Реалокације</w:t>
      </w:r>
      <w:proofErr w:type="spellEnd"/>
      <w:r w:rsidR="00310454">
        <w:t xml:space="preserve"> буџетске резерве и </w:t>
      </w:r>
      <w:proofErr w:type="spellStart"/>
      <w:r w:rsidR="00310454">
        <w:t>реалокације</w:t>
      </w:r>
      <w:proofErr w:type="spellEnd"/>
      <w:r w:rsidR="00310454">
        <w:t xml:space="preserve"> буџетских средстава између потрошачких јединица утичу на повећање/смањење одобрених оперативних финансијских средстава, </w:t>
      </w:r>
      <w:r w:rsidR="00310454" w:rsidRPr="00FF7418">
        <w:rPr>
          <w:bCs/>
        </w:rPr>
        <w:t xml:space="preserve">док </w:t>
      </w:r>
      <w:proofErr w:type="spellStart"/>
      <w:r w:rsidR="00310454" w:rsidRPr="00FF7418">
        <w:rPr>
          <w:bCs/>
        </w:rPr>
        <w:t>реалокације</w:t>
      </w:r>
      <w:proofErr w:type="spellEnd"/>
      <w:r w:rsidR="00310454" w:rsidRPr="00FF7418">
        <w:rPr>
          <w:bCs/>
        </w:rPr>
        <w:t xml:space="preserve"> </w:t>
      </w:r>
      <w:r w:rsidR="00310454">
        <w:rPr>
          <w:bCs/>
        </w:rPr>
        <w:t xml:space="preserve">буџетских средстава одобрене унутар </w:t>
      </w:r>
      <w:r w:rsidR="00310454" w:rsidRPr="00FF7418">
        <w:rPr>
          <w:bCs/>
        </w:rPr>
        <w:t xml:space="preserve">потрошачке јединице </w:t>
      </w:r>
      <w:r w:rsidR="00310454">
        <w:rPr>
          <w:bCs/>
        </w:rPr>
        <w:t>утичу само на унутрашњу структуру одобреног плана</w:t>
      </w:r>
      <w:r w:rsidR="00310454" w:rsidRPr="00FF7418">
        <w:rPr>
          <w:bCs/>
        </w:rPr>
        <w:t>.</w:t>
      </w:r>
    </w:p>
    <w:p w14:paraId="3C100321" w14:textId="77777777" w:rsidR="00E14861" w:rsidRDefault="007D396D" w:rsidP="00E14861">
      <w:pPr>
        <w:pStyle w:val="Teloteksta"/>
        <w:spacing w:after="0"/>
        <w:ind w:left="0" w:firstLine="720"/>
        <w:rPr>
          <w:bCs/>
        </w:rPr>
      </w:pPr>
      <w:r>
        <w:rPr>
          <w:bCs/>
        </w:rPr>
        <w:t xml:space="preserve">Све редовне </w:t>
      </w:r>
      <w:proofErr w:type="spellStart"/>
      <w:r>
        <w:rPr>
          <w:bCs/>
        </w:rPr>
        <w:t>реалокације</w:t>
      </w:r>
      <w:proofErr w:type="spellEnd"/>
      <w:r>
        <w:rPr>
          <w:bCs/>
        </w:rPr>
        <w:t xml:space="preserve"> и </w:t>
      </w:r>
      <w:proofErr w:type="spellStart"/>
      <w:r>
        <w:rPr>
          <w:bCs/>
        </w:rPr>
        <w:t>реалокације</w:t>
      </w:r>
      <w:proofErr w:type="spellEnd"/>
      <w:r>
        <w:rPr>
          <w:bCs/>
        </w:rPr>
        <w:t xml:space="preserve"> средстава текуће буџетске резерве одобрене прије усвајања ребаланса буџета обухваћене су и планиране ребалансом буџета. Након усвајања ребаланса буџета, извршено је 29 редовних </w:t>
      </w:r>
      <w:proofErr w:type="spellStart"/>
      <w:r>
        <w:rPr>
          <w:bCs/>
        </w:rPr>
        <w:t>реалокација</w:t>
      </w:r>
      <w:proofErr w:type="spellEnd"/>
      <w:r>
        <w:rPr>
          <w:bCs/>
        </w:rPr>
        <w:t xml:space="preserve"> </w:t>
      </w:r>
      <w:r w:rsidR="001A68E6">
        <w:rPr>
          <w:bCs/>
        </w:rPr>
        <w:t xml:space="preserve">укупне </w:t>
      </w:r>
      <w:proofErr w:type="spellStart"/>
      <w:r w:rsidR="001A68E6">
        <w:rPr>
          <w:bCs/>
        </w:rPr>
        <w:t>вриједности</w:t>
      </w:r>
      <w:proofErr w:type="spellEnd"/>
      <w:r w:rsidR="001A68E6">
        <w:rPr>
          <w:bCs/>
        </w:rPr>
        <w:t xml:space="preserve"> </w:t>
      </w:r>
      <w:r>
        <w:rPr>
          <w:bCs/>
        </w:rPr>
        <w:t>191.590,13</w:t>
      </w:r>
      <w:r w:rsidR="00091AD9">
        <w:rPr>
          <w:bCs/>
          <w:lang w:val="sr-Latn-RS"/>
        </w:rPr>
        <w:t xml:space="preserve"> </w:t>
      </w:r>
      <w:r w:rsidR="00274322">
        <w:rPr>
          <w:bCs/>
        </w:rPr>
        <w:t xml:space="preserve">КМ, </w:t>
      </w:r>
      <w:r w:rsidR="00274322" w:rsidRPr="00FF7418">
        <w:rPr>
          <w:bCs/>
        </w:rPr>
        <w:t xml:space="preserve">с тим да је између буџетских корисника </w:t>
      </w:r>
      <w:proofErr w:type="spellStart"/>
      <w:r w:rsidR="00274322" w:rsidRPr="00FF7418">
        <w:rPr>
          <w:bCs/>
        </w:rPr>
        <w:t>реалоцирано</w:t>
      </w:r>
      <w:proofErr w:type="spellEnd"/>
      <w:r w:rsidR="00091AD9">
        <w:rPr>
          <w:bCs/>
          <w:lang w:val="sr-Latn-RS"/>
        </w:rPr>
        <w:t xml:space="preserve"> </w:t>
      </w:r>
      <w:r>
        <w:rPr>
          <w:bCs/>
        </w:rPr>
        <w:t>35.300</w:t>
      </w:r>
      <w:r w:rsidR="00274322" w:rsidRPr="00FF7418">
        <w:rPr>
          <w:bCs/>
        </w:rPr>
        <w:t xml:space="preserve">,00 КМ, док су остале </w:t>
      </w:r>
      <w:proofErr w:type="spellStart"/>
      <w:r w:rsidR="00274322" w:rsidRPr="00FF7418">
        <w:rPr>
          <w:bCs/>
        </w:rPr>
        <w:t>реалокације</w:t>
      </w:r>
      <w:proofErr w:type="spellEnd"/>
      <w:r w:rsidR="00274322" w:rsidRPr="00FF7418">
        <w:rPr>
          <w:bCs/>
        </w:rPr>
        <w:t xml:space="preserve"> у укупној </w:t>
      </w:r>
      <w:proofErr w:type="spellStart"/>
      <w:r w:rsidR="00274322" w:rsidRPr="00FF7418">
        <w:rPr>
          <w:bCs/>
        </w:rPr>
        <w:t>вриједности</w:t>
      </w:r>
      <w:proofErr w:type="spellEnd"/>
      <w:r w:rsidR="00274322" w:rsidRPr="00FF7418">
        <w:rPr>
          <w:bCs/>
        </w:rPr>
        <w:t xml:space="preserve"> од </w:t>
      </w:r>
      <w:r>
        <w:rPr>
          <w:bCs/>
        </w:rPr>
        <w:t>156.290,13</w:t>
      </w:r>
      <w:r w:rsidR="003F2B7E">
        <w:rPr>
          <w:bCs/>
          <w:lang w:val="sr-Cyrl-RS"/>
        </w:rPr>
        <w:t xml:space="preserve"> </w:t>
      </w:r>
      <w:r w:rsidR="00274322" w:rsidRPr="00FF7418">
        <w:rPr>
          <w:bCs/>
        </w:rPr>
        <w:t>КМ изврш</w:t>
      </w:r>
      <w:r w:rsidR="00274322">
        <w:rPr>
          <w:bCs/>
        </w:rPr>
        <w:t>ене</w:t>
      </w:r>
      <w:r w:rsidR="00274322" w:rsidRPr="00FF7418">
        <w:rPr>
          <w:bCs/>
        </w:rPr>
        <w:t xml:space="preserve"> између</w:t>
      </w:r>
      <w:r w:rsidR="00B13EA7">
        <w:rPr>
          <w:bCs/>
          <w:lang w:val="sr-Latn-RS"/>
        </w:rPr>
        <w:t xml:space="preserve"> </w:t>
      </w:r>
      <w:r w:rsidR="00274322" w:rsidRPr="00FF7418">
        <w:rPr>
          <w:bCs/>
        </w:rPr>
        <w:t>позиција исте потрошачке јединице.</w:t>
      </w:r>
      <w:r w:rsidR="00274322">
        <w:rPr>
          <w:bCs/>
        </w:rPr>
        <w:t xml:space="preserve"> </w:t>
      </w:r>
      <w:proofErr w:type="spellStart"/>
      <w:r w:rsidR="00274322">
        <w:rPr>
          <w:bCs/>
        </w:rPr>
        <w:t>Реалокације</w:t>
      </w:r>
      <w:proofErr w:type="spellEnd"/>
      <w:r w:rsidR="00274322">
        <w:rPr>
          <w:bCs/>
        </w:rPr>
        <w:t xml:space="preserve"> текуће буџетске резерве </w:t>
      </w:r>
      <w:r>
        <w:rPr>
          <w:bCs/>
        </w:rPr>
        <w:t>након усвајања ребаланса буџета одобрене су</w:t>
      </w:r>
      <w:r w:rsidR="00274322">
        <w:rPr>
          <w:bCs/>
        </w:rPr>
        <w:t xml:space="preserve"> у укупном износу од </w:t>
      </w:r>
      <w:r w:rsidR="00E14861">
        <w:rPr>
          <w:bCs/>
        </w:rPr>
        <w:t>34.786,57</w:t>
      </w:r>
      <w:r w:rsidR="00274322">
        <w:rPr>
          <w:bCs/>
        </w:rPr>
        <w:t xml:space="preserve"> КМ, од чега је н</w:t>
      </w:r>
      <w:r w:rsidR="00274322">
        <w:t xml:space="preserve">ајвише </w:t>
      </w:r>
      <w:proofErr w:type="spellStart"/>
      <w:r w:rsidR="00274322">
        <w:t>реалокација</w:t>
      </w:r>
      <w:proofErr w:type="spellEnd"/>
      <w:r w:rsidR="00274322">
        <w:t xml:space="preserve">, укупне </w:t>
      </w:r>
      <w:proofErr w:type="spellStart"/>
      <w:r w:rsidR="00274322">
        <w:t>вриједности</w:t>
      </w:r>
      <w:proofErr w:type="spellEnd"/>
      <w:r w:rsidR="00274322">
        <w:t xml:space="preserve"> </w:t>
      </w:r>
      <w:r w:rsidR="00E14861">
        <w:t>30.452,57</w:t>
      </w:r>
      <w:r w:rsidR="00274322">
        <w:t xml:space="preserve"> КМ, извршено на позиције </w:t>
      </w:r>
      <w:proofErr w:type="spellStart"/>
      <w:r w:rsidR="00274322">
        <w:t>Одјељења</w:t>
      </w:r>
      <w:proofErr w:type="spellEnd"/>
      <w:r w:rsidR="00274322">
        <w:t xml:space="preserve"> за локални економски развој и друштвене </w:t>
      </w:r>
      <w:proofErr w:type="spellStart"/>
      <w:r w:rsidR="00274322">
        <w:t>дјелатности</w:t>
      </w:r>
      <w:proofErr w:type="spellEnd"/>
      <w:r w:rsidR="00274322">
        <w:t xml:space="preserve"> (средства за грантове и једнократне помоћи).</w:t>
      </w:r>
      <w:r w:rsidR="00091AD9">
        <w:rPr>
          <w:lang w:val="sr-Latn-RS"/>
        </w:rPr>
        <w:t xml:space="preserve"> </w:t>
      </w:r>
      <w:r w:rsidR="00E14861">
        <w:rPr>
          <w:bCs/>
        </w:rPr>
        <w:t xml:space="preserve">Детаљније информације о извршеним редовним </w:t>
      </w:r>
      <w:proofErr w:type="spellStart"/>
      <w:r w:rsidR="00E14861">
        <w:rPr>
          <w:bCs/>
        </w:rPr>
        <w:t>реалокацијама</w:t>
      </w:r>
      <w:proofErr w:type="spellEnd"/>
      <w:r w:rsidR="00E14861">
        <w:rPr>
          <w:bCs/>
        </w:rPr>
        <w:t xml:space="preserve"> и </w:t>
      </w:r>
      <w:proofErr w:type="spellStart"/>
      <w:r w:rsidR="00E14861">
        <w:rPr>
          <w:bCs/>
        </w:rPr>
        <w:t>реалокацијама</w:t>
      </w:r>
      <w:proofErr w:type="spellEnd"/>
      <w:r w:rsidR="00E14861">
        <w:rPr>
          <w:bCs/>
        </w:rPr>
        <w:t xml:space="preserve"> текуће буџетске резерве дате су у посебним поглављима овог </w:t>
      </w:r>
      <w:proofErr w:type="spellStart"/>
      <w:r w:rsidR="00E14861">
        <w:rPr>
          <w:bCs/>
        </w:rPr>
        <w:t>извјештаја</w:t>
      </w:r>
      <w:proofErr w:type="spellEnd"/>
      <w:r w:rsidR="00E14861">
        <w:rPr>
          <w:bCs/>
        </w:rPr>
        <w:t xml:space="preserve">.  </w:t>
      </w:r>
    </w:p>
    <w:p w14:paraId="4D54ED3E" w14:textId="77777777" w:rsidR="00E14861" w:rsidRDefault="00E14861" w:rsidP="00A7446D">
      <w:pPr>
        <w:pStyle w:val="Teloteksta"/>
        <w:spacing w:after="0"/>
        <w:ind w:left="0" w:firstLine="0"/>
        <w:rPr>
          <w:bCs/>
        </w:rPr>
      </w:pPr>
    </w:p>
    <w:p w14:paraId="4E1E3EB6" w14:textId="77777777" w:rsidR="00A90040" w:rsidRPr="00383D4F" w:rsidRDefault="00960E57" w:rsidP="00B13EA7">
      <w:pPr>
        <w:pStyle w:val="Podnaslovi2"/>
        <w:spacing w:before="120"/>
        <w:ind w:left="-357" w:firstLine="1077"/>
        <w:jc w:val="left"/>
        <w:rPr>
          <w:sz w:val="24"/>
          <w:szCs w:val="24"/>
        </w:rPr>
      </w:pPr>
      <w:bookmarkStart w:id="38" w:name="_Toc491329727"/>
      <w:bookmarkStart w:id="39" w:name="_Toc530745875"/>
      <w:bookmarkStart w:id="40" w:name="_Toc50641195"/>
      <w:r w:rsidRPr="00383D4F">
        <w:rPr>
          <w:sz w:val="24"/>
          <w:szCs w:val="24"/>
        </w:rPr>
        <w:t>Б</w:t>
      </w:r>
      <w:r w:rsidR="00A90040" w:rsidRPr="00383D4F">
        <w:rPr>
          <w:sz w:val="24"/>
          <w:szCs w:val="24"/>
        </w:rPr>
        <w:t xml:space="preserve">. Извршење буџетских расхода и издатака за </w:t>
      </w:r>
      <w:proofErr w:type="spellStart"/>
      <w:r w:rsidR="00A90040" w:rsidRPr="00383D4F">
        <w:rPr>
          <w:sz w:val="24"/>
          <w:szCs w:val="24"/>
        </w:rPr>
        <w:t>нефинансијску</w:t>
      </w:r>
      <w:bookmarkEnd w:id="38"/>
      <w:bookmarkEnd w:id="39"/>
      <w:bookmarkEnd w:id="40"/>
      <w:proofErr w:type="spellEnd"/>
    </w:p>
    <w:p w14:paraId="7958A820" w14:textId="77777777" w:rsidR="00A90040" w:rsidRPr="00383D4F" w:rsidRDefault="00B13EA7" w:rsidP="00B13EA7">
      <w:pPr>
        <w:pStyle w:val="Podnaslovi2"/>
        <w:rPr>
          <w:sz w:val="24"/>
          <w:szCs w:val="24"/>
        </w:rPr>
      </w:pPr>
      <w:bookmarkStart w:id="41" w:name="_Toc491329728"/>
      <w:bookmarkStart w:id="42" w:name="_Toc530745876"/>
      <w:bookmarkStart w:id="43" w:name="_Toc50641196"/>
      <w:r>
        <w:rPr>
          <w:sz w:val="24"/>
          <w:szCs w:val="24"/>
          <w:lang w:val="sr-Latn-RS"/>
        </w:rPr>
        <w:t xml:space="preserve">           </w:t>
      </w:r>
      <w:r w:rsidR="002663CD" w:rsidRPr="00383D4F">
        <w:rPr>
          <w:sz w:val="24"/>
          <w:szCs w:val="24"/>
        </w:rPr>
        <w:t>и</w:t>
      </w:r>
      <w:r w:rsidR="00E14861">
        <w:rPr>
          <w:sz w:val="24"/>
          <w:szCs w:val="24"/>
        </w:rPr>
        <w:t>мовину у периоду 01.01-31.12</w:t>
      </w:r>
      <w:r w:rsidR="002673D4" w:rsidRPr="00383D4F">
        <w:rPr>
          <w:sz w:val="24"/>
          <w:szCs w:val="24"/>
        </w:rPr>
        <w:t>.2020</w:t>
      </w:r>
      <w:r w:rsidR="00A90040" w:rsidRPr="00383D4F">
        <w:rPr>
          <w:sz w:val="24"/>
          <w:szCs w:val="24"/>
        </w:rPr>
        <w:t>. године</w:t>
      </w:r>
      <w:bookmarkEnd w:id="41"/>
      <w:bookmarkEnd w:id="42"/>
      <w:bookmarkEnd w:id="43"/>
    </w:p>
    <w:p w14:paraId="5936D5ED" w14:textId="77777777" w:rsidR="00A90040" w:rsidRDefault="00A90040" w:rsidP="00A90040">
      <w:pPr>
        <w:ind w:left="0" w:firstLine="0"/>
        <w:rPr>
          <w:b/>
          <w:bCs/>
          <w:sz w:val="28"/>
        </w:rPr>
      </w:pPr>
    </w:p>
    <w:p w14:paraId="27B9BA25" w14:textId="77777777" w:rsidR="008F7FDB" w:rsidRDefault="008F7FDB" w:rsidP="008F7FDB">
      <w:pPr>
        <w:ind w:left="0" w:firstLine="0"/>
      </w:pPr>
      <w:r>
        <w:rPr>
          <w:sz w:val="28"/>
          <w:szCs w:val="28"/>
        </w:rPr>
        <w:tab/>
      </w:r>
      <w:r>
        <w:t xml:space="preserve">Укупни остварени буџетски расходи и издаци за </w:t>
      </w:r>
      <w:proofErr w:type="spellStart"/>
      <w:r>
        <w:t>нефинансијску</w:t>
      </w:r>
      <w:proofErr w:type="spellEnd"/>
      <w:r>
        <w:t xml:space="preserve"> имовину </w:t>
      </w:r>
      <w:r w:rsidR="001B4DED">
        <w:t>општине Прњавор у периоду 01.01</w:t>
      </w:r>
      <w:r w:rsidRPr="0062350C">
        <w:rPr>
          <w:b/>
          <w:i/>
        </w:rPr>
        <w:t>–</w:t>
      </w:r>
      <w:r w:rsidR="00D6065D">
        <w:t>3</w:t>
      </w:r>
      <w:r w:rsidR="00CC6323">
        <w:t>1.12</w:t>
      </w:r>
      <w:r w:rsidR="001B4DED">
        <w:t>.2020</w:t>
      </w:r>
      <w:r>
        <w:t xml:space="preserve">. године </w:t>
      </w:r>
      <w:r w:rsidRPr="00AE53D3">
        <w:t xml:space="preserve">износе </w:t>
      </w:r>
      <w:r w:rsidR="00CC6323">
        <w:t>15.850.763,64</w:t>
      </w:r>
      <w:r w:rsidRPr="00AE53D3">
        <w:t xml:space="preserve"> КМ, што је </w:t>
      </w:r>
      <w:r w:rsidR="00CC6323">
        <w:t>94,97</w:t>
      </w:r>
      <w:r w:rsidRPr="00AE53D3">
        <w:t>% у</w:t>
      </w:r>
      <w:r>
        <w:t xml:space="preserve"> односу на план. </w:t>
      </w:r>
      <w:r w:rsidRPr="009E471D">
        <w:t xml:space="preserve">Основне </w:t>
      </w:r>
      <w:proofErr w:type="spellStart"/>
      <w:r w:rsidRPr="009E471D">
        <w:t>карaктеристике</w:t>
      </w:r>
      <w:proofErr w:type="spellEnd"/>
      <w:r w:rsidRPr="009E471D">
        <w:t xml:space="preserve"> остварења </w:t>
      </w:r>
      <w:r>
        <w:t xml:space="preserve">буџетских </w:t>
      </w:r>
      <w:r w:rsidRPr="009E471D">
        <w:t xml:space="preserve">расхода и издатака </w:t>
      </w:r>
      <w:r>
        <w:t xml:space="preserve">за </w:t>
      </w:r>
      <w:proofErr w:type="spellStart"/>
      <w:r>
        <w:t>нефинансијску</w:t>
      </w:r>
      <w:proofErr w:type="spellEnd"/>
      <w:r>
        <w:t xml:space="preserve"> имовину по групама, </w:t>
      </w:r>
      <w:r w:rsidRPr="009E471D">
        <w:t>су с</w:t>
      </w:r>
      <w:r>
        <w:t>љ</w:t>
      </w:r>
      <w:r w:rsidRPr="009E471D">
        <w:t>едеће:</w:t>
      </w:r>
    </w:p>
    <w:p w14:paraId="1B26D724" w14:textId="77777777" w:rsidR="008F7FDB" w:rsidRDefault="008F7FDB" w:rsidP="008F7FDB">
      <w:pPr>
        <w:ind w:left="0" w:firstLine="0"/>
      </w:pPr>
    </w:p>
    <w:p w14:paraId="3C182E4F" w14:textId="77777777" w:rsidR="009E4FA8" w:rsidRDefault="008F7FDB" w:rsidP="003960D3">
      <w:pPr>
        <w:numPr>
          <w:ilvl w:val="0"/>
          <w:numId w:val="2"/>
        </w:numPr>
      </w:pPr>
      <w:r w:rsidRPr="009E4FA8">
        <w:rPr>
          <w:b/>
        </w:rPr>
        <w:t>Расходи за лична примања</w:t>
      </w:r>
      <w:r w:rsidR="00B13EA7">
        <w:rPr>
          <w:b/>
          <w:lang w:val="sr-Latn-RS"/>
        </w:rPr>
        <w:t xml:space="preserve"> </w:t>
      </w:r>
      <w:r w:rsidR="00617323" w:rsidRPr="009E4FA8">
        <w:rPr>
          <w:b/>
        </w:rPr>
        <w:t>запослених</w:t>
      </w:r>
      <w:r w:rsidR="00B13EA7">
        <w:rPr>
          <w:b/>
          <w:lang w:val="sr-Latn-RS"/>
        </w:rPr>
        <w:t xml:space="preserve"> </w:t>
      </w:r>
      <w:r>
        <w:t>с</w:t>
      </w:r>
      <w:r w:rsidR="004761E2">
        <w:t xml:space="preserve">у остварени у укупном износу од      </w:t>
      </w:r>
      <w:r w:rsidR="00CC6323">
        <w:t>4.527.556,95</w:t>
      </w:r>
      <w:r>
        <w:t xml:space="preserve"> КМ, или</w:t>
      </w:r>
      <w:r w:rsidR="00AE53D3">
        <w:t xml:space="preserve"> са</w:t>
      </w:r>
      <w:r w:rsidR="00091AD9">
        <w:rPr>
          <w:lang w:val="sr-Latn-RS"/>
        </w:rPr>
        <w:t xml:space="preserve"> </w:t>
      </w:r>
      <w:r w:rsidR="00CC6323">
        <w:t>99,08</w:t>
      </w:r>
      <w:r>
        <w:t xml:space="preserve">% у односу на план, </w:t>
      </w:r>
    </w:p>
    <w:p w14:paraId="06B56950" w14:textId="77777777" w:rsidR="008F7FDB" w:rsidRPr="00474E8F" w:rsidRDefault="008F7FDB" w:rsidP="003960D3">
      <w:pPr>
        <w:numPr>
          <w:ilvl w:val="0"/>
          <w:numId w:val="2"/>
        </w:numPr>
      </w:pPr>
      <w:r w:rsidRPr="009E4FA8">
        <w:rPr>
          <w:b/>
        </w:rPr>
        <w:t xml:space="preserve">Расходи по основу коришћења роба и услуга </w:t>
      </w:r>
      <w:r>
        <w:t xml:space="preserve">су </w:t>
      </w:r>
      <w:r w:rsidR="003C3235">
        <w:t>извршени</w:t>
      </w:r>
      <w:r w:rsidR="00695B49">
        <w:rPr>
          <w:lang w:val="sr-Latn-RS"/>
        </w:rPr>
        <w:t xml:space="preserve"> </w:t>
      </w:r>
      <w:r w:rsidRPr="005405EE">
        <w:t>у укупном износу од</w:t>
      </w:r>
      <w:r w:rsidR="00B13EA7">
        <w:rPr>
          <w:lang w:val="sr-Latn-RS"/>
        </w:rPr>
        <w:t xml:space="preserve"> </w:t>
      </w:r>
      <w:r w:rsidR="00CC6323">
        <w:t>2.576.908,03</w:t>
      </w:r>
      <w:r w:rsidRPr="005405EE">
        <w:t xml:space="preserve"> КМ</w:t>
      </w:r>
      <w:r>
        <w:t xml:space="preserve">, што је </w:t>
      </w:r>
      <w:r w:rsidR="00CC6323">
        <w:t>94,92</w:t>
      </w:r>
      <w:r>
        <w:t xml:space="preserve">% од плана, </w:t>
      </w:r>
    </w:p>
    <w:p w14:paraId="7895E904" w14:textId="77777777" w:rsidR="001B4DED" w:rsidRPr="001B4DED" w:rsidRDefault="008F7FDB" w:rsidP="00311777">
      <w:pPr>
        <w:numPr>
          <w:ilvl w:val="0"/>
          <w:numId w:val="2"/>
        </w:numPr>
      </w:pPr>
      <w:r w:rsidRPr="001B4DED">
        <w:rPr>
          <w:b/>
        </w:rPr>
        <w:t>Расходи финансирања и други финансијски трошкови</w:t>
      </w:r>
      <w:r w:rsidR="00B13EA7">
        <w:rPr>
          <w:b/>
          <w:lang w:val="sr-Latn-RS"/>
        </w:rPr>
        <w:t xml:space="preserve"> </w:t>
      </w:r>
      <w:r w:rsidR="001B4DED">
        <w:t>у 2020</w:t>
      </w:r>
      <w:r w:rsidR="008669AC">
        <w:t>. години</w:t>
      </w:r>
      <w:r w:rsidR="001B4DED">
        <w:t xml:space="preserve"> реализовани</w:t>
      </w:r>
      <w:r w:rsidR="001B4DED" w:rsidRPr="009E471D">
        <w:t xml:space="preserve"> су у износу од </w:t>
      </w:r>
      <w:r w:rsidR="008669AC">
        <w:t>200.315,89</w:t>
      </w:r>
      <w:r w:rsidR="001B4DED">
        <w:t xml:space="preserve"> КМ, што је </w:t>
      </w:r>
      <w:r w:rsidR="008669AC">
        <w:t>98</w:t>
      </w:r>
      <w:r w:rsidR="001B4DED">
        <w:t>% од плана</w:t>
      </w:r>
    </w:p>
    <w:p w14:paraId="2A193F2E" w14:textId="77777777" w:rsidR="00515358" w:rsidRDefault="00515358" w:rsidP="00311777">
      <w:pPr>
        <w:numPr>
          <w:ilvl w:val="0"/>
          <w:numId w:val="2"/>
        </w:numPr>
      </w:pPr>
      <w:r w:rsidRPr="001B4DED">
        <w:rPr>
          <w:b/>
        </w:rPr>
        <w:t xml:space="preserve">Субвенције </w:t>
      </w:r>
      <w:r w:rsidRPr="001B4DED">
        <w:t xml:space="preserve">су извршене у износу од </w:t>
      </w:r>
      <w:r w:rsidR="008669AC">
        <w:t>599.633,36</w:t>
      </w:r>
      <w:r w:rsidRPr="001B4DED">
        <w:t xml:space="preserve"> КМ, што је </w:t>
      </w:r>
      <w:r w:rsidR="008669AC">
        <w:t>98,57</w:t>
      </w:r>
      <w:r w:rsidRPr="001B4DED">
        <w:t>% од планираних средстава,</w:t>
      </w:r>
    </w:p>
    <w:p w14:paraId="2599A3F3" w14:textId="77777777" w:rsidR="009E4FA8" w:rsidRPr="009E4FA8" w:rsidRDefault="008F7FDB" w:rsidP="003960D3">
      <w:pPr>
        <w:numPr>
          <w:ilvl w:val="0"/>
          <w:numId w:val="2"/>
        </w:numPr>
        <w:rPr>
          <w:b/>
        </w:rPr>
      </w:pPr>
      <w:r w:rsidRPr="009E4FA8">
        <w:rPr>
          <w:b/>
        </w:rPr>
        <w:t xml:space="preserve">Грантови </w:t>
      </w:r>
      <w:r w:rsidRPr="009E471D">
        <w:t xml:space="preserve">су </w:t>
      </w:r>
      <w:r w:rsidR="00DB0FA8">
        <w:t>извршени</w:t>
      </w:r>
      <w:r w:rsidRPr="009E471D">
        <w:t xml:space="preserve"> у износу од </w:t>
      </w:r>
      <w:r w:rsidR="008669AC">
        <w:t>1.327.712,51</w:t>
      </w:r>
      <w:r w:rsidRPr="009E471D">
        <w:t xml:space="preserve"> КМ, </w:t>
      </w:r>
      <w:r>
        <w:t>или</w:t>
      </w:r>
      <w:r w:rsidR="00B13EA7">
        <w:rPr>
          <w:lang w:val="sr-Latn-RS"/>
        </w:rPr>
        <w:t xml:space="preserve"> </w:t>
      </w:r>
      <w:r w:rsidR="00724B68">
        <w:t xml:space="preserve">са </w:t>
      </w:r>
      <w:r w:rsidR="008669AC">
        <w:t>76,01</w:t>
      </w:r>
      <w:r w:rsidRPr="009E471D">
        <w:t xml:space="preserve">% </w:t>
      </w:r>
      <w:r>
        <w:t xml:space="preserve">од плана, </w:t>
      </w:r>
    </w:p>
    <w:p w14:paraId="12336BC2" w14:textId="77777777" w:rsidR="008F7FDB" w:rsidRPr="009E4FA8" w:rsidRDefault="008F7FDB" w:rsidP="003960D3">
      <w:pPr>
        <w:numPr>
          <w:ilvl w:val="0"/>
          <w:numId w:val="2"/>
        </w:numPr>
        <w:rPr>
          <w:b/>
        </w:rPr>
      </w:pPr>
      <w:r w:rsidRPr="009E4FA8">
        <w:rPr>
          <w:b/>
        </w:rPr>
        <w:t>Дознаке на име социјалне заштите које се исплаћују из буџета општине</w:t>
      </w:r>
      <w:r w:rsidR="00091AD9">
        <w:rPr>
          <w:b/>
          <w:lang w:val="sr-Latn-RS"/>
        </w:rPr>
        <w:t xml:space="preserve"> </w:t>
      </w:r>
      <w:r w:rsidRPr="009E471D">
        <w:t>су</w:t>
      </w:r>
      <w:r w:rsidRPr="009E4FA8">
        <w:rPr>
          <w:lang w:val="sr-Cyrl-BA"/>
        </w:rPr>
        <w:t xml:space="preserve"> извршене</w:t>
      </w:r>
      <w:r w:rsidRPr="009E471D">
        <w:t xml:space="preserve"> у износу од </w:t>
      </w:r>
      <w:r w:rsidR="008669AC">
        <w:t>3.086.922,61</w:t>
      </w:r>
      <w:r>
        <w:t xml:space="preserve">, што је </w:t>
      </w:r>
      <w:r w:rsidR="008669AC">
        <w:t>98,20</w:t>
      </w:r>
      <w:r>
        <w:t xml:space="preserve">% у односу на план, </w:t>
      </w:r>
    </w:p>
    <w:p w14:paraId="59B9BA15" w14:textId="77777777" w:rsidR="006B21FF" w:rsidRPr="00351F4D" w:rsidRDefault="006B21FF" w:rsidP="001B4DED">
      <w:pPr>
        <w:numPr>
          <w:ilvl w:val="0"/>
          <w:numId w:val="2"/>
        </w:numPr>
        <w:rPr>
          <w:b/>
        </w:rPr>
      </w:pPr>
      <w:r>
        <w:rPr>
          <w:b/>
        </w:rPr>
        <w:t>Расходи финансирања</w:t>
      </w:r>
      <w:r w:rsidR="001B4DED">
        <w:rPr>
          <w:b/>
        </w:rPr>
        <w:t>,</w:t>
      </w:r>
      <w:r w:rsidR="00091AD9">
        <w:rPr>
          <w:b/>
          <w:lang w:val="sr-Latn-RS"/>
        </w:rPr>
        <w:t xml:space="preserve"> </w:t>
      </w:r>
      <w:r w:rsidR="001B4DED" w:rsidRPr="001B4DED">
        <w:rPr>
          <w:b/>
        </w:rPr>
        <w:t xml:space="preserve">други финансијски трошкови и расходи трансакција размјене између јединица власти </w:t>
      </w:r>
      <w:r>
        <w:t xml:space="preserve">су извршени у износу од </w:t>
      </w:r>
      <w:r w:rsidR="004C70BB">
        <w:t>28.815,28</w:t>
      </w:r>
      <w:r w:rsidR="00091AD9">
        <w:rPr>
          <w:lang w:val="sr-Latn-RS"/>
        </w:rPr>
        <w:t xml:space="preserve"> </w:t>
      </w:r>
      <w:r>
        <w:t xml:space="preserve">КМ, што је </w:t>
      </w:r>
      <w:r w:rsidR="004C70BB">
        <w:t>91,16</w:t>
      </w:r>
      <w:r>
        <w:t xml:space="preserve">% </w:t>
      </w:r>
      <w:r w:rsidR="002A3C88">
        <w:t>од</w:t>
      </w:r>
      <w:r>
        <w:t xml:space="preserve"> план</w:t>
      </w:r>
      <w:r w:rsidR="002A3C88">
        <w:t>а</w:t>
      </w:r>
      <w:r>
        <w:t>,</w:t>
      </w:r>
    </w:p>
    <w:p w14:paraId="452491D8" w14:textId="77777777" w:rsidR="00351F4D" w:rsidRPr="00E1159E" w:rsidRDefault="00351F4D" w:rsidP="008F7FDB">
      <w:pPr>
        <w:numPr>
          <w:ilvl w:val="0"/>
          <w:numId w:val="2"/>
        </w:numPr>
        <w:rPr>
          <w:b/>
        </w:rPr>
      </w:pPr>
      <w:r>
        <w:rPr>
          <w:b/>
        </w:rPr>
        <w:lastRenderedPageBreak/>
        <w:t xml:space="preserve">Расходи по судским </w:t>
      </w:r>
      <w:proofErr w:type="spellStart"/>
      <w:r>
        <w:rPr>
          <w:b/>
        </w:rPr>
        <w:t>рјешењима</w:t>
      </w:r>
      <w:proofErr w:type="spellEnd"/>
      <w:r>
        <w:rPr>
          <w:b/>
        </w:rPr>
        <w:t xml:space="preserve"> </w:t>
      </w:r>
      <w:r w:rsidRPr="00351F4D">
        <w:t xml:space="preserve">су у </w:t>
      </w:r>
      <w:proofErr w:type="spellStart"/>
      <w:r w:rsidRPr="00351F4D">
        <w:t>извјештајном</w:t>
      </w:r>
      <w:proofErr w:type="spellEnd"/>
      <w:r w:rsidRPr="00351F4D">
        <w:t xml:space="preserve"> периоду остварени у износу од</w:t>
      </w:r>
      <w:r w:rsidR="00091AD9">
        <w:rPr>
          <w:lang w:val="sr-Latn-RS"/>
        </w:rPr>
        <w:t xml:space="preserve"> </w:t>
      </w:r>
      <w:r w:rsidR="004C70BB">
        <w:t>47.079,00</w:t>
      </w:r>
      <w:r w:rsidRPr="00351F4D">
        <w:t xml:space="preserve"> КМ</w:t>
      </w:r>
      <w:r w:rsidR="0007218B">
        <w:t xml:space="preserve">, или са </w:t>
      </w:r>
      <w:r w:rsidR="004C70BB">
        <w:t>75,93</w:t>
      </w:r>
      <w:r w:rsidR="0007218B">
        <w:t xml:space="preserve">% у односу на план, </w:t>
      </w:r>
    </w:p>
    <w:p w14:paraId="26FBD99F" w14:textId="77777777" w:rsidR="009E4FA8" w:rsidRDefault="00E1159E" w:rsidP="003960D3">
      <w:pPr>
        <w:numPr>
          <w:ilvl w:val="0"/>
          <w:numId w:val="2"/>
        </w:numPr>
      </w:pPr>
      <w:r w:rsidRPr="009E4FA8">
        <w:rPr>
          <w:b/>
        </w:rPr>
        <w:t xml:space="preserve">Трансфери између и унутар јединица власти </w:t>
      </w:r>
      <w:r w:rsidR="00DB0FA8">
        <w:t>реализовани</w:t>
      </w:r>
      <w:r w:rsidR="00E966FD">
        <w:t xml:space="preserve"> су у износу од</w:t>
      </w:r>
      <w:r w:rsidR="00091AD9">
        <w:rPr>
          <w:lang w:val="sr-Latn-RS"/>
        </w:rPr>
        <w:t xml:space="preserve">      </w:t>
      </w:r>
      <w:r w:rsidR="004C70BB">
        <w:t>176.111,48</w:t>
      </w:r>
      <w:r>
        <w:t xml:space="preserve"> КМ</w:t>
      </w:r>
      <w:r w:rsidR="000E63F2">
        <w:t xml:space="preserve">, или са </w:t>
      </w:r>
      <w:r w:rsidR="004C70BB">
        <w:t>88,96</w:t>
      </w:r>
      <w:r w:rsidR="000E63F2">
        <w:t xml:space="preserve">% у односу на план, </w:t>
      </w:r>
    </w:p>
    <w:p w14:paraId="26D86D8C" w14:textId="77777777" w:rsidR="008F7FDB" w:rsidRDefault="008F7FDB" w:rsidP="003960D3">
      <w:pPr>
        <w:numPr>
          <w:ilvl w:val="0"/>
          <w:numId w:val="2"/>
        </w:numPr>
      </w:pPr>
      <w:r w:rsidRPr="009E4FA8">
        <w:rPr>
          <w:b/>
        </w:rPr>
        <w:t>Издаци за произведену сталну имовину</w:t>
      </w:r>
      <w:r w:rsidR="00091AD9">
        <w:rPr>
          <w:b/>
          <w:lang w:val="sr-Latn-RS"/>
        </w:rPr>
        <w:t xml:space="preserve"> </w:t>
      </w:r>
      <w:r w:rsidR="007659BC">
        <w:t>извршени</w:t>
      </w:r>
      <w:r>
        <w:t xml:space="preserve"> су у износу од </w:t>
      </w:r>
      <w:r w:rsidR="004C70BB">
        <w:t>3.215.674,30</w:t>
      </w:r>
      <w:r>
        <w:t xml:space="preserve"> КМ, што је </w:t>
      </w:r>
      <w:r w:rsidR="004C70BB">
        <w:t>96,14</w:t>
      </w:r>
      <w:r>
        <w:t xml:space="preserve">% од плана, </w:t>
      </w:r>
    </w:p>
    <w:p w14:paraId="57EF63F5" w14:textId="77777777" w:rsidR="00515358" w:rsidRPr="006D0C6D" w:rsidRDefault="00515358" w:rsidP="003960D3">
      <w:pPr>
        <w:numPr>
          <w:ilvl w:val="0"/>
          <w:numId w:val="2"/>
        </w:numPr>
      </w:pPr>
      <w:r>
        <w:rPr>
          <w:b/>
        </w:rPr>
        <w:t xml:space="preserve">Издаци за </w:t>
      </w:r>
      <w:proofErr w:type="spellStart"/>
      <w:r>
        <w:rPr>
          <w:b/>
        </w:rPr>
        <w:t>непроизведену</w:t>
      </w:r>
      <w:proofErr w:type="spellEnd"/>
      <w:r>
        <w:rPr>
          <w:b/>
        </w:rPr>
        <w:t xml:space="preserve"> сталну имовину </w:t>
      </w:r>
      <w:r>
        <w:t xml:space="preserve">извршени су у износу од </w:t>
      </w:r>
      <w:r w:rsidR="004C70BB">
        <w:t>49.733,79</w:t>
      </w:r>
      <w:r>
        <w:t xml:space="preserve"> КМ, што је </w:t>
      </w:r>
      <w:r w:rsidR="004C70BB">
        <w:t>99,57</w:t>
      </w:r>
      <w:r>
        <w:t>% од планираних средстава,</w:t>
      </w:r>
    </w:p>
    <w:p w14:paraId="15DA8E84" w14:textId="77777777" w:rsidR="009E4FA8" w:rsidRPr="00E966FD" w:rsidRDefault="008F7FDB" w:rsidP="002A3C88">
      <w:pPr>
        <w:pStyle w:val="Teloteksta2"/>
        <w:numPr>
          <w:ilvl w:val="0"/>
          <w:numId w:val="2"/>
        </w:numPr>
        <w:spacing w:after="0" w:line="240" w:lineRule="auto"/>
      </w:pPr>
      <w:r w:rsidRPr="00A01F4D">
        <w:rPr>
          <w:b/>
          <w:bCs/>
        </w:rPr>
        <w:t>Издаци за залихе материјала, робе и ситног инвентара, амбалаже и сл</w:t>
      </w:r>
      <w:r>
        <w:rPr>
          <w:bCs/>
        </w:rPr>
        <w:t>.</w:t>
      </w:r>
      <w:r>
        <w:rPr>
          <w:bCs/>
          <w:lang w:val="sr-Cyrl-BA"/>
        </w:rPr>
        <w:t xml:space="preserve"> извршени</w:t>
      </w:r>
      <w:r w:rsidRPr="00A01F4D">
        <w:rPr>
          <w:bCs/>
        </w:rPr>
        <w:t xml:space="preserve"> су у износу од </w:t>
      </w:r>
      <w:r w:rsidR="004C70BB">
        <w:rPr>
          <w:bCs/>
        </w:rPr>
        <w:t>14.300,44</w:t>
      </w:r>
      <w:r w:rsidRPr="00A01F4D">
        <w:rPr>
          <w:bCs/>
        </w:rPr>
        <w:t xml:space="preserve"> КМ, што је </w:t>
      </w:r>
      <w:r w:rsidR="004C70BB">
        <w:rPr>
          <w:bCs/>
        </w:rPr>
        <w:t>89,21</w:t>
      </w:r>
      <w:r w:rsidRPr="00A01F4D">
        <w:rPr>
          <w:bCs/>
        </w:rPr>
        <w:t xml:space="preserve">% у односу на </w:t>
      </w:r>
      <w:r w:rsidR="009E4FA8">
        <w:rPr>
          <w:bCs/>
        </w:rPr>
        <w:t>план.</w:t>
      </w:r>
    </w:p>
    <w:p w14:paraId="7C9A0FA1" w14:textId="77777777" w:rsidR="00BB3B34" w:rsidRDefault="00BB3B34" w:rsidP="004C70BB">
      <w:pPr>
        <w:pStyle w:val="Teloteksta2"/>
        <w:spacing w:after="0" w:line="240" w:lineRule="auto"/>
        <w:ind w:left="0" w:firstLine="0"/>
      </w:pPr>
    </w:p>
    <w:p w14:paraId="3D567DBD" w14:textId="77777777" w:rsidR="00B01FE5" w:rsidRDefault="008F7FDB" w:rsidP="009C2254">
      <w:pPr>
        <w:tabs>
          <w:tab w:val="left" w:pos="5103"/>
        </w:tabs>
        <w:ind w:left="-709" w:firstLine="0"/>
      </w:pPr>
      <w:r>
        <w:t>Т</w:t>
      </w:r>
      <w:r w:rsidR="00D42922">
        <w:t xml:space="preserve">абела </w:t>
      </w:r>
      <w:r w:rsidR="00E966FD">
        <w:t>бр. 3</w:t>
      </w:r>
      <w:r>
        <w:t xml:space="preserve">. Буџетски расходи и издаци за </w:t>
      </w:r>
      <w:proofErr w:type="spellStart"/>
      <w:r>
        <w:t>нефинансијску</w:t>
      </w:r>
      <w:proofErr w:type="spellEnd"/>
      <w:r>
        <w:t xml:space="preserve"> </w:t>
      </w:r>
      <w:proofErr w:type="spellStart"/>
      <w:r>
        <w:t>им</w:t>
      </w:r>
      <w:r w:rsidR="00072BC3">
        <w:t>овину</w:t>
      </w:r>
      <w:r w:rsidR="004C70BB">
        <w:t>у</w:t>
      </w:r>
      <w:proofErr w:type="spellEnd"/>
      <w:r w:rsidR="004C70BB">
        <w:t xml:space="preserve"> периоду 01.01-31.12</w:t>
      </w:r>
      <w:r w:rsidR="00E966FD">
        <w:t>.2020</w:t>
      </w:r>
      <w:r>
        <w:t>. г</w:t>
      </w:r>
      <w:r w:rsidR="00515358">
        <w:t>одине</w:t>
      </w:r>
    </w:p>
    <w:tbl>
      <w:tblPr>
        <w:tblW w:w="11097" w:type="dxa"/>
        <w:tblInd w:w="-874" w:type="dxa"/>
        <w:tblLook w:val="04A0" w:firstRow="1" w:lastRow="0" w:firstColumn="1" w:lastColumn="0" w:noHBand="0" w:noVBand="1"/>
      </w:tblPr>
      <w:tblGrid>
        <w:gridCol w:w="500"/>
        <w:gridCol w:w="3380"/>
        <w:gridCol w:w="1366"/>
        <w:gridCol w:w="1340"/>
        <w:gridCol w:w="1366"/>
        <w:gridCol w:w="1366"/>
        <w:gridCol w:w="881"/>
        <w:gridCol w:w="898"/>
      </w:tblGrid>
      <w:tr w:rsidR="00B01FE5" w:rsidRPr="00B01FE5" w14:paraId="359C2E46" w14:textId="77777777" w:rsidTr="00695B49">
        <w:trPr>
          <w:trHeight w:val="1271"/>
          <w:tblHeader/>
        </w:trPr>
        <w:tc>
          <w:tcPr>
            <w:tcW w:w="500" w:type="dxa"/>
            <w:tcBorders>
              <w:top w:val="double" w:sz="6" w:space="0" w:color="auto"/>
              <w:left w:val="double" w:sz="6" w:space="0" w:color="auto"/>
              <w:bottom w:val="single" w:sz="4" w:space="0" w:color="auto"/>
              <w:right w:val="single" w:sz="4" w:space="0" w:color="auto"/>
            </w:tcBorders>
            <w:shd w:val="clear" w:color="auto" w:fill="auto"/>
            <w:vAlign w:val="center"/>
            <w:hideMark/>
          </w:tcPr>
          <w:p w14:paraId="3A228504" w14:textId="77777777" w:rsidR="00B01FE5" w:rsidRPr="00B01FE5" w:rsidRDefault="00B01FE5" w:rsidP="00B01FE5">
            <w:pPr>
              <w:ind w:left="0" w:right="0" w:firstLine="0"/>
              <w:jc w:val="center"/>
              <w:rPr>
                <w:b/>
                <w:bCs/>
                <w:sz w:val="20"/>
                <w:szCs w:val="20"/>
              </w:rPr>
            </w:pPr>
            <w:r w:rsidRPr="00B01FE5">
              <w:rPr>
                <w:b/>
                <w:bCs/>
                <w:sz w:val="20"/>
                <w:szCs w:val="20"/>
              </w:rPr>
              <w:t>Р.</w:t>
            </w:r>
            <w:r w:rsidRPr="00B01FE5">
              <w:rPr>
                <w:b/>
                <w:bCs/>
                <w:sz w:val="20"/>
                <w:szCs w:val="20"/>
              </w:rPr>
              <w:br/>
              <w:t>бр.</w:t>
            </w:r>
          </w:p>
        </w:tc>
        <w:tc>
          <w:tcPr>
            <w:tcW w:w="3380" w:type="dxa"/>
            <w:tcBorders>
              <w:top w:val="double" w:sz="6" w:space="0" w:color="auto"/>
              <w:left w:val="nil"/>
              <w:bottom w:val="single" w:sz="4" w:space="0" w:color="auto"/>
              <w:right w:val="single" w:sz="4" w:space="0" w:color="auto"/>
            </w:tcBorders>
            <w:shd w:val="clear" w:color="auto" w:fill="auto"/>
            <w:noWrap/>
            <w:vAlign w:val="center"/>
            <w:hideMark/>
          </w:tcPr>
          <w:p w14:paraId="5955BD9F" w14:textId="77777777" w:rsidR="00B01FE5" w:rsidRPr="00B01FE5" w:rsidRDefault="00B01FE5" w:rsidP="00B01FE5">
            <w:pPr>
              <w:ind w:left="0" w:right="0" w:firstLine="0"/>
              <w:jc w:val="center"/>
              <w:rPr>
                <w:b/>
                <w:bCs/>
                <w:sz w:val="20"/>
                <w:szCs w:val="20"/>
              </w:rPr>
            </w:pPr>
            <w:r w:rsidRPr="00B01FE5">
              <w:rPr>
                <w:b/>
                <w:bCs/>
                <w:sz w:val="20"/>
                <w:szCs w:val="20"/>
              </w:rPr>
              <w:t>Опис</w:t>
            </w:r>
          </w:p>
        </w:tc>
        <w:tc>
          <w:tcPr>
            <w:tcW w:w="1366" w:type="dxa"/>
            <w:tcBorders>
              <w:top w:val="double" w:sz="6" w:space="0" w:color="auto"/>
              <w:left w:val="nil"/>
              <w:bottom w:val="single" w:sz="4" w:space="0" w:color="auto"/>
              <w:right w:val="single" w:sz="4" w:space="0" w:color="auto"/>
            </w:tcBorders>
            <w:shd w:val="clear" w:color="auto" w:fill="auto"/>
            <w:vAlign w:val="center"/>
            <w:hideMark/>
          </w:tcPr>
          <w:p w14:paraId="49586E6D" w14:textId="77777777" w:rsidR="00B01FE5" w:rsidRPr="00B01FE5" w:rsidRDefault="00B01FE5" w:rsidP="00B01FE5">
            <w:pPr>
              <w:ind w:left="0" w:right="0" w:firstLine="0"/>
              <w:jc w:val="center"/>
              <w:rPr>
                <w:b/>
                <w:bCs/>
                <w:sz w:val="20"/>
                <w:szCs w:val="20"/>
              </w:rPr>
            </w:pPr>
            <w:r w:rsidRPr="00B01FE5">
              <w:rPr>
                <w:b/>
                <w:bCs/>
                <w:sz w:val="20"/>
                <w:szCs w:val="20"/>
              </w:rPr>
              <w:t xml:space="preserve"> Ребаланс буџета за 2020. годину</w:t>
            </w:r>
          </w:p>
        </w:tc>
        <w:tc>
          <w:tcPr>
            <w:tcW w:w="1340" w:type="dxa"/>
            <w:tcBorders>
              <w:top w:val="double" w:sz="6" w:space="0" w:color="auto"/>
              <w:left w:val="nil"/>
              <w:bottom w:val="single" w:sz="4" w:space="0" w:color="auto"/>
              <w:right w:val="single" w:sz="4" w:space="0" w:color="auto"/>
            </w:tcBorders>
            <w:shd w:val="clear" w:color="auto" w:fill="auto"/>
            <w:vAlign w:val="center"/>
            <w:hideMark/>
          </w:tcPr>
          <w:p w14:paraId="60913A7D" w14:textId="77777777" w:rsidR="00B01FE5" w:rsidRPr="00B01FE5" w:rsidRDefault="00B01FE5" w:rsidP="00B01FE5">
            <w:pPr>
              <w:ind w:left="0" w:right="0" w:firstLine="0"/>
              <w:jc w:val="center"/>
              <w:rPr>
                <w:b/>
                <w:bCs/>
                <w:sz w:val="20"/>
                <w:szCs w:val="20"/>
              </w:rPr>
            </w:pPr>
            <w:r w:rsidRPr="00B01FE5">
              <w:rPr>
                <w:b/>
                <w:bCs/>
                <w:sz w:val="20"/>
                <w:szCs w:val="20"/>
              </w:rPr>
              <w:t xml:space="preserve">Извршене </w:t>
            </w:r>
            <w:proofErr w:type="spellStart"/>
            <w:r w:rsidRPr="00B01FE5">
              <w:rPr>
                <w:b/>
                <w:bCs/>
                <w:sz w:val="20"/>
                <w:szCs w:val="20"/>
              </w:rPr>
              <w:t>реалокације</w:t>
            </w:r>
            <w:proofErr w:type="spellEnd"/>
            <w:r w:rsidRPr="00B01FE5">
              <w:rPr>
                <w:b/>
                <w:bCs/>
                <w:sz w:val="20"/>
                <w:szCs w:val="20"/>
              </w:rPr>
              <w:br/>
              <w:t>након усвајања ребаланса буџета</w:t>
            </w:r>
          </w:p>
        </w:tc>
        <w:tc>
          <w:tcPr>
            <w:tcW w:w="1366" w:type="dxa"/>
            <w:tcBorders>
              <w:top w:val="double" w:sz="6" w:space="0" w:color="auto"/>
              <w:left w:val="nil"/>
              <w:bottom w:val="single" w:sz="4" w:space="0" w:color="auto"/>
              <w:right w:val="single" w:sz="4" w:space="0" w:color="auto"/>
            </w:tcBorders>
            <w:shd w:val="clear" w:color="auto" w:fill="auto"/>
            <w:vAlign w:val="center"/>
            <w:hideMark/>
          </w:tcPr>
          <w:p w14:paraId="3E7DC705" w14:textId="77777777" w:rsidR="00B01FE5" w:rsidRPr="00B01FE5" w:rsidRDefault="00B01FE5" w:rsidP="00B01FE5">
            <w:pPr>
              <w:ind w:left="0" w:right="0" w:firstLine="0"/>
              <w:jc w:val="center"/>
              <w:rPr>
                <w:b/>
                <w:bCs/>
                <w:sz w:val="20"/>
                <w:szCs w:val="20"/>
              </w:rPr>
            </w:pPr>
            <w:r w:rsidRPr="00B01FE5">
              <w:rPr>
                <w:b/>
                <w:bCs/>
                <w:sz w:val="20"/>
                <w:szCs w:val="20"/>
              </w:rPr>
              <w:t xml:space="preserve">Ребаланс и </w:t>
            </w:r>
            <w:proofErr w:type="spellStart"/>
            <w:r w:rsidRPr="00B01FE5">
              <w:rPr>
                <w:b/>
                <w:bCs/>
                <w:sz w:val="20"/>
                <w:szCs w:val="20"/>
              </w:rPr>
              <w:t>реалокације</w:t>
            </w:r>
            <w:proofErr w:type="spellEnd"/>
            <w:r w:rsidRPr="00B01FE5">
              <w:rPr>
                <w:b/>
                <w:bCs/>
                <w:sz w:val="20"/>
                <w:szCs w:val="20"/>
              </w:rPr>
              <w:br/>
              <w:t xml:space="preserve"> извршене након ребаланса</w:t>
            </w:r>
          </w:p>
        </w:tc>
        <w:tc>
          <w:tcPr>
            <w:tcW w:w="1366" w:type="dxa"/>
            <w:tcBorders>
              <w:top w:val="double" w:sz="6" w:space="0" w:color="auto"/>
              <w:left w:val="nil"/>
              <w:bottom w:val="single" w:sz="4" w:space="0" w:color="auto"/>
              <w:right w:val="single" w:sz="4" w:space="0" w:color="auto"/>
            </w:tcBorders>
            <w:shd w:val="clear" w:color="auto" w:fill="auto"/>
            <w:vAlign w:val="center"/>
            <w:hideMark/>
          </w:tcPr>
          <w:p w14:paraId="7A48DD16" w14:textId="77777777" w:rsidR="00B01FE5" w:rsidRPr="00B01FE5" w:rsidRDefault="00B01FE5" w:rsidP="00B01FE5">
            <w:pPr>
              <w:ind w:left="0" w:right="0" w:firstLine="0"/>
              <w:jc w:val="center"/>
              <w:rPr>
                <w:b/>
                <w:bCs/>
                <w:sz w:val="20"/>
                <w:szCs w:val="20"/>
              </w:rPr>
            </w:pPr>
            <w:r w:rsidRPr="00B01FE5">
              <w:rPr>
                <w:b/>
                <w:bCs/>
                <w:sz w:val="20"/>
                <w:szCs w:val="20"/>
              </w:rPr>
              <w:t>Извршење 01.01-31.12.2020. године</w:t>
            </w:r>
          </w:p>
        </w:tc>
        <w:tc>
          <w:tcPr>
            <w:tcW w:w="881" w:type="dxa"/>
            <w:tcBorders>
              <w:top w:val="double" w:sz="6" w:space="0" w:color="auto"/>
              <w:left w:val="nil"/>
              <w:bottom w:val="single" w:sz="4" w:space="0" w:color="auto"/>
              <w:right w:val="single" w:sz="4" w:space="0" w:color="auto"/>
            </w:tcBorders>
            <w:shd w:val="clear" w:color="auto" w:fill="auto"/>
            <w:vAlign w:val="center"/>
            <w:hideMark/>
          </w:tcPr>
          <w:p w14:paraId="58567FC4" w14:textId="77777777" w:rsidR="00B01FE5" w:rsidRPr="00B01FE5" w:rsidRDefault="00B01FE5" w:rsidP="00B01FE5">
            <w:pPr>
              <w:ind w:left="0" w:right="0" w:firstLine="0"/>
              <w:jc w:val="center"/>
              <w:rPr>
                <w:b/>
                <w:bCs/>
                <w:sz w:val="20"/>
                <w:szCs w:val="20"/>
              </w:rPr>
            </w:pPr>
            <w:r w:rsidRPr="00B01FE5">
              <w:rPr>
                <w:b/>
                <w:bCs/>
                <w:sz w:val="20"/>
                <w:szCs w:val="20"/>
              </w:rPr>
              <w:t xml:space="preserve">Индекс </w:t>
            </w:r>
          </w:p>
        </w:tc>
        <w:tc>
          <w:tcPr>
            <w:tcW w:w="898" w:type="dxa"/>
            <w:tcBorders>
              <w:top w:val="double" w:sz="6" w:space="0" w:color="auto"/>
              <w:left w:val="nil"/>
              <w:bottom w:val="single" w:sz="4" w:space="0" w:color="auto"/>
              <w:right w:val="double" w:sz="6" w:space="0" w:color="auto"/>
            </w:tcBorders>
            <w:shd w:val="clear" w:color="auto" w:fill="auto"/>
            <w:vAlign w:val="center"/>
            <w:hideMark/>
          </w:tcPr>
          <w:p w14:paraId="097055E7" w14:textId="77777777" w:rsidR="00B01FE5" w:rsidRPr="00B01FE5" w:rsidRDefault="00B01FE5" w:rsidP="00B01FE5">
            <w:pPr>
              <w:ind w:left="0" w:right="0" w:firstLine="0"/>
              <w:jc w:val="center"/>
              <w:rPr>
                <w:b/>
                <w:bCs/>
                <w:sz w:val="20"/>
                <w:szCs w:val="20"/>
              </w:rPr>
            </w:pPr>
            <w:r w:rsidRPr="00B01FE5">
              <w:rPr>
                <w:b/>
                <w:bCs/>
                <w:sz w:val="20"/>
                <w:szCs w:val="20"/>
              </w:rPr>
              <w:t>% учешћа</w:t>
            </w:r>
          </w:p>
        </w:tc>
      </w:tr>
      <w:tr w:rsidR="00B01FE5" w:rsidRPr="00B01FE5" w14:paraId="582CF9D8" w14:textId="77777777" w:rsidTr="00B01FE5">
        <w:trPr>
          <w:trHeight w:val="225"/>
          <w:tblHeader/>
        </w:trPr>
        <w:tc>
          <w:tcPr>
            <w:tcW w:w="500" w:type="dxa"/>
            <w:tcBorders>
              <w:top w:val="nil"/>
              <w:left w:val="double" w:sz="6" w:space="0" w:color="auto"/>
              <w:bottom w:val="single" w:sz="4" w:space="0" w:color="auto"/>
              <w:right w:val="single" w:sz="4" w:space="0" w:color="auto"/>
            </w:tcBorders>
            <w:shd w:val="clear" w:color="auto" w:fill="auto"/>
            <w:vAlign w:val="center"/>
            <w:hideMark/>
          </w:tcPr>
          <w:p w14:paraId="43A8057A" w14:textId="77777777" w:rsidR="00B01FE5" w:rsidRPr="00B01FE5" w:rsidRDefault="00B01FE5" w:rsidP="00B01FE5">
            <w:pPr>
              <w:ind w:left="0" w:right="0" w:firstLine="0"/>
              <w:jc w:val="center"/>
              <w:rPr>
                <w:sz w:val="14"/>
                <w:szCs w:val="14"/>
              </w:rPr>
            </w:pPr>
            <w:r w:rsidRPr="00B01FE5">
              <w:rPr>
                <w:sz w:val="14"/>
                <w:szCs w:val="14"/>
              </w:rPr>
              <w:t>1</w:t>
            </w:r>
          </w:p>
        </w:tc>
        <w:tc>
          <w:tcPr>
            <w:tcW w:w="3380" w:type="dxa"/>
            <w:tcBorders>
              <w:top w:val="nil"/>
              <w:left w:val="nil"/>
              <w:bottom w:val="single" w:sz="4" w:space="0" w:color="auto"/>
              <w:right w:val="single" w:sz="4" w:space="0" w:color="auto"/>
            </w:tcBorders>
            <w:shd w:val="clear" w:color="auto" w:fill="auto"/>
            <w:noWrap/>
            <w:vAlign w:val="center"/>
            <w:hideMark/>
          </w:tcPr>
          <w:p w14:paraId="1FE6EF31" w14:textId="77777777" w:rsidR="00B01FE5" w:rsidRPr="00B01FE5" w:rsidRDefault="00B01FE5" w:rsidP="00B01FE5">
            <w:pPr>
              <w:ind w:left="0" w:right="0" w:firstLine="0"/>
              <w:jc w:val="center"/>
              <w:rPr>
                <w:sz w:val="14"/>
                <w:szCs w:val="14"/>
              </w:rPr>
            </w:pPr>
            <w:r w:rsidRPr="00B01FE5">
              <w:rPr>
                <w:sz w:val="14"/>
                <w:szCs w:val="14"/>
              </w:rPr>
              <w:t>2</w:t>
            </w:r>
          </w:p>
        </w:tc>
        <w:tc>
          <w:tcPr>
            <w:tcW w:w="1366" w:type="dxa"/>
            <w:tcBorders>
              <w:top w:val="nil"/>
              <w:left w:val="nil"/>
              <w:bottom w:val="single" w:sz="4" w:space="0" w:color="auto"/>
              <w:right w:val="single" w:sz="4" w:space="0" w:color="auto"/>
            </w:tcBorders>
            <w:shd w:val="clear" w:color="auto" w:fill="auto"/>
            <w:noWrap/>
            <w:vAlign w:val="center"/>
            <w:hideMark/>
          </w:tcPr>
          <w:p w14:paraId="7972E46B" w14:textId="77777777" w:rsidR="00B01FE5" w:rsidRPr="00B01FE5" w:rsidRDefault="00B01FE5" w:rsidP="00B01FE5">
            <w:pPr>
              <w:ind w:left="0" w:right="0" w:firstLine="0"/>
              <w:jc w:val="center"/>
              <w:rPr>
                <w:sz w:val="14"/>
                <w:szCs w:val="14"/>
              </w:rPr>
            </w:pPr>
            <w:r w:rsidRPr="00B01FE5">
              <w:rPr>
                <w:sz w:val="14"/>
                <w:szCs w:val="14"/>
              </w:rPr>
              <w:t>3</w:t>
            </w:r>
          </w:p>
        </w:tc>
        <w:tc>
          <w:tcPr>
            <w:tcW w:w="1340" w:type="dxa"/>
            <w:tcBorders>
              <w:top w:val="nil"/>
              <w:left w:val="nil"/>
              <w:bottom w:val="single" w:sz="4" w:space="0" w:color="auto"/>
              <w:right w:val="single" w:sz="4" w:space="0" w:color="auto"/>
            </w:tcBorders>
            <w:shd w:val="clear" w:color="auto" w:fill="auto"/>
            <w:noWrap/>
            <w:vAlign w:val="center"/>
            <w:hideMark/>
          </w:tcPr>
          <w:p w14:paraId="47B1D0DC" w14:textId="77777777" w:rsidR="00B01FE5" w:rsidRPr="00B01FE5" w:rsidRDefault="00B01FE5" w:rsidP="00B01FE5">
            <w:pPr>
              <w:ind w:left="0" w:right="0" w:firstLine="0"/>
              <w:jc w:val="center"/>
              <w:rPr>
                <w:sz w:val="14"/>
                <w:szCs w:val="14"/>
              </w:rPr>
            </w:pPr>
            <w:r w:rsidRPr="00B01FE5">
              <w:rPr>
                <w:sz w:val="14"/>
                <w:szCs w:val="14"/>
              </w:rPr>
              <w:t>4</w:t>
            </w:r>
          </w:p>
        </w:tc>
        <w:tc>
          <w:tcPr>
            <w:tcW w:w="1366" w:type="dxa"/>
            <w:tcBorders>
              <w:top w:val="nil"/>
              <w:left w:val="nil"/>
              <w:bottom w:val="single" w:sz="4" w:space="0" w:color="auto"/>
              <w:right w:val="single" w:sz="4" w:space="0" w:color="auto"/>
            </w:tcBorders>
            <w:shd w:val="clear" w:color="auto" w:fill="auto"/>
            <w:noWrap/>
            <w:vAlign w:val="center"/>
            <w:hideMark/>
          </w:tcPr>
          <w:p w14:paraId="0BA668A8" w14:textId="77777777" w:rsidR="00B01FE5" w:rsidRPr="00B01FE5" w:rsidRDefault="00B01FE5" w:rsidP="00B01FE5">
            <w:pPr>
              <w:ind w:left="0" w:right="0" w:firstLine="0"/>
              <w:jc w:val="center"/>
              <w:rPr>
                <w:sz w:val="14"/>
                <w:szCs w:val="14"/>
              </w:rPr>
            </w:pPr>
            <w:r w:rsidRPr="00B01FE5">
              <w:rPr>
                <w:sz w:val="14"/>
                <w:szCs w:val="14"/>
              </w:rPr>
              <w:t>5=3+4</w:t>
            </w:r>
          </w:p>
        </w:tc>
        <w:tc>
          <w:tcPr>
            <w:tcW w:w="1366" w:type="dxa"/>
            <w:tcBorders>
              <w:top w:val="nil"/>
              <w:left w:val="nil"/>
              <w:bottom w:val="single" w:sz="4" w:space="0" w:color="auto"/>
              <w:right w:val="single" w:sz="4" w:space="0" w:color="auto"/>
            </w:tcBorders>
            <w:shd w:val="clear" w:color="auto" w:fill="auto"/>
            <w:vAlign w:val="center"/>
            <w:hideMark/>
          </w:tcPr>
          <w:p w14:paraId="0A09BB9E" w14:textId="77777777" w:rsidR="00B01FE5" w:rsidRPr="00B01FE5" w:rsidRDefault="00B01FE5" w:rsidP="00B01FE5">
            <w:pPr>
              <w:ind w:left="0" w:right="0" w:firstLine="0"/>
              <w:jc w:val="center"/>
              <w:rPr>
                <w:sz w:val="14"/>
                <w:szCs w:val="14"/>
              </w:rPr>
            </w:pPr>
            <w:r w:rsidRPr="00B01FE5">
              <w:rPr>
                <w:sz w:val="14"/>
                <w:szCs w:val="14"/>
              </w:rPr>
              <w:t>6</w:t>
            </w:r>
          </w:p>
        </w:tc>
        <w:tc>
          <w:tcPr>
            <w:tcW w:w="881" w:type="dxa"/>
            <w:tcBorders>
              <w:top w:val="nil"/>
              <w:left w:val="nil"/>
              <w:bottom w:val="single" w:sz="4" w:space="0" w:color="auto"/>
              <w:right w:val="single" w:sz="4" w:space="0" w:color="auto"/>
            </w:tcBorders>
            <w:shd w:val="clear" w:color="auto" w:fill="auto"/>
            <w:vAlign w:val="center"/>
            <w:hideMark/>
          </w:tcPr>
          <w:p w14:paraId="326F53EC" w14:textId="77777777" w:rsidR="00B01FE5" w:rsidRPr="00B01FE5" w:rsidRDefault="00B01FE5" w:rsidP="00B01FE5">
            <w:pPr>
              <w:ind w:left="0" w:right="0" w:firstLine="0"/>
              <w:jc w:val="center"/>
              <w:rPr>
                <w:sz w:val="14"/>
                <w:szCs w:val="14"/>
              </w:rPr>
            </w:pPr>
            <w:r w:rsidRPr="00B01FE5">
              <w:rPr>
                <w:sz w:val="14"/>
                <w:szCs w:val="14"/>
              </w:rPr>
              <w:t>7(6/5*100)</w:t>
            </w:r>
          </w:p>
        </w:tc>
        <w:tc>
          <w:tcPr>
            <w:tcW w:w="898" w:type="dxa"/>
            <w:tcBorders>
              <w:top w:val="nil"/>
              <w:left w:val="nil"/>
              <w:bottom w:val="single" w:sz="4" w:space="0" w:color="auto"/>
              <w:right w:val="double" w:sz="6" w:space="0" w:color="auto"/>
            </w:tcBorders>
            <w:shd w:val="clear" w:color="auto" w:fill="auto"/>
            <w:vAlign w:val="center"/>
            <w:hideMark/>
          </w:tcPr>
          <w:p w14:paraId="73F34F0F" w14:textId="77777777" w:rsidR="00B01FE5" w:rsidRPr="00B01FE5" w:rsidRDefault="00B01FE5" w:rsidP="00B01FE5">
            <w:pPr>
              <w:ind w:left="0" w:right="0" w:firstLine="0"/>
              <w:jc w:val="center"/>
              <w:rPr>
                <w:sz w:val="14"/>
                <w:szCs w:val="14"/>
              </w:rPr>
            </w:pPr>
            <w:r w:rsidRPr="00B01FE5">
              <w:rPr>
                <w:sz w:val="14"/>
                <w:szCs w:val="14"/>
              </w:rPr>
              <w:t>8</w:t>
            </w:r>
          </w:p>
        </w:tc>
      </w:tr>
      <w:tr w:rsidR="00B01FE5" w:rsidRPr="00B01FE5" w14:paraId="55736B42" w14:textId="77777777" w:rsidTr="00B01FE5">
        <w:trPr>
          <w:trHeight w:val="360"/>
        </w:trPr>
        <w:tc>
          <w:tcPr>
            <w:tcW w:w="3880"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hideMark/>
          </w:tcPr>
          <w:p w14:paraId="5079B600" w14:textId="77777777" w:rsidR="00B01FE5" w:rsidRPr="00B01FE5" w:rsidRDefault="00B01FE5" w:rsidP="00B01FE5">
            <w:pPr>
              <w:ind w:left="0" w:right="0" w:firstLine="0"/>
              <w:jc w:val="center"/>
              <w:rPr>
                <w:b/>
                <w:bCs/>
                <w:sz w:val="20"/>
                <w:szCs w:val="20"/>
              </w:rPr>
            </w:pPr>
            <w:r w:rsidRPr="00B01FE5">
              <w:rPr>
                <w:b/>
                <w:bCs/>
                <w:sz w:val="20"/>
                <w:szCs w:val="20"/>
              </w:rPr>
              <w:t>А) БУЏЕТСКИ РАСХОДИ ( I + II + III )</w:t>
            </w:r>
          </w:p>
        </w:tc>
        <w:tc>
          <w:tcPr>
            <w:tcW w:w="1366" w:type="dxa"/>
            <w:tcBorders>
              <w:top w:val="nil"/>
              <w:left w:val="nil"/>
              <w:bottom w:val="single" w:sz="4" w:space="0" w:color="auto"/>
              <w:right w:val="single" w:sz="4" w:space="0" w:color="auto"/>
            </w:tcBorders>
            <w:shd w:val="clear" w:color="auto" w:fill="auto"/>
            <w:noWrap/>
            <w:vAlign w:val="center"/>
            <w:hideMark/>
          </w:tcPr>
          <w:p w14:paraId="6847F25E" w14:textId="77777777" w:rsidR="00B01FE5" w:rsidRPr="00B01FE5" w:rsidRDefault="00B01FE5" w:rsidP="00B01FE5">
            <w:pPr>
              <w:ind w:left="0" w:right="0" w:firstLine="0"/>
              <w:jc w:val="right"/>
              <w:rPr>
                <w:b/>
                <w:bCs/>
                <w:sz w:val="20"/>
                <w:szCs w:val="20"/>
              </w:rPr>
            </w:pPr>
            <w:r w:rsidRPr="00B01FE5">
              <w:rPr>
                <w:b/>
                <w:bCs/>
                <w:sz w:val="20"/>
                <w:szCs w:val="20"/>
              </w:rPr>
              <w:t>13.279.645,52</w:t>
            </w:r>
          </w:p>
        </w:tc>
        <w:tc>
          <w:tcPr>
            <w:tcW w:w="1340" w:type="dxa"/>
            <w:tcBorders>
              <w:top w:val="nil"/>
              <w:left w:val="nil"/>
              <w:bottom w:val="single" w:sz="4" w:space="0" w:color="auto"/>
              <w:right w:val="single" w:sz="4" w:space="0" w:color="auto"/>
            </w:tcBorders>
            <w:shd w:val="clear" w:color="auto" w:fill="auto"/>
            <w:noWrap/>
            <w:vAlign w:val="center"/>
            <w:hideMark/>
          </w:tcPr>
          <w:p w14:paraId="2B29EE38" w14:textId="77777777" w:rsidR="00B01FE5" w:rsidRPr="00B01FE5" w:rsidRDefault="00B01FE5" w:rsidP="00B01FE5">
            <w:pPr>
              <w:ind w:left="0" w:right="0" w:firstLine="0"/>
              <w:jc w:val="right"/>
              <w:rPr>
                <w:b/>
                <w:bCs/>
                <w:sz w:val="20"/>
                <w:szCs w:val="20"/>
              </w:rPr>
            </w:pPr>
            <w:r w:rsidRPr="00B01FE5">
              <w:rPr>
                <w:b/>
                <w:bCs/>
                <w:sz w:val="20"/>
                <w:szCs w:val="20"/>
              </w:rPr>
              <w:t>-320,00</w:t>
            </w:r>
          </w:p>
        </w:tc>
        <w:tc>
          <w:tcPr>
            <w:tcW w:w="1366" w:type="dxa"/>
            <w:tcBorders>
              <w:top w:val="nil"/>
              <w:left w:val="nil"/>
              <w:bottom w:val="single" w:sz="4" w:space="0" w:color="auto"/>
              <w:right w:val="single" w:sz="4" w:space="0" w:color="auto"/>
            </w:tcBorders>
            <w:shd w:val="clear" w:color="auto" w:fill="auto"/>
            <w:noWrap/>
            <w:vAlign w:val="center"/>
            <w:hideMark/>
          </w:tcPr>
          <w:p w14:paraId="02A4ADAB" w14:textId="77777777" w:rsidR="00B01FE5" w:rsidRPr="00B01FE5" w:rsidRDefault="00B01FE5" w:rsidP="00B01FE5">
            <w:pPr>
              <w:ind w:left="0" w:right="0" w:firstLine="0"/>
              <w:jc w:val="right"/>
              <w:rPr>
                <w:b/>
                <w:bCs/>
                <w:sz w:val="20"/>
                <w:szCs w:val="20"/>
              </w:rPr>
            </w:pPr>
            <w:r w:rsidRPr="00B01FE5">
              <w:rPr>
                <w:b/>
                <w:bCs/>
                <w:sz w:val="20"/>
                <w:szCs w:val="20"/>
              </w:rPr>
              <w:t>13.279.325,52</w:t>
            </w:r>
          </w:p>
        </w:tc>
        <w:tc>
          <w:tcPr>
            <w:tcW w:w="1366" w:type="dxa"/>
            <w:tcBorders>
              <w:top w:val="nil"/>
              <w:left w:val="nil"/>
              <w:bottom w:val="single" w:sz="4" w:space="0" w:color="auto"/>
              <w:right w:val="single" w:sz="4" w:space="0" w:color="auto"/>
            </w:tcBorders>
            <w:shd w:val="clear" w:color="auto" w:fill="auto"/>
            <w:noWrap/>
            <w:vAlign w:val="center"/>
            <w:hideMark/>
          </w:tcPr>
          <w:p w14:paraId="02A72C00" w14:textId="77777777" w:rsidR="00B01FE5" w:rsidRPr="00B01FE5" w:rsidRDefault="00B01FE5" w:rsidP="00B01FE5">
            <w:pPr>
              <w:ind w:left="0" w:right="0" w:firstLine="0"/>
              <w:jc w:val="right"/>
              <w:rPr>
                <w:b/>
                <w:bCs/>
                <w:sz w:val="20"/>
                <w:szCs w:val="20"/>
              </w:rPr>
            </w:pPr>
            <w:r w:rsidRPr="00B01FE5">
              <w:rPr>
                <w:b/>
                <w:bCs/>
                <w:sz w:val="20"/>
                <w:szCs w:val="20"/>
              </w:rPr>
              <w:t>12.571.055,11</w:t>
            </w:r>
          </w:p>
        </w:tc>
        <w:tc>
          <w:tcPr>
            <w:tcW w:w="881" w:type="dxa"/>
            <w:tcBorders>
              <w:top w:val="nil"/>
              <w:left w:val="nil"/>
              <w:bottom w:val="single" w:sz="4" w:space="0" w:color="auto"/>
              <w:right w:val="single" w:sz="4" w:space="0" w:color="auto"/>
            </w:tcBorders>
            <w:shd w:val="clear" w:color="auto" w:fill="auto"/>
            <w:noWrap/>
            <w:vAlign w:val="center"/>
            <w:hideMark/>
          </w:tcPr>
          <w:p w14:paraId="624FBC4A" w14:textId="77777777" w:rsidR="00B01FE5" w:rsidRPr="00B01FE5" w:rsidRDefault="00B01FE5" w:rsidP="00B01FE5">
            <w:pPr>
              <w:ind w:left="0" w:right="0" w:firstLine="0"/>
              <w:jc w:val="right"/>
              <w:rPr>
                <w:b/>
                <w:bCs/>
                <w:sz w:val="20"/>
                <w:szCs w:val="20"/>
              </w:rPr>
            </w:pPr>
            <w:r w:rsidRPr="00B01FE5">
              <w:rPr>
                <w:b/>
                <w:bCs/>
                <w:sz w:val="20"/>
                <w:szCs w:val="20"/>
              </w:rPr>
              <w:t>94,67</w:t>
            </w:r>
          </w:p>
        </w:tc>
        <w:tc>
          <w:tcPr>
            <w:tcW w:w="898" w:type="dxa"/>
            <w:tcBorders>
              <w:top w:val="nil"/>
              <w:left w:val="nil"/>
              <w:bottom w:val="single" w:sz="4" w:space="0" w:color="auto"/>
              <w:right w:val="double" w:sz="6" w:space="0" w:color="auto"/>
            </w:tcBorders>
            <w:shd w:val="clear" w:color="auto" w:fill="auto"/>
            <w:noWrap/>
            <w:vAlign w:val="center"/>
            <w:hideMark/>
          </w:tcPr>
          <w:p w14:paraId="27F74DE1" w14:textId="77777777" w:rsidR="00B01FE5" w:rsidRPr="00B01FE5" w:rsidRDefault="00B01FE5" w:rsidP="00B01FE5">
            <w:pPr>
              <w:ind w:left="0" w:right="0" w:firstLine="0"/>
              <w:jc w:val="right"/>
              <w:rPr>
                <w:b/>
                <w:bCs/>
                <w:sz w:val="20"/>
                <w:szCs w:val="20"/>
              </w:rPr>
            </w:pPr>
            <w:r w:rsidRPr="00B01FE5">
              <w:rPr>
                <w:b/>
                <w:bCs/>
                <w:sz w:val="20"/>
                <w:szCs w:val="20"/>
              </w:rPr>
              <w:t>79,31</w:t>
            </w:r>
          </w:p>
        </w:tc>
      </w:tr>
      <w:tr w:rsidR="00B01FE5" w:rsidRPr="00B01FE5" w14:paraId="5D15861B" w14:textId="77777777" w:rsidTr="00B01FE5">
        <w:trPr>
          <w:trHeight w:val="480"/>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47E6977F" w14:textId="77777777" w:rsidR="00B01FE5" w:rsidRPr="00B01FE5" w:rsidRDefault="00B01FE5" w:rsidP="00B01FE5">
            <w:pPr>
              <w:ind w:left="0" w:right="0" w:firstLine="0"/>
              <w:jc w:val="center"/>
              <w:rPr>
                <w:b/>
                <w:bCs/>
                <w:sz w:val="18"/>
                <w:szCs w:val="18"/>
              </w:rPr>
            </w:pPr>
            <w:r w:rsidRPr="00B01FE5">
              <w:rPr>
                <w:b/>
                <w:bCs/>
                <w:sz w:val="18"/>
                <w:szCs w:val="18"/>
              </w:rPr>
              <w:t>I</w:t>
            </w:r>
          </w:p>
        </w:tc>
        <w:tc>
          <w:tcPr>
            <w:tcW w:w="3380" w:type="dxa"/>
            <w:tcBorders>
              <w:top w:val="nil"/>
              <w:left w:val="nil"/>
              <w:bottom w:val="single" w:sz="4" w:space="0" w:color="auto"/>
              <w:right w:val="single" w:sz="4" w:space="0" w:color="auto"/>
            </w:tcBorders>
            <w:shd w:val="clear" w:color="auto" w:fill="auto"/>
            <w:vAlign w:val="center"/>
            <w:hideMark/>
          </w:tcPr>
          <w:p w14:paraId="744EB8C7" w14:textId="77777777" w:rsidR="00B01FE5" w:rsidRPr="00B01FE5" w:rsidRDefault="00B01FE5" w:rsidP="00B01FE5">
            <w:pPr>
              <w:ind w:left="0" w:right="0" w:firstLine="0"/>
              <w:jc w:val="left"/>
              <w:rPr>
                <w:b/>
                <w:bCs/>
                <w:sz w:val="18"/>
                <w:szCs w:val="18"/>
              </w:rPr>
            </w:pPr>
            <w:r w:rsidRPr="00B01FE5">
              <w:rPr>
                <w:b/>
                <w:bCs/>
                <w:sz w:val="18"/>
                <w:szCs w:val="18"/>
              </w:rPr>
              <w:t>ТЕКУЋИ РАСХОДИ (1+2+3+4+5+6+7+8)</w:t>
            </w:r>
          </w:p>
        </w:tc>
        <w:tc>
          <w:tcPr>
            <w:tcW w:w="1366" w:type="dxa"/>
            <w:tcBorders>
              <w:top w:val="nil"/>
              <w:left w:val="nil"/>
              <w:bottom w:val="single" w:sz="4" w:space="0" w:color="auto"/>
              <w:right w:val="single" w:sz="4" w:space="0" w:color="auto"/>
            </w:tcBorders>
            <w:shd w:val="clear" w:color="auto" w:fill="auto"/>
            <w:noWrap/>
            <w:vAlign w:val="center"/>
            <w:hideMark/>
          </w:tcPr>
          <w:p w14:paraId="0B139BBD" w14:textId="77777777" w:rsidR="00B01FE5" w:rsidRPr="00B01FE5" w:rsidRDefault="00B01FE5" w:rsidP="00B01FE5">
            <w:pPr>
              <w:ind w:left="0" w:right="0" w:firstLine="0"/>
              <w:jc w:val="right"/>
              <w:rPr>
                <w:b/>
                <w:bCs/>
                <w:sz w:val="18"/>
                <w:szCs w:val="18"/>
              </w:rPr>
            </w:pPr>
            <w:r w:rsidRPr="00B01FE5">
              <w:rPr>
                <w:b/>
                <w:bCs/>
                <w:sz w:val="18"/>
                <w:szCs w:val="18"/>
              </w:rPr>
              <w:t>13.049.175,52</w:t>
            </w:r>
          </w:p>
        </w:tc>
        <w:tc>
          <w:tcPr>
            <w:tcW w:w="1340" w:type="dxa"/>
            <w:tcBorders>
              <w:top w:val="nil"/>
              <w:left w:val="nil"/>
              <w:bottom w:val="single" w:sz="4" w:space="0" w:color="auto"/>
              <w:right w:val="single" w:sz="4" w:space="0" w:color="auto"/>
            </w:tcBorders>
            <w:shd w:val="clear" w:color="auto" w:fill="auto"/>
            <w:noWrap/>
            <w:vAlign w:val="center"/>
            <w:hideMark/>
          </w:tcPr>
          <w:p w14:paraId="0A4A5570" w14:textId="77777777" w:rsidR="00B01FE5" w:rsidRPr="00B01FE5" w:rsidRDefault="00B01FE5" w:rsidP="00B01FE5">
            <w:pPr>
              <w:ind w:left="0" w:right="0" w:firstLine="0"/>
              <w:jc w:val="right"/>
              <w:rPr>
                <w:b/>
                <w:bCs/>
                <w:sz w:val="18"/>
                <w:szCs w:val="18"/>
              </w:rPr>
            </w:pPr>
            <w:r w:rsidRPr="00B01FE5">
              <w:rPr>
                <w:b/>
                <w:bCs/>
                <w:sz w:val="18"/>
                <w:szCs w:val="18"/>
              </w:rPr>
              <w:t>32.096,57</w:t>
            </w:r>
          </w:p>
        </w:tc>
        <w:tc>
          <w:tcPr>
            <w:tcW w:w="1366" w:type="dxa"/>
            <w:tcBorders>
              <w:top w:val="nil"/>
              <w:left w:val="nil"/>
              <w:bottom w:val="single" w:sz="4" w:space="0" w:color="auto"/>
              <w:right w:val="single" w:sz="4" w:space="0" w:color="auto"/>
            </w:tcBorders>
            <w:shd w:val="clear" w:color="auto" w:fill="auto"/>
            <w:noWrap/>
            <w:vAlign w:val="center"/>
            <w:hideMark/>
          </w:tcPr>
          <w:p w14:paraId="60BC70DE" w14:textId="77777777" w:rsidR="00B01FE5" w:rsidRPr="00B01FE5" w:rsidRDefault="00B01FE5" w:rsidP="00B01FE5">
            <w:pPr>
              <w:ind w:left="0" w:right="0" w:firstLine="0"/>
              <w:jc w:val="right"/>
              <w:rPr>
                <w:b/>
                <w:bCs/>
                <w:sz w:val="18"/>
                <w:szCs w:val="18"/>
              </w:rPr>
            </w:pPr>
            <w:r w:rsidRPr="00B01FE5">
              <w:rPr>
                <w:b/>
                <w:bCs/>
                <w:sz w:val="18"/>
                <w:szCs w:val="18"/>
              </w:rPr>
              <w:t>13.081.272,09</w:t>
            </w:r>
          </w:p>
        </w:tc>
        <w:tc>
          <w:tcPr>
            <w:tcW w:w="1366" w:type="dxa"/>
            <w:tcBorders>
              <w:top w:val="nil"/>
              <w:left w:val="nil"/>
              <w:bottom w:val="single" w:sz="4" w:space="0" w:color="auto"/>
              <w:right w:val="single" w:sz="4" w:space="0" w:color="auto"/>
            </w:tcBorders>
            <w:shd w:val="clear" w:color="auto" w:fill="auto"/>
            <w:noWrap/>
            <w:vAlign w:val="center"/>
            <w:hideMark/>
          </w:tcPr>
          <w:p w14:paraId="3842E3EB" w14:textId="77777777" w:rsidR="00B01FE5" w:rsidRPr="00B01FE5" w:rsidRDefault="00B01FE5" w:rsidP="00B01FE5">
            <w:pPr>
              <w:ind w:left="0" w:right="0" w:firstLine="0"/>
              <w:jc w:val="right"/>
              <w:rPr>
                <w:b/>
                <w:bCs/>
                <w:sz w:val="18"/>
                <w:szCs w:val="18"/>
              </w:rPr>
            </w:pPr>
            <w:r w:rsidRPr="00B01FE5">
              <w:rPr>
                <w:b/>
                <w:bCs/>
                <w:sz w:val="18"/>
                <w:szCs w:val="18"/>
              </w:rPr>
              <w:t>12.394.943,63</w:t>
            </w:r>
          </w:p>
        </w:tc>
        <w:tc>
          <w:tcPr>
            <w:tcW w:w="881" w:type="dxa"/>
            <w:tcBorders>
              <w:top w:val="nil"/>
              <w:left w:val="nil"/>
              <w:bottom w:val="single" w:sz="4" w:space="0" w:color="auto"/>
              <w:right w:val="single" w:sz="4" w:space="0" w:color="auto"/>
            </w:tcBorders>
            <w:shd w:val="clear" w:color="auto" w:fill="auto"/>
            <w:noWrap/>
            <w:vAlign w:val="center"/>
            <w:hideMark/>
          </w:tcPr>
          <w:p w14:paraId="792E7E17" w14:textId="77777777" w:rsidR="00B01FE5" w:rsidRPr="00B01FE5" w:rsidRDefault="00B01FE5" w:rsidP="00B01FE5">
            <w:pPr>
              <w:ind w:left="0" w:right="0" w:firstLine="0"/>
              <w:jc w:val="right"/>
              <w:rPr>
                <w:b/>
                <w:bCs/>
                <w:sz w:val="18"/>
                <w:szCs w:val="18"/>
              </w:rPr>
            </w:pPr>
            <w:r w:rsidRPr="00B01FE5">
              <w:rPr>
                <w:b/>
                <w:bCs/>
                <w:sz w:val="18"/>
                <w:szCs w:val="18"/>
              </w:rPr>
              <w:t>94,75</w:t>
            </w:r>
          </w:p>
        </w:tc>
        <w:tc>
          <w:tcPr>
            <w:tcW w:w="898" w:type="dxa"/>
            <w:tcBorders>
              <w:top w:val="nil"/>
              <w:left w:val="nil"/>
              <w:bottom w:val="single" w:sz="4" w:space="0" w:color="auto"/>
              <w:right w:val="double" w:sz="6" w:space="0" w:color="auto"/>
            </w:tcBorders>
            <w:shd w:val="clear" w:color="auto" w:fill="auto"/>
            <w:noWrap/>
            <w:vAlign w:val="center"/>
            <w:hideMark/>
          </w:tcPr>
          <w:p w14:paraId="07A842C0" w14:textId="77777777" w:rsidR="00B01FE5" w:rsidRPr="00B01FE5" w:rsidRDefault="00B01FE5" w:rsidP="00B01FE5">
            <w:pPr>
              <w:ind w:left="0" w:right="0" w:firstLine="0"/>
              <w:jc w:val="right"/>
              <w:rPr>
                <w:b/>
                <w:bCs/>
                <w:sz w:val="18"/>
                <w:szCs w:val="18"/>
              </w:rPr>
            </w:pPr>
            <w:r w:rsidRPr="00B01FE5">
              <w:rPr>
                <w:b/>
                <w:bCs/>
                <w:sz w:val="18"/>
                <w:szCs w:val="18"/>
              </w:rPr>
              <w:t>78,20</w:t>
            </w:r>
          </w:p>
        </w:tc>
      </w:tr>
      <w:tr w:rsidR="00B01FE5" w:rsidRPr="00B01FE5" w14:paraId="735D4FCC" w14:textId="77777777" w:rsidTr="00B01FE5">
        <w:trPr>
          <w:trHeight w:val="255"/>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1DC6A928" w14:textId="77777777" w:rsidR="00B01FE5" w:rsidRPr="00B01FE5" w:rsidRDefault="00B01FE5" w:rsidP="00B01FE5">
            <w:pPr>
              <w:ind w:left="0" w:right="0" w:firstLine="0"/>
              <w:jc w:val="center"/>
              <w:rPr>
                <w:sz w:val="18"/>
                <w:szCs w:val="18"/>
              </w:rPr>
            </w:pPr>
            <w:r w:rsidRPr="00B01FE5">
              <w:rPr>
                <w:sz w:val="18"/>
                <w:szCs w:val="18"/>
              </w:rPr>
              <w:t>1.</w:t>
            </w:r>
          </w:p>
        </w:tc>
        <w:tc>
          <w:tcPr>
            <w:tcW w:w="3380" w:type="dxa"/>
            <w:tcBorders>
              <w:top w:val="nil"/>
              <w:left w:val="nil"/>
              <w:bottom w:val="single" w:sz="4" w:space="0" w:color="auto"/>
              <w:right w:val="single" w:sz="4" w:space="0" w:color="auto"/>
            </w:tcBorders>
            <w:shd w:val="clear" w:color="auto" w:fill="auto"/>
            <w:vAlign w:val="center"/>
            <w:hideMark/>
          </w:tcPr>
          <w:p w14:paraId="695413DC" w14:textId="77777777" w:rsidR="00B01FE5" w:rsidRPr="00B01FE5" w:rsidRDefault="00B01FE5" w:rsidP="00B01FE5">
            <w:pPr>
              <w:ind w:left="0" w:right="0" w:firstLine="0"/>
              <w:jc w:val="left"/>
              <w:rPr>
                <w:sz w:val="18"/>
                <w:szCs w:val="18"/>
              </w:rPr>
            </w:pPr>
            <w:r w:rsidRPr="00B01FE5">
              <w:rPr>
                <w:sz w:val="18"/>
                <w:szCs w:val="18"/>
              </w:rPr>
              <w:t>Расходи за лична примања запослених</w:t>
            </w:r>
          </w:p>
        </w:tc>
        <w:tc>
          <w:tcPr>
            <w:tcW w:w="1366" w:type="dxa"/>
            <w:tcBorders>
              <w:top w:val="nil"/>
              <w:left w:val="nil"/>
              <w:bottom w:val="single" w:sz="4" w:space="0" w:color="auto"/>
              <w:right w:val="single" w:sz="4" w:space="0" w:color="auto"/>
            </w:tcBorders>
            <w:shd w:val="clear" w:color="auto" w:fill="auto"/>
            <w:noWrap/>
            <w:vAlign w:val="center"/>
            <w:hideMark/>
          </w:tcPr>
          <w:p w14:paraId="598ABED4" w14:textId="77777777" w:rsidR="00B01FE5" w:rsidRPr="00B01FE5" w:rsidRDefault="00B01FE5" w:rsidP="00B01FE5">
            <w:pPr>
              <w:ind w:left="0" w:right="0" w:firstLine="0"/>
              <w:jc w:val="right"/>
              <w:rPr>
                <w:sz w:val="18"/>
                <w:szCs w:val="18"/>
              </w:rPr>
            </w:pPr>
            <w:r w:rsidRPr="00B01FE5">
              <w:rPr>
                <w:sz w:val="18"/>
                <w:szCs w:val="18"/>
              </w:rPr>
              <w:t>4.572.717,64</w:t>
            </w:r>
          </w:p>
        </w:tc>
        <w:tc>
          <w:tcPr>
            <w:tcW w:w="1340" w:type="dxa"/>
            <w:tcBorders>
              <w:top w:val="nil"/>
              <w:left w:val="nil"/>
              <w:bottom w:val="single" w:sz="4" w:space="0" w:color="auto"/>
              <w:right w:val="single" w:sz="4" w:space="0" w:color="auto"/>
            </w:tcBorders>
            <w:shd w:val="clear" w:color="auto" w:fill="auto"/>
            <w:noWrap/>
            <w:vAlign w:val="center"/>
            <w:hideMark/>
          </w:tcPr>
          <w:p w14:paraId="3AC7B809" w14:textId="77777777" w:rsidR="00B01FE5" w:rsidRPr="00B01FE5" w:rsidRDefault="00B01FE5" w:rsidP="00B01FE5">
            <w:pPr>
              <w:ind w:left="0" w:right="0" w:firstLine="0"/>
              <w:jc w:val="right"/>
              <w:rPr>
                <w:sz w:val="18"/>
                <w:szCs w:val="18"/>
              </w:rPr>
            </w:pPr>
            <w:r w:rsidRPr="00B01FE5">
              <w:rPr>
                <w:sz w:val="18"/>
                <w:szCs w:val="18"/>
              </w:rPr>
              <w:t>-3.100,00</w:t>
            </w:r>
          </w:p>
        </w:tc>
        <w:tc>
          <w:tcPr>
            <w:tcW w:w="1366" w:type="dxa"/>
            <w:tcBorders>
              <w:top w:val="nil"/>
              <w:left w:val="nil"/>
              <w:bottom w:val="single" w:sz="4" w:space="0" w:color="auto"/>
              <w:right w:val="single" w:sz="4" w:space="0" w:color="auto"/>
            </w:tcBorders>
            <w:shd w:val="clear" w:color="auto" w:fill="auto"/>
            <w:noWrap/>
            <w:vAlign w:val="center"/>
            <w:hideMark/>
          </w:tcPr>
          <w:p w14:paraId="1AEC1620" w14:textId="77777777" w:rsidR="00B01FE5" w:rsidRPr="00B01FE5" w:rsidRDefault="00B01FE5" w:rsidP="00B01FE5">
            <w:pPr>
              <w:ind w:left="0" w:right="0" w:firstLine="0"/>
              <w:jc w:val="right"/>
              <w:rPr>
                <w:sz w:val="18"/>
                <w:szCs w:val="18"/>
              </w:rPr>
            </w:pPr>
            <w:r w:rsidRPr="00B01FE5">
              <w:rPr>
                <w:sz w:val="18"/>
                <w:szCs w:val="18"/>
              </w:rPr>
              <w:t>4.569.617,64</w:t>
            </w:r>
          </w:p>
        </w:tc>
        <w:tc>
          <w:tcPr>
            <w:tcW w:w="1366" w:type="dxa"/>
            <w:tcBorders>
              <w:top w:val="nil"/>
              <w:left w:val="nil"/>
              <w:bottom w:val="single" w:sz="4" w:space="0" w:color="auto"/>
              <w:right w:val="single" w:sz="4" w:space="0" w:color="auto"/>
            </w:tcBorders>
            <w:shd w:val="clear" w:color="auto" w:fill="auto"/>
            <w:noWrap/>
            <w:vAlign w:val="center"/>
            <w:hideMark/>
          </w:tcPr>
          <w:p w14:paraId="6E198FD5" w14:textId="77777777" w:rsidR="00B01FE5" w:rsidRPr="00B01FE5" w:rsidRDefault="00B01FE5" w:rsidP="00B01FE5">
            <w:pPr>
              <w:ind w:left="0" w:right="0" w:firstLine="0"/>
              <w:jc w:val="right"/>
              <w:rPr>
                <w:sz w:val="18"/>
                <w:szCs w:val="18"/>
              </w:rPr>
            </w:pPr>
            <w:r w:rsidRPr="00B01FE5">
              <w:rPr>
                <w:sz w:val="18"/>
                <w:szCs w:val="18"/>
              </w:rPr>
              <w:t>4.527.556,95</w:t>
            </w:r>
          </w:p>
        </w:tc>
        <w:tc>
          <w:tcPr>
            <w:tcW w:w="881" w:type="dxa"/>
            <w:tcBorders>
              <w:top w:val="nil"/>
              <w:left w:val="nil"/>
              <w:bottom w:val="single" w:sz="4" w:space="0" w:color="auto"/>
              <w:right w:val="single" w:sz="4" w:space="0" w:color="auto"/>
            </w:tcBorders>
            <w:shd w:val="clear" w:color="auto" w:fill="auto"/>
            <w:noWrap/>
            <w:vAlign w:val="center"/>
            <w:hideMark/>
          </w:tcPr>
          <w:p w14:paraId="65AFBFC9" w14:textId="77777777" w:rsidR="00B01FE5" w:rsidRPr="00B01FE5" w:rsidRDefault="00B01FE5" w:rsidP="00B01FE5">
            <w:pPr>
              <w:ind w:left="0" w:right="0" w:firstLine="0"/>
              <w:jc w:val="right"/>
              <w:rPr>
                <w:sz w:val="18"/>
                <w:szCs w:val="18"/>
              </w:rPr>
            </w:pPr>
            <w:r w:rsidRPr="00B01FE5">
              <w:rPr>
                <w:sz w:val="18"/>
                <w:szCs w:val="18"/>
              </w:rPr>
              <w:t>99,08</w:t>
            </w:r>
          </w:p>
        </w:tc>
        <w:tc>
          <w:tcPr>
            <w:tcW w:w="898" w:type="dxa"/>
            <w:tcBorders>
              <w:top w:val="nil"/>
              <w:left w:val="nil"/>
              <w:bottom w:val="single" w:sz="4" w:space="0" w:color="auto"/>
              <w:right w:val="double" w:sz="6" w:space="0" w:color="auto"/>
            </w:tcBorders>
            <w:shd w:val="clear" w:color="auto" w:fill="auto"/>
            <w:noWrap/>
            <w:vAlign w:val="center"/>
            <w:hideMark/>
          </w:tcPr>
          <w:p w14:paraId="225D60F5" w14:textId="77777777" w:rsidR="00B01FE5" w:rsidRPr="00B01FE5" w:rsidRDefault="00B01FE5" w:rsidP="00B01FE5">
            <w:pPr>
              <w:ind w:left="0" w:right="0" w:firstLine="0"/>
              <w:jc w:val="right"/>
              <w:rPr>
                <w:sz w:val="18"/>
                <w:szCs w:val="18"/>
              </w:rPr>
            </w:pPr>
            <w:r w:rsidRPr="00B01FE5">
              <w:rPr>
                <w:sz w:val="18"/>
                <w:szCs w:val="18"/>
              </w:rPr>
              <w:t>28,56</w:t>
            </w:r>
          </w:p>
        </w:tc>
      </w:tr>
      <w:tr w:rsidR="00B01FE5" w:rsidRPr="00B01FE5" w14:paraId="16731D6A" w14:textId="77777777" w:rsidTr="00695B49">
        <w:trPr>
          <w:trHeight w:val="211"/>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5DCB392C" w14:textId="77777777" w:rsidR="00B01FE5" w:rsidRPr="00B01FE5" w:rsidRDefault="00B01FE5" w:rsidP="00B01FE5">
            <w:pPr>
              <w:ind w:left="0" w:right="0" w:firstLine="0"/>
              <w:jc w:val="center"/>
              <w:rPr>
                <w:sz w:val="18"/>
                <w:szCs w:val="18"/>
              </w:rPr>
            </w:pPr>
            <w:r w:rsidRPr="00B01FE5">
              <w:rPr>
                <w:sz w:val="18"/>
                <w:szCs w:val="18"/>
              </w:rPr>
              <w:t>2.</w:t>
            </w:r>
          </w:p>
        </w:tc>
        <w:tc>
          <w:tcPr>
            <w:tcW w:w="3380" w:type="dxa"/>
            <w:tcBorders>
              <w:top w:val="nil"/>
              <w:left w:val="nil"/>
              <w:bottom w:val="single" w:sz="4" w:space="0" w:color="auto"/>
              <w:right w:val="single" w:sz="4" w:space="0" w:color="auto"/>
            </w:tcBorders>
            <w:shd w:val="clear" w:color="auto" w:fill="auto"/>
            <w:vAlign w:val="center"/>
            <w:hideMark/>
          </w:tcPr>
          <w:p w14:paraId="585D34C2" w14:textId="77777777" w:rsidR="00B01FE5" w:rsidRPr="00B01FE5" w:rsidRDefault="00B01FE5" w:rsidP="00B01FE5">
            <w:pPr>
              <w:ind w:left="0" w:right="0" w:firstLine="0"/>
              <w:jc w:val="left"/>
              <w:rPr>
                <w:sz w:val="18"/>
                <w:szCs w:val="18"/>
              </w:rPr>
            </w:pPr>
            <w:r w:rsidRPr="00B01FE5">
              <w:rPr>
                <w:sz w:val="18"/>
                <w:szCs w:val="18"/>
              </w:rPr>
              <w:t>Расходи по основу коришћења роба и услуга</w:t>
            </w:r>
          </w:p>
        </w:tc>
        <w:tc>
          <w:tcPr>
            <w:tcW w:w="1366" w:type="dxa"/>
            <w:tcBorders>
              <w:top w:val="nil"/>
              <w:left w:val="nil"/>
              <w:bottom w:val="single" w:sz="4" w:space="0" w:color="auto"/>
              <w:right w:val="single" w:sz="4" w:space="0" w:color="auto"/>
            </w:tcBorders>
            <w:shd w:val="clear" w:color="auto" w:fill="auto"/>
            <w:noWrap/>
            <w:vAlign w:val="center"/>
            <w:hideMark/>
          </w:tcPr>
          <w:p w14:paraId="0ABDE646" w14:textId="77777777" w:rsidR="00B01FE5" w:rsidRPr="00B01FE5" w:rsidRDefault="00B01FE5" w:rsidP="00B01FE5">
            <w:pPr>
              <w:ind w:left="0" w:right="0" w:firstLine="0"/>
              <w:jc w:val="right"/>
              <w:rPr>
                <w:sz w:val="18"/>
                <w:szCs w:val="18"/>
              </w:rPr>
            </w:pPr>
            <w:r w:rsidRPr="00B01FE5">
              <w:rPr>
                <w:sz w:val="18"/>
                <w:szCs w:val="18"/>
              </w:rPr>
              <w:t>2.665.672,78</w:t>
            </w:r>
          </w:p>
        </w:tc>
        <w:tc>
          <w:tcPr>
            <w:tcW w:w="1340" w:type="dxa"/>
            <w:tcBorders>
              <w:top w:val="nil"/>
              <w:left w:val="nil"/>
              <w:bottom w:val="single" w:sz="4" w:space="0" w:color="auto"/>
              <w:right w:val="single" w:sz="4" w:space="0" w:color="auto"/>
            </w:tcBorders>
            <w:shd w:val="clear" w:color="auto" w:fill="auto"/>
            <w:noWrap/>
            <w:vAlign w:val="center"/>
            <w:hideMark/>
          </w:tcPr>
          <w:p w14:paraId="3237BF35" w14:textId="77777777" w:rsidR="00B01FE5" w:rsidRPr="00B01FE5" w:rsidRDefault="00B01FE5" w:rsidP="00B01FE5">
            <w:pPr>
              <w:ind w:left="0" w:right="0" w:firstLine="0"/>
              <w:jc w:val="right"/>
              <w:rPr>
                <w:sz w:val="18"/>
                <w:szCs w:val="18"/>
              </w:rPr>
            </w:pPr>
            <w:r w:rsidRPr="00B01FE5">
              <w:rPr>
                <w:sz w:val="18"/>
                <w:szCs w:val="18"/>
              </w:rPr>
              <w:t>49.180,00</w:t>
            </w:r>
          </w:p>
        </w:tc>
        <w:tc>
          <w:tcPr>
            <w:tcW w:w="1366" w:type="dxa"/>
            <w:tcBorders>
              <w:top w:val="nil"/>
              <w:left w:val="nil"/>
              <w:bottom w:val="single" w:sz="4" w:space="0" w:color="auto"/>
              <w:right w:val="single" w:sz="4" w:space="0" w:color="auto"/>
            </w:tcBorders>
            <w:shd w:val="clear" w:color="auto" w:fill="auto"/>
            <w:noWrap/>
            <w:vAlign w:val="center"/>
            <w:hideMark/>
          </w:tcPr>
          <w:p w14:paraId="1FAF1B70" w14:textId="77777777" w:rsidR="00B01FE5" w:rsidRPr="00B01FE5" w:rsidRDefault="00B01FE5" w:rsidP="00B01FE5">
            <w:pPr>
              <w:ind w:left="0" w:right="0" w:firstLine="0"/>
              <w:jc w:val="right"/>
              <w:rPr>
                <w:sz w:val="18"/>
                <w:szCs w:val="18"/>
              </w:rPr>
            </w:pPr>
            <w:r w:rsidRPr="00B01FE5">
              <w:rPr>
                <w:sz w:val="18"/>
                <w:szCs w:val="18"/>
              </w:rPr>
              <w:t>2.714.852,78</w:t>
            </w:r>
          </w:p>
        </w:tc>
        <w:tc>
          <w:tcPr>
            <w:tcW w:w="1366" w:type="dxa"/>
            <w:tcBorders>
              <w:top w:val="nil"/>
              <w:left w:val="nil"/>
              <w:bottom w:val="single" w:sz="4" w:space="0" w:color="auto"/>
              <w:right w:val="single" w:sz="4" w:space="0" w:color="auto"/>
            </w:tcBorders>
            <w:shd w:val="clear" w:color="auto" w:fill="auto"/>
            <w:noWrap/>
            <w:vAlign w:val="center"/>
            <w:hideMark/>
          </w:tcPr>
          <w:p w14:paraId="1BBC6098" w14:textId="77777777" w:rsidR="00B01FE5" w:rsidRPr="00B01FE5" w:rsidRDefault="00B01FE5" w:rsidP="00B01FE5">
            <w:pPr>
              <w:ind w:left="0" w:right="0" w:firstLine="0"/>
              <w:jc w:val="right"/>
              <w:rPr>
                <w:sz w:val="18"/>
                <w:szCs w:val="18"/>
              </w:rPr>
            </w:pPr>
            <w:r w:rsidRPr="00B01FE5">
              <w:rPr>
                <w:sz w:val="18"/>
                <w:szCs w:val="18"/>
              </w:rPr>
              <w:t>2.576.908,03</w:t>
            </w:r>
          </w:p>
        </w:tc>
        <w:tc>
          <w:tcPr>
            <w:tcW w:w="881" w:type="dxa"/>
            <w:tcBorders>
              <w:top w:val="nil"/>
              <w:left w:val="nil"/>
              <w:bottom w:val="single" w:sz="4" w:space="0" w:color="auto"/>
              <w:right w:val="single" w:sz="4" w:space="0" w:color="auto"/>
            </w:tcBorders>
            <w:shd w:val="clear" w:color="auto" w:fill="auto"/>
            <w:noWrap/>
            <w:vAlign w:val="center"/>
            <w:hideMark/>
          </w:tcPr>
          <w:p w14:paraId="24D276F2" w14:textId="77777777" w:rsidR="00B01FE5" w:rsidRPr="00B01FE5" w:rsidRDefault="00B01FE5" w:rsidP="00B01FE5">
            <w:pPr>
              <w:ind w:left="0" w:right="0" w:firstLine="0"/>
              <w:jc w:val="right"/>
              <w:rPr>
                <w:sz w:val="18"/>
                <w:szCs w:val="18"/>
              </w:rPr>
            </w:pPr>
            <w:r w:rsidRPr="00B01FE5">
              <w:rPr>
                <w:sz w:val="18"/>
                <w:szCs w:val="18"/>
              </w:rPr>
              <w:t>94,92</w:t>
            </w:r>
          </w:p>
        </w:tc>
        <w:tc>
          <w:tcPr>
            <w:tcW w:w="898" w:type="dxa"/>
            <w:tcBorders>
              <w:top w:val="nil"/>
              <w:left w:val="nil"/>
              <w:bottom w:val="single" w:sz="4" w:space="0" w:color="auto"/>
              <w:right w:val="double" w:sz="6" w:space="0" w:color="auto"/>
            </w:tcBorders>
            <w:shd w:val="clear" w:color="auto" w:fill="auto"/>
            <w:noWrap/>
            <w:vAlign w:val="center"/>
            <w:hideMark/>
          </w:tcPr>
          <w:p w14:paraId="3929DF95" w14:textId="77777777" w:rsidR="00B01FE5" w:rsidRPr="00B01FE5" w:rsidRDefault="00B01FE5" w:rsidP="00B01FE5">
            <w:pPr>
              <w:ind w:left="0" w:right="0" w:firstLine="0"/>
              <w:jc w:val="right"/>
              <w:rPr>
                <w:sz w:val="18"/>
                <w:szCs w:val="18"/>
              </w:rPr>
            </w:pPr>
            <w:r w:rsidRPr="00B01FE5">
              <w:rPr>
                <w:sz w:val="18"/>
                <w:szCs w:val="18"/>
              </w:rPr>
              <w:t>16,26</w:t>
            </w:r>
          </w:p>
        </w:tc>
      </w:tr>
      <w:tr w:rsidR="00B01FE5" w:rsidRPr="00B01FE5" w14:paraId="4F6748AB" w14:textId="77777777" w:rsidTr="00B01FE5">
        <w:trPr>
          <w:trHeight w:val="480"/>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593C2D85" w14:textId="77777777" w:rsidR="00B01FE5" w:rsidRPr="00B01FE5" w:rsidRDefault="00B01FE5" w:rsidP="00B01FE5">
            <w:pPr>
              <w:ind w:left="0" w:right="0" w:firstLine="0"/>
              <w:jc w:val="center"/>
              <w:rPr>
                <w:sz w:val="18"/>
                <w:szCs w:val="18"/>
              </w:rPr>
            </w:pPr>
            <w:r w:rsidRPr="00B01FE5">
              <w:rPr>
                <w:sz w:val="18"/>
                <w:szCs w:val="18"/>
              </w:rPr>
              <w:t>3.</w:t>
            </w:r>
          </w:p>
        </w:tc>
        <w:tc>
          <w:tcPr>
            <w:tcW w:w="3380" w:type="dxa"/>
            <w:tcBorders>
              <w:top w:val="nil"/>
              <w:left w:val="nil"/>
              <w:bottom w:val="single" w:sz="4" w:space="0" w:color="auto"/>
              <w:right w:val="single" w:sz="4" w:space="0" w:color="auto"/>
            </w:tcBorders>
            <w:shd w:val="clear" w:color="auto" w:fill="auto"/>
            <w:vAlign w:val="center"/>
            <w:hideMark/>
          </w:tcPr>
          <w:p w14:paraId="74AB2220" w14:textId="77777777" w:rsidR="00B01FE5" w:rsidRPr="00B01FE5" w:rsidRDefault="00B01FE5" w:rsidP="00B01FE5">
            <w:pPr>
              <w:ind w:left="0" w:right="0" w:firstLine="0"/>
              <w:jc w:val="left"/>
              <w:rPr>
                <w:sz w:val="18"/>
                <w:szCs w:val="18"/>
              </w:rPr>
            </w:pPr>
            <w:r w:rsidRPr="00B01FE5">
              <w:rPr>
                <w:sz w:val="18"/>
                <w:szCs w:val="18"/>
              </w:rPr>
              <w:t>Расходи финансирања и други финансијски трошкови</w:t>
            </w:r>
          </w:p>
        </w:tc>
        <w:tc>
          <w:tcPr>
            <w:tcW w:w="1366" w:type="dxa"/>
            <w:tcBorders>
              <w:top w:val="nil"/>
              <w:left w:val="nil"/>
              <w:bottom w:val="single" w:sz="4" w:space="0" w:color="auto"/>
              <w:right w:val="single" w:sz="4" w:space="0" w:color="auto"/>
            </w:tcBorders>
            <w:shd w:val="clear" w:color="auto" w:fill="auto"/>
            <w:noWrap/>
            <w:vAlign w:val="center"/>
            <w:hideMark/>
          </w:tcPr>
          <w:p w14:paraId="64492B85" w14:textId="77777777" w:rsidR="00B01FE5" w:rsidRPr="00B01FE5" w:rsidRDefault="00B01FE5" w:rsidP="00B01FE5">
            <w:pPr>
              <w:ind w:left="0" w:right="0" w:firstLine="0"/>
              <w:jc w:val="right"/>
              <w:rPr>
                <w:sz w:val="18"/>
                <w:szCs w:val="18"/>
              </w:rPr>
            </w:pPr>
            <w:r w:rsidRPr="00B01FE5">
              <w:rPr>
                <w:sz w:val="18"/>
                <w:szCs w:val="18"/>
              </w:rPr>
              <w:t>210.000,00</w:t>
            </w:r>
          </w:p>
        </w:tc>
        <w:tc>
          <w:tcPr>
            <w:tcW w:w="1340" w:type="dxa"/>
            <w:tcBorders>
              <w:top w:val="nil"/>
              <w:left w:val="nil"/>
              <w:bottom w:val="single" w:sz="4" w:space="0" w:color="auto"/>
              <w:right w:val="single" w:sz="4" w:space="0" w:color="auto"/>
            </w:tcBorders>
            <w:shd w:val="clear" w:color="auto" w:fill="auto"/>
            <w:noWrap/>
            <w:vAlign w:val="center"/>
            <w:hideMark/>
          </w:tcPr>
          <w:p w14:paraId="66177DEE" w14:textId="77777777" w:rsidR="00B01FE5" w:rsidRPr="00B01FE5" w:rsidRDefault="00B01FE5" w:rsidP="00B01FE5">
            <w:pPr>
              <w:ind w:left="0" w:right="0" w:firstLine="0"/>
              <w:jc w:val="right"/>
              <w:rPr>
                <w:sz w:val="18"/>
                <w:szCs w:val="18"/>
              </w:rPr>
            </w:pPr>
            <w:r w:rsidRPr="00B01FE5">
              <w:rPr>
                <w:sz w:val="18"/>
                <w:szCs w:val="18"/>
              </w:rPr>
              <w:t>-5.600,00</w:t>
            </w:r>
          </w:p>
        </w:tc>
        <w:tc>
          <w:tcPr>
            <w:tcW w:w="1366" w:type="dxa"/>
            <w:tcBorders>
              <w:top w:val="nil"/>
              <w:left w:val="nil"/>
              <w:bottom w:val="single" w:sz="4" w:space="0" w:color="auto"/>
              <w:right w:val="single" w:sz="4" w:space="0" w:color="auto"/>
            </w:tcBorders>
            <w:shd w:val="clear" w:color="auto" w:fill="auto"/>
            <w:noWrap/>
            <w:vAlign w:val="center"/>
            <w:hideMark/>
          </w:tcPr>
          <w:p w14:paraId="2E4713E4" w14:textId="77777777" w:rsidR="00B01FE5" w:rsidRPr="00B01FE5" w:rsidRDefault="00B01FE5" w:rsidP="00B01FE5">
            <w:pPr>
              <w:ind w:left="0" w:right="0" w:firstLine="0"/>
              <w:jc w:val="right"/>
              <w:rPr>
                <w:sz w:val="18"/>
                <w:szCs w:val="18"/>
              </w:rPr>
            </w:pPr>
            <w:r w:rsidRPr="00B01FE5">
              <w:rPr>
                <w:sz w:val="18"/>
                <w:szCs w:val="18"/>
              </w:rPr>
              <w:t>204.400,00</w:t>
            </w:r>
          </w:p>
        </w:tc>
        <w:tc>
          <w:tcPr>
            <w:tcW w:w="1366" w:type="dxa"/>
            <w:tcBorders>
              <w:top w:val="nil"/>
              <w:left w:val="nil"/>
              <w:bottom w:val="single" w:sz="4" w:space="0" w:color="auto"/>
              <w:right w:val="single" w:sz="4" w:space="0" w:color="auto"/>
            </w:tcBorders>
            <w:shd w:val="clear" w:color="auto" w:fill="auto"/>
            <w:noWrap/>
            <w:vAlign w:val="center"/>
            <w:hideMark/>
          </w:tcPr>
          <w:p w14:paraId="77D2D20A" w14:textId="77777777" w:rsidR="00B01FE5" w:rsidRPr="00B01FE5" w:rsidRDefault="00B01FE5" w:rsidP="00B01FE5">
            <w:pPr>
              <w:ind w:left="0" w:right="0" w:firstLine="0"/>
              <w:jc w:val="right"/>
              <w:rPr>
                <w:sz w:val="18"/>
                <w:szCs w:val="18"/>
              </w:rPr>
            </w:pPr>
            <w:r w:rsidRPr="00B01FE5">
              <w:rPr>
                <w:sz w:val="18"/>
                <w:szCs w:val="18"/>
              </w:rPr>
              <w:t>200.315,89</w:t>
            </w:r>
          </w:p>
        </w:tc>
        <w:tc>
          <w:tcPr>
            <w:tcW w:w="881" w:type="dxa"/>
            <w:tcBorders>
              <w:top w:val="nil"/>
              <w:left w:val="nil"/>
              <w:bottom w:val="single" w:sz="4" w:space="0" w:color="auto"/>
              <w:right w:val="single" w:sz="4" w:space="0" w:color="auto"/>
            </w:tcBorders>
            <w:shd w:val="clear" w:color="auto" w:fill="auto"/>
            <w:noWrap/>
            <w:vAlign w:val="center"/>
            <w:hideMark/>
          </w:tcPr>
          <w:p w14:paraId="6DD0BD05" w14:textId="77777777" w:rsidR="00B01FE5" w:rsidRPr="00B01FE5" w:rsidRDefault="00B01FE5" w:rsidP="00B01FE5">
            <w:pPr>
              <w:ind w:left="0" w:right="0" w:firstLine="0"/>
              <w:jc w:val="right"/>
              <w:rPr>
                <w:sz w:val="18"/>
                <w:szCs w:val="18"/>
              </w:rPr>
            </w:pPr>
            <w:r w:rsidRPr="00B01FE5">
              <w:rPr>
                <w:sz w:val="18"/>
                <w:szCs w:val="18"/>
              </w:rPr>
              <w:t>98,00</w:t>
            </w:r>
          </w:p>
        </w:tc>
        <w:tc>
          <w:tcPr>
            <w:tcW w:w="898" w:type="dxa"/>
            <w:tcBorders>
              <w:top w:val="nil"/>
              <w:left w:val="nil"/>
              <w:bottom w:val="single" w:sz="4" w:space="0" w:color="auto"/>
              <w:right w:val="double" w:sz="6" w:space="0" w:color="auto"/>
            </w:tcBorders>
            <w:shd w:val="clear" w:color="auto" w:fill="auto"/>
            <w:noWrap/>
            <w:vAlign w:val="center"/>
            <w:hideMark/>
          </w:tcPr>
          <w:p w14:paraId="7BF05E87" w14:textId="77777777" w:rsidR="00B01FE5" w:rsidRPr="00B01FE5" w:rsidRDefault="00B01FE5" w:rsidP="00B01FE5">
            <w:pPr>
              <w:ind w:left="0" w:right="0" w:firstLine="0"/>
              <w:jc w:val="right"/>
              <w:rPr>
                <w:sz w:val="18"/>
                <w:szCs w:val="18"/>
              </w:rPr>
            </w:pPr>
            <w:r w:rsidRPr="00B01FE5">
              <w:rPr>
                <w:sz w:val="18"/>
                <w:szCs w:val="18"/>
              </w:rPr>
              <w:t>1,26</w:t>
            </w:r>
          </w:p>
        </w:tc>
      </w:tr>
      <w:tr w:rsidR="00B01FE5" w:rsidRPr="00B01FE5" w14:paraId="6F113C93" w14:textId="77777777" w:rsidTr="00B01FE5">
        <w:trPr>
          <w:trHeight w:val="255"/>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485BAA0D" w14:textId="77777777" w:rsidR="00B01FE5" w:rsidRPr="00B01FE5" w:rsidRDefault="00B01FE5" w:rsidP="00B01FE5">
            <w:pPr>
              <w:ind w:left="0" w:right="0" w:firstLine="0"/>
              <w:jc w:val="center"/>
              <w:rPr>
                <w:sz w:val="18"/>
                <w:szCs w:val="18"/>
              </w:rPr>
            </w:pPr>
            <w:r w:rsidRPr="00B01FE5">
              <w:rPr>
                <w:sz w:val="18"/>
                <w:szCs w:val="18"/>
              </w:rPr>
              <w:t>4.</w:t>
            </w:r>
          </w:p>
        </w:tc>
        <w:tc>
          <w:tcPr>
            <w:tcW w:w="3380" w:type="dxa"/>
            <w:tcBorders>
              <w:top w:val="nil"/>
              <w:left w:val="nil"/>
              <w:bottom w:val="single" w:sz="4" w:space="0" w:color="auto"/>
              <w:right w:val="single" w:sz="4" w:space="0" w:color="auto"/>
            </w:tcBorders>
            <w:shd w:val="clear" w:color="auto" w:fill="auto"/>
            <w:noWrap/>
            <w:vAlign w:val="center"/>
            <w:hideMark/>
          </w:tcPr>
          <w:p w14:paraId="7F979E11" w14:textId="77777777" w:rsidR="00B01FE5" w:rsidRPr="00B01FE5" w:rsidRDefault="00B01FE5" w:rsidP="00B01FE5">
            <w:pPr>
              <w:ind w:left="0" w:right="0" w:firstLine="0"/>
              <w:jc w:val="left"/>
              <w:rPr>
                <w:sz w:val="18"/>
                <w:szCs w:val="18"/>
              </w:rPr>
            </w:pPr>
            <w:r w:rsidRPr="00B01FE5">
              <w:rPr>
                <w:sz w:val="18"/>
                <w:szCs w:val="18"/>
              </w:rPr>
              <w:t>Субвенције</w:t>
            </w:r>
          </w:p>
        </w:tc>
        <w:tc>
          <w:tcPr>
            <w:tcW w:w="1366" w:type="dxa"/>
            <w:tcBorders>
              <w:top w:val="nil"/>
              <w:left w:val="nil"/>
              <w:bottom w:val="single" w:sz="4" w:space="0" w:color="auto"/>
              <w:right w:val="single" w:sz="4" w:space="0" w:color="auto"/>
            </w:tcBorders>
            <w:shd w:val="clear" w:color="auto" w:fill="auto"/>
            <w:noWrap/>
            <w:vAlign w:val="center"/>
            <w:hideMark/>
          </w:tcPr>
          <w:p w14:paraId="76980136" w14:textId="77777777" w:rsidR="00B01FE5" w:rsidRPr="00B01FE5" w:rsidRDefault="00B01FE5" w:rsidP="00B01FE5">
            <w:pPr>
              <w:ind w:left="0" w:right="0" w:firstLine="0"/>
              <w:jc w:val="right"/>
              <w:rPr>
                <w:sz w:val="18"/>
                <w:szCs w:val="18"/>
              </w:rPr>
            </w:pPr>
            <w:r w:rsidRPr="00B01FE5">
              <w:rPr>
                <w:sz w:val="18"/>
                <w:szCs w:val="18"/>
              </w:rPr>
              <w:t>607.200,00</w:t>
            </w:r>
          </w:p>
        </w:tc>
        <w:tc>
          <w:tcPr>
            <w:tcW w:w="1340" w:type="dxa"/>
            <w:tcBorders>
              <w:top w:val="nil"/>
              <w:left w:val="nil"/>
              <w:bottom w:val="single" w:sz="4" w:space="0" w:color="auto"/>
              <w:right w:val="single" w:sz="4" w:space="0" w:color="auto"/>
            </w:tcBorders>
            <w:shd w:val="clear" w:color="auto" w:fill="auto"/>
            <w:noWrap/>
            <w:vAlign w:val="center"/>
            <w:hideMark/>
          </w:tcPr>
          <w:p w14:paraId="40736B61" w14:textId="77777777" w:rsidR="00B01FE5" w:rsidRPr="00B01FE5" w:rsidRDefault="00B01FE5" w:rsidP="00B01FE5">
            <w:pPr>
              <w:ind w:left="0" w:right="0" w:firstLine="0"/>
              <w:jc w:val="right"/>
              <w:rPr>
                <w:sz w:val="18"/>
                <w:szCs w:val="18"/>
              </w:rPr>
            </w:pPr>
            <w:r w:rsidRPr="00B01FE5">
              <w:rPr>
                <w:sz w:val="18"/>
                <w:szCs w:val="18"/>
              </w:rPr>
              <w:t>1.150,00</w:t>
            </w:r>
          </w:p>
        </w:tc>
        <w:tc>
          <w:tcPr>
            <w:tcW w:w="1366" w:type="dxa"/>
            <w:tcBorders>
              <w:top w:val="nil"/>
              <w:left w:val="nil"/>
              <w:bottom w:val="single" w:sz="4" w:space="0" w:color="auto"/>
              <w:right w:val="single" w:sz="4" w:space="0" w:color="auto"/>
            </w:tcBorders>
            <w:shd w:val="clear" w:color="auto" w:fill="auto"/>
            <w:noWrap/>
            <w:vAlign w:val="center"/>
            <w:hideMark/>
          </w:tcPr>
          <w:p w14:paraId="26EB3E55" w14:textId="77777777" w:rsidR="00B01FE5" w:rsidRPr="00B01FE5" w:rsidRDefault="00B01FE5" w:rsidP="00B01FE5">
            <w:pPr>
              <w:ind w:left="0" w:right="0" w:firstLine="0"/>
              <w:jc w:val="right"/>
              <w:rPr>
                <w:sz w:val="18"/>
                <w:szCs w:val="18"/>
              </w:rPr>
            </w:pPr>
            <w:r w:rsidRPr="00B01FE5">
              <w:rPr>
                <w:sz w:val="18"/>
                <w:szCs w:val="18"/>
              </w:rPr>
              <w:t>608.350,00</w:t>
            </w:r>
          </w:p>
        </w:tc>
        <w:tc>
          <w:tcPr>
            <w:tcW w:w="1366" w:type="dxa"/>
            <w:tcBorders>
              <w:top w:val="nil"/>
              <w:left w:val="nil"/>
              <w:bottom w:val="single" w:sz="4" w:space="0" w:color="auto"/>
              <w:right w:val="single" w:sz="4" w:space="0" w:color="auto"/>
            </w:tcBorders>
            <w:shd w:val="clear" w:color="auto" w:fill="auto"/>
            <w:noWrap/>
            <w:vAlign w:val="center"/>
            <w:hideMark/>
          </w:tcPr>
          <w:p w14:paraId="29C31168" w14:textId="77777777" w:rsidR="00B01FE5" w:rsidRPr="00B01FE5" w:rsidRDefault="00B01FE5" w:rsidP="00B01FE5">
            <w:pPr>
              <w:ind w:left="0" w:right="0" w:firstLine="0"/>
              <w:jc w:val="right"/>
              <w:rPr>
                <w:sz w:val="18"/>
                <w:szCs w:val="18"/>
              </w:rPr>
            </w:pPr>
            <w:r w:rsidRPr="00B01FE5">
              <w:rPr>
                <w:sz w:val="18"/>
                <w:szCs w:val="18"/>
              </w:rPr>
              <w:t>599.633,36</w:t>
            </w:r>
          </w:p>
        </w:tc>
        <w:tc>
          <w:tcPr>
            <w:tcW w:w="881" w:type="dxa"/>
            <w:tcBorders>
              <w:top w:val="nil"/>
              <w:left w:val="nil"/>
              <w:bottom w:val="single" w:sz="4" w:space="0" w:color="auto"/>
              <w:right w:val="single" w:sz="4" w:space="0" w:color="auto"/>
            </w:tcBorders>
            <w:shd w:val="clear" w:color="auto" w:fill="auto"/>
            <w:noWrap/>
            <w:vAlign w:val="center"/>
            <w:hideMark/>
          </w:tcPr>
          <w:p w14:paraId="3B7F840B" w14:textId="77777777" w:rsidR="00B01FE5" w:rsidRPr="00B01FE5" w:rsidRDefault="00B01FE5" w:rsidP="00B01FE5">
            <w:pPr>
              <w:ind w:left="0" w:right="0" w:firstLine="0"/>
              <w:jc w:val="right"/>
              <w:rPr>
                <w:sz w:val="18"/>
                <w:szCs w:val="18"/>
              </w:rPr>
            </w:pPr>
            <w:r w:rsidRPr="00B01FE5">
              <w:rPr>
                <w:sz w:val="18"/>
                <w:szCs w:val="18"/>
              </w:rPr>
              <w:t>98,57</w:t>
            </w:r>
          </w:p>
        </w:tc>
        <w:tc>
          <w:tcPr>
            <w:tcW w:w="898" w:type="dxa"/>
            <w:tcBorders>
              <w:top w:val="nil"/>
              <w:left w:val="nil"/>
              <w:bottom w:val="single" w:sz="4" w:space="0" w:color="auto"/>
              <w:right w:val="double" w:sz="6" w:space="0" w:color="auto"/>
            </w:tcBorders>
            <w:shd w:val="clear" w:color="auto" w:fill="auto"/>
            <w:noWrap/>
            <w:vAlign w:val="center"/>
            <w:hideMark/>
          </w:tcPr>
          <w:p w14:paraId="25F97BDB" w14:textId="77777777" w:rsidR="00B01FE5" w:rsidRPr="00B01FE5" w:rsidRDefault="00B01FE5" w:rsidP="00B01FE5">
            <w:pPr>
              <w:ind w:left="0" w:right="0" w:firstLine="0"/>
              <w:jc w:val="right"/>
              <w:rPr>
                <w:sz w:val="18"/>
                <w:szCs w:val="18"/>
              </w:rPr>
            </w:pPr>
            <w:r w:rsidRPr="00B01FE5">
              <w:rPr>
                <w:sz w:val="18"/>
                <w:szCs w:val="18"/>
              </w:rPr>
              <w:t>3,78</w:t>
            </w:r>
          </w:p>
        </w:tc>
      </w:tr>
      <w:tr w:rsidR="00B01FE5" w:rsidRPr="00B01FE5" w14:paraId="2F105F8C" w14:textId="77777777" w:rsidTr="00B01FE5">
        <w:trPr>
          <w:trHeight w:val="255"/>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034DC034" w14:textId="77777777" w:rsidR="00B01FE5" w:rsidRPr="00B01FE5" w:rsidRDefault="00B01FE5" w:rsidP="00B01FE5">
            <w:pPr>
              <w:ind w:left="0" w:right="0" w:firstLine="0"/>
              <w:jc w:val="center"/>
              <w:rPr>
                <w:sz w:val="18"/>
                <w:szCs w:val="18"/>
              </w:rPr>
            </w:pPr>
            <w:r w:rsidRPr="00B01FE5">
              <w:rPr>
                <w:sz w:val="18"/>
                <w:szCs w:val="18"/>
              </w:rPr>
              <w:t>5.</w:t>
            </w:r>
          </w:p>
        </w:tc>
        <w:tc>
          <w:tcPr>
            <w:tcW w:w="3380" w:type="dxa"/>
            <w:tcBorders>
              <w:top w:val="nil"/>
              <w:left w:val="nil"/>
              <w:bottom w:val="single" w:sz="4" w:space="0" w:color="auto"/>
              <w:right w:val="single" w:sz="4" w:space="0" w:color="auto"/>
            </w:tcBorders>
            <w:shd w:val="clear" w:color="auto" w:fill="auto"/>
            <w:noWrap/>
            <w:vAlign w:val="center"/>
            <w:hideMark/>
          </w:tcPr>
          <w:p w14:paraId="58D3347A" w14:textId="77777777" w:rsidR="00B01FE5" w:rsidRPr="00B01FE5" w:rsidRDefault="00B01FE5" w:rsidP="00B01FE5">
            <w:pPr>
              <w:ind w:left="0" w:right="0" w:firstLine="0"/>
              <w:jc w:val="left"/>
              <w:rPr>
                <w:sz w:val="18"/>
                <w:szCs w:val="18"/>
              </w:rPr>
            </w:pPr>
            <w:r w:rsidRPr="00B01FE5">
              <w:rPr>
                <w:sz w:val="18"/>
                <w:szCs w:val="18"/>
              </w:rPr>
              <w:t>Грантови</w:t>
            </w:r>
          </w:p>
        </w:tc>
        <w:tc>
          <w:tcPr>
            <w:tcW w:w="1366" w:type="dxa"/>
            <w:tcBorders>
              <w:top w:val="nil"/>
              <w:left w:val="nil"/>
              <w:bottom w:val="single" w:sz="4" w:space="0" w:color="auto"/>
              <w:right w:val="single" w:sz="4" w:space="0" w:color="auto"/>
            </w:tcBorders>
            <w:shd w:val="clear" w:color="auto" w:fill="auto"/>
            <w:noWrap/>
            <w:vAlign w:val="center"/>
            <w:hideMark/>
          </w:tcPr>
          <w:p w14:paraId="3990FEE5" w14:textId="77777777" w:rsidR="00B01FE5" w:rsidRPr="00B01FE5" w:rsidRDefault="00B01FE5" w:rsidP="00B01FE5">
            <w:pPr>
              <w:ind w:left="0" w:right="0" w:firstLine="0"/>
              <w:jc w:val="right"/>
              <w:rPr>
                <w:sz w:val="18"/>
                <w:szCs w:val="18"/>
              </w:rPr>
            </w:pPr>
            <w:r w:rsidRPr="00B01FE5">
              <w:rPr>
                <w:sz w:val="18"/>
                <w:szCs w:val="18"/>
              </w:rPr>
              <w:t>1.708.074,84</w:t>
            </w:r>
          </w:p>
        </w:tc>
        <w:tc>
          <w:tcPr>
            <w:tcW w:w="1340" w:type="dxa"/>
            <w:tcBorders>
              <w:top w:val="nil"/>
              <w:left w:val="nil"/>
              <w:bottom w:val="single" w:sz="4" w:space="0" w:color="auto"/>
              <w:right w:val="single" w:sz="4" w:space="0" w:color="auto"/>
            </w:tcBorders>
            <w:shd w:val="clear" w:color="auto" w:fill="auto"/>
            <w:noWrap/>
            <w:vAlign w:val="center"/>
            <w:hideMark/>
          </w:tcPr>
          <w:p w14:paraId="0A8F681E" w14:textId="77777777" w:rsidR="00B01FE5" w:rsidRPr="00B01FE5" w:rsidRDefault="00B01FE5" w:rsidP="00B01FE5">
            <w:pPr>
              <w:ind w:left="0" w:right="0" w:firstLine="0"/>
              <w:jc w:val="right"/>
              <w:rPr>
                <w:sz w:val="18"/>
                <w:szCs w:val="18"/>
              </w:rPr>
            </w:pPr>
            <w:r w:rsidRPr="00B01FE5">
              <w:rPr>
                <w:sz w:val="18"/>
                <w:szCs w:val="18"/>
              </w:rPr>
              <w:t>38.766,57</w:t>
            </w:r>
          </w:p>
        </w:tc>
        <w:tc>
          <w:tcPr>
            <w:tcW w:w="1366" w:type="dxa"/>
            <w:tcBorders>
              <w:top w:val="nil"/>
              <w:left w:val="nil"/>
              <w:bottom w:val="single" w:sz="4" w:space="0" w:color="auto"/>
              <w:right w:val="single" w:sz="4" w:space="0" w:color="auto"/>
            </w:tcBorders>
            <w:shd w:val="clear" w:color="auto" w:fill="auto"/>
            <w:noWrap/>
            <w:vAlign w:val="center"/>
            <w:hideMark/>
          </w:tcPr>
          <w:p w14:paraId="3A9A00F8" w14:textId="77777777" w:rsidR="00B01FE5" w:rsidRPr="00B01FE5" w:rsidRDefault="00B01FE5" w:rsidP="00B01FE5">
            <w:pPr>
              <w:ind w:left="0" w:right="0" w:firstLine="0"/>
              <w:jc w:val="right"/>
              <w:rPr>
                <w:sz w:val="18"/>
                <w:szCs w:val="18"/>
              </w:rPr>
            </w:pPr>
            <w:r w:rsidRPr="00B01FE5">
              <w:rPr>
                <w:sz w:val="18"/>
                <w:szCs w:val="18"/>
              </w:rPr>
              <w:t>1.746.841,41</w:t>
            </w:r>
          </w:p>
        </w:tc>
        <w:tc>
          <w:tcPr>
            <w:tcW w:w="1366" w:type="dxa"/>
            <w:tcBorders>
              <w:top w:val="nil"/>
              <w:left w:val="nil"/>
              <w:bottom w:val="single" w:sz="4" w:space="0" w:color="auto"/>
              <w:right w:val="single" w:sz="4" w:space="0" w:color="auto"/>
            </w:tcBorders>
            <w:shd w:val="clear" w:color="auto" w:fill="auto"/>
            <w:noWrap/>
            <w:vAlign w:val="center"/>
            <w:hideMark/>
          </w:tcPr>
          <w:p w14:paraId="4123FB2B" w14:textId="77777777" w:rsidR="00B01FE5" w:rsidRPr="00B01FE5" w:rsidRDefault="00B01FE5" w:rsidP="00B01FE5">
            <w:pPr>
              <w:ind w:left="0" w:right="0" w:firstLine="0"/>
              <w:jc w:val="right"/>
              <w:rPr>
                <w:sz w:val="18"/>
                <w:szCs w:val="18"/>
              </w:rPr>
            </w:pPr>
            <w:r w:rsidRPr="00B01FE5">
              <w:rPr>
                <w:sz w:val="18"/>
                <w:szCs w:val="18"/>
              </w:rPr>
              <w:t>1.327.712,51</w:t>
            </w:r>
          </w:p>
        </w:tc>
        <w:tc>
          <w:tcPr>
            <w:tcW w:w="881" w:type="dxa"/>
            <w:tcBorders>
              <w:top w:val="nil"/>
              <w:left w:val="nil"/>
              <w:bottom w:val="single" w:sz="4" w:space="0" w:color="auto"/>
              <w:right w:val="single" w:sz="4" w:space="0" w:color="auto"/>
            </w:tcBorders>
            <w:shd w:val="clear" w:color="auto" w:fill="auto"/>
            <w:noWrap/>
            <w:vAlign w:val="center"/>
            <w:hideMark/>
          </w:tcPr>
          <w:p w14:paraId="1C6768A1" w14:textId="77777777" w:rsidR="00B01FE5" w:rsidRPr="00B01FE5" w:rsidRDefault="00B01FE5" w:rsidP="00B01FE5">
            <w:pPr>
              <w:ind w:left="0" w:right="0" w:firstLine="0"/>
              <w:jc w:val="right"/>
              <w:rPr>
                <w:sz w:val="18"/>
                <w:szCs w:val="18"/>
              </w:rPr>
            </w:pPr>
            <w:r w:rsidRPr="00B01FE5">
              <w:rPr>
                <w:sz w:val="18"/>
                <w:szCs w:val="18"/>
              </w:rPr>
              <w:t>76,01</w:t>
            </w:r>
          </w:p>
        </w:tc>
        <w:tc>
          <w:tcPr>
            <w:tcW w:w="898" w:type="dxa"/>
            <w:tcBorders>
              <w:top w:val="nil"/>
              <w:left w:val="nil"/>
              <w:bottom w:val="single" w:sz="4" w:space="0" w:color="auto"/>
              <w:right w:val="double" w:sz="6" w:space="0" w:color="auto"/>
            </w:tcBorders>
            <w:shd w:val="clear" w:color="auto" w:fill="auto"/>
            <w:noWrap/>
            <w:vAlign w:val="center"/>
            <w:hideMark/>
          </w:tcPr>
          <w:p w14:paraId="4625B152" w14:textId="77777777" w:rsidR="00B01FE5" w:rsidRPr="00B01FE5" w:rsidRDefault="00B01FE5" w:rsidP="00B01FE5">
            <w:pPr>
              <w:ind w:left="0" w:right="0" w:firstLine="0"/>
              <w:jc w:val="right"/>
              <w:rPr>
                <w:sz w:val="18"/>
                <w:szCs w:val="18"/>
              </w:rPr>
            </w:pPr>
            <w:r w:rsidRPr="00B01FE5">
              <w:rPr>
                <w:sz w:val="18"/>
                <w:szCs w:val="18"/>
              </w:rPr>
              <w:t>8,38</w:t>
            </w:r>
          </w:p>
        </w:tc>
      </w:tr>
      <w:tr w:rsidR="00B01FE5" w:rsidRPr="00B01FE5" w14:paraId="133438CA" w14:textId="77777777" w:rsidTr="00B01FE5">
        <w:trPr>
          <w:trHeight w:val="480"/>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222E3FA6" w14:textId="77777777" w:rsidR="00B01FE5" w:rsidRPr="00B01FE5" w:rsidRDefault="00B01FE5" w:rsidP="00B01FE5">
            <w:pPr>
              <w:ind w:left="0" w:right="0" w:firstLine="0"/>
              <w:jc w:val="center"/>
              <w:rPr>
                <w:sz w:val="18"/>
                <w:szCs w:val="18"/>
              </w:rPr>
            </w:pPr>
            <w:r w:rsidRPr="00B01FE5">
              <w:rPr>
                <w:sz w:val="18"/>
                <w:szCs w:val="18"/>
              </w:rPr>
              <w:t>6.</w:t>
            </w:r>
          </w:p>
        </w:tc>
        <w:tc>
          <w:tcPr>
            <w:tcW w:w="3380" w:type="dxa"/>
            <w:tcBorders>
              <w:top w:val="nil"/>
              <w:left w:val="nil"/>
              <w:bottom w:val="single" w:sz="4" w:space="0" w:color="auto"/>
              <w:right w:val="single" w:sz="4" w:space="0" w:color="auto"/>
            </w:tcBorders>
            <w:shd w:val="clear" w:color="auto" w:fill="auto"/>
            <w:vAlign w:val="center"/>
            <w:hideMark/>
          </w:tcPr>
          <w:p w14:paraId="634C8936" w14:textId="77777777" w:rsidR="00B01FE5" w:rsidRPr="00B01FE5" w:rsidRDefault="00B01FE5" w:rsidP="00B01FE5">
            <w:pPr>
              <w:ind w:left="0" w:right="0" w:firstLine="0"/>
              <w:jc w:val="left"/>
              <w:rPr>
                <w:sz w:val="18"/>
                <w:szCs w:val="18"/>
              </w:rPr>
            </w:pPr>
            <w:r w:rsidRPr="00B01FE5">
              <w:rPr>
                <w:sz w:val="18"/>
                <w:szCs w:val="18"/>
              </w:rPr>
              <w:t>Дознаке на име социјалне заштите које се исплаћују из буџета општине</w:t>
            </w:r>
          </w:p>
        </w:tc>
        <w:tc>
          <w:tcPr>
            <w:tcW w:w="1366" w:type="dxa"/>
            <w:tcBorders>
              <w:top w:val="nil"/>
              <w:left w:val="nil"/>
              <w:bottom w:val="single" w:sz="4" w:space="0" w:color="auto"/>
              <w:right w:val="single" w:sz="4" w:space="0" w:color="auto"/>
            </w:tcBorders>
            <w:shd w:val="clear" w:color="auto" w:fill="auto"/>
            <w:noWrap/>
            <w:vAlign w:val="center"/>
            <w:hideMark/>
          </w:tcPr>
          <w:p w14:paraId="0A38C884" w14:textId="77777777" w:rsidR="00B01FE5" w:rsidRPr="00B01FE5" w:rsidRDefault="00B01FE5" w:rsidP="00B01FE5">
            <w:pPr>
              <w:ind w:left="0" w:right="0" w:firstLine="0"/>
              <w:jc w:val="right"/>
              <w:rPr>
                <w:sz w:val="18"/>
                <w:szCs w:val="18"/>
              </w:rPr>
            </w:pPr>
            <w:r w:rsidRPr="00B01FE5">
              <w:rPr>
                <w:sz w:val="18"/>
                <w:szCs w:val="18"/>
              </w:rPr>
              <w:t>3.191.900,26</w:t>
            </w:r>
          </w:p>
        </w:tc>
        <w:tc>
          <w:tcPr>
            <w:tcW w:w="1340" w:type="dxa"/>
            <w:tcBorders>
              <w:top w:val="nil"/>
              <w:left w:val="nil"/>
              <w:bottom w:val="single" w:sz="4" w:space="0" w:color="auto"/>
              <w:right w:val="single" w:sz="4" w:space="0" w:color="auto"/>
            </w:tcBorders>
            <w:shd w:val="clear" w:color="auto" w:fill="auto"/>
            <w:noWrap/>
            <w:vAlign w:val="center"/>
            <w:hideMark/>
          </w:tcPr>
          <w:p w14:paraId="3F713902" w14:textId="77777777" w:rsidR="00B01FE5" w:rsidRPr="00B01FE5" w:rsidRDefault="00B01FE5" w:rsidP="00B01FE5">
            <w:pPr>
              <w:ind w:left="0" w:right="0" w:firstLine="0"/>
              <w:jc w:val="right"/>
              <w:rPr>
                <w:sz w:val="18"/>
                <w:szCs w:val="18"/>
              </w:rPr>
            </w:pPr>
            <w:r w:rsidRPr="00B01FE5">
              <w:rPr>
                <w:sz w:val="18"/>
                <w:szCs w:val="18"/>
              </w:rPr>
              <w:t>-48.300,00</w:t>
            </w:r>
          </w:p>
        </w:tc>
        <w:tc>
          <w:tcPr>
            <w:tcW w:w="1366" w:type="dxa"/>
            <w:tcBorders>
              <w:top w:val="nil"/>
              <w:left w:val="nil"/>
              <w:bottom w:val="single" w:sz="4" w:space="0" w:color="auto"/>
              <w:right w:val="single" w:sz="4" w:space="0" w:color="auto"/>
            </w:tcBorders>
            <w:shd w:val="clear" w:color="auto" w:fill="auto"/>
            <w:noWrap/>
            <w:vAlign w:val="center"/>
            <w:hideMark/>
          </w:tcPr>
          <w:p w14:paraId="75A4DF62" w14:textId="77777777" w:rsidR="00B01FE5" w:rsidRPr="00B01FE5" w:rsidRDefault="00B01FE5" w:rsidP="00B01FE5">
            <w:pPr>
              <w:ind w:left="0" w:right="0" w:firstLine="0"/>
              <w:jc w:val="right"/>
              <w:rPr>
                <w:sz w:val="18"/>
                <w:szCs w:val="18"/>
              </w:rPr>
            </w:pPr>
            <w:r w:rsidRPr="00B01FE5">
              <w:rPr>
                <w:sz w:val="18"/>
                <w:szCs w:val="18"/>
              </w:rPr>
              <w:t>3.143.600,26</w:t>
            </w:r>
          </w:p>
        </w:tc>
        <w:tc>
          <w:tcPr>
            <w:tcW w:w="1366" w:type="dxa"/>
            <w:tcBorders>
              <w:top w:val="nil"/>
              <w:left w:val="nil"/>
              <w:bottom w:val="single" w:sz="4" w:space="0" w:color="auto"/>
              <w:right w:val="single" w:sz="4" w:space="0" w:color="auto"/>
            </w:tcBorders>
            <w:shd w:val="clear" w:color="auto" w:fill="auto"/>
            <w:noWrap/>
            <w:vAlign w:val="center"/>
            <w:hideMark/>
          </w:tcPr>
          <w:p w14:paraId="511AB4C0" w14:textId="77777777" w:rsidR="00B01FE5" w:rsidRPr="00B01FE5" w:rsidRDefault="00B01FE5" w:rsidP="00B01FE5">
            <w:pPr>
              <w:ind w:left="0" w:right="0" w:firstLine="0"/>
              <w:jc w:val="right"/>
              <w:rPr>
                <w:sz w:val="18"/>
                <w:szCs w:val="18"/>
              </w:rPr>
            </w:pPr>
            <w:r w:rsidRPr="00B01FE5">
              <w:rPr>
                <w:sz w:val="18"/>
                <w:szCs w:val="18"/>
              </w:rPr>
              <w:t>3.086.922,61</w:t>
            </w:r>
          </w:p>
        </w:tc>
        <w:tc>
          <w:tcPr>
            <w:tcW w:w="881" w:type="dxa"/>
            <w:tcBorders>
              <w:top w:val="nil"/>
              <w:left w:val="nil"/>
              <w:bottom w:val="single" w:sz="4" w:space="0" w:color="auto"/>
              <w:right w:val="single" w:sz="4" w:space="0" w:color="auto"/>
            </w:tcBorders>
            <w:shd w:val="clear" w:color="auto" w:fill="auto"/>
            <w:noWrap/>
            <w:vAlign w:val="center"/>
            <w:hideMark/>
          </w:tcPr>
          <w:p w14:paraId="08951739" w14:textId="77777777" w:rsidR="00B01FE5" w:rsidRPr="00B01FE5" w:rsidRDefault="00B01FE5" w:rsidP="00B01FE5">
            <w:pPr>
              <w:ind w:left="0" w:right="0" w:firstLine="0"/>
              <w:jc w:val="right"/>
              <w:rPr>
                <w:sz w:val="18"/>
                <w:szCs w:val="18"/>
              </w:rPr>
            </w:pPr>
            <w:r w:rsidRPr="00B01FE5">
              <w:rPr>
                <w:sz w:val="18"/>
                <w:szCs w:val="18"/>
              </w:rPr>
              <w:t>98,20</w:t>
            </w:r>
          </w:p>
        </w:tc>
        <w:tc>
          <w:tcPr>
            <w:tcW w:w="898" w:type="dxa"/>
            <w:tcBorders>
              <w:top w:val="nil"/>
              <w:left w:val="nil"/>
              <w:bottom w:val="single" w:sz="4" w:space="0" w:color="auto"/>
              <w:right w:val="double" w:sz="6" w:space="0" w:color="auto"/>
            </w:tcBorders>
            <w:shd w:val="clear" w:color="auto" w:fill="auto"/>
            <w:noWrap/>
            <w:vAlign w:val="center"/>
            <w:hideMark/>
          </w:tcPr>
          <w:p w14:paraId="5AA8A7A5" w14:textId="77777777" w:rsidR="00B01FE5" w:rsidRPr="00B01FE5" w:rsidRDefault="00B01FE5" w:rsidP="00B01FE5">
            <w:pPr>
              <w:ind w:left="0" w:right="0" w:firstLine="0"/>
              <w:jc w:val="right"/>
              <w:rPr>
                <w:sz w:val="18"/>
                <w:szCs w:val="18"/>
              </w:rPr>
            </w:pPr>
            <w:r w:rsidRPr="00B01FE5">
              <w:rPr>
                <w:sz w:val="18"/>
                <w:szCs w:val="18"/>
              </w:rPr>
              <w:t>19,47</w:t>
            </w:r>
          </w:p>
        </w:tc>
      </w:tr>
      <w:tr w:rsidR="00B01FE5" w:rsidRPr="00B01FE5" w14:paraId="2FCFD64D" w14:textId="77777777" w:rsidTr="00B01FE5">
        <w:trPr>
          <w:trHeight w:val="435"/>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55735AAC" w14:textId="77777777" w:rsidR="00B01FE5" w:rsidRPr="00B01FE5" w:rsidRDefault="00B01FE5" w:rsidP="00B01FE5">
            <w:pPr>
              <w:ind w:left="0" w:right="0" w:firstLine="0"/>
              <w:jc w:val="center"/>
              <w:rPr>
                <w:sz w:val="18"/>
                <w:szCs w:val="18"/>
              </w:rPr>
            </w:pPr>
            <w:r w:rsidRPr="00B01FE5">
              <w:rPr>
                <w:sz w:val="18"/>
                <w:szCs w:val="18"/>
              </w:rPr>
              <w:t>7.</w:t>
            </w:r>
          </w:p>
        </w:tc>
        <w:tc>
          <w:tcPr>
            <w:tcW w:w="3380" w:type="dxa"/>
            <w:tcBorders>
              <w:top w:val="nil"/>
              <w:left w:val="nil"/>
              <w:bottom w:val="single" w:sz="4" w:space="0" w:color="auto"/>
              <w:right w:val="single" w:sz="4" w:space="0" w:color="auto"/>
            </w:tcBorders>
            <w:shd w:val="clear" w:color="auto" w:fill="auto"/>
            <w:vAlign w:val="center"/>
            <w:hideMark/>
          </w:tcPr>
          <w:p w14:paraId="456A68A7" w14:textId="77777777" w:rsidR="00B01FE5" w:rsidRPr="00B01FE5" w:rsidRDefault="00B01FE5" w:rsidP="00B01FE5">
            <w:pPr>
              <w:ind w:left="0" w:right="0" w:firstLine="0"/>
              <w:jc w:val="left"/>
              <w:rPr>
                <w:sz w:val="18"/>
                <w:szCs w:val="18"/>
              </w:rPr>
            </w:pPr>
            <w:r w:rsidRPr="00B01FE5">
              <w:rPr>
                <w:sz w:val="18"/>
                <w:szCs w:val="18"/>
              </w:rPr>
              <w:t>Расходи финансирања и други финансијски трошкови између јединица власти</w:t>
            </w:r>
          </w:p>
        </w:tc>
        <w:tc>
          <w:tcPr>
            <w:tcW w:w="1366" w:type="dxa"/>
            <w:tcBorders>
              <w:top w:val="nil"/>
              <w:left w:val="nil"/>
              <w:bottom w:val="single" w:sz="4" w:space="0" w:color="auto"/>
              <w:right w:val="single" w:sz="4" w:space="0" w:color="auto"/>
            </w:tcBorders>
            <w:shd w:val="clear" w:color="auto" w:fill="auto"/>
            <w:noWrap/>
            <w:vAlign w:val="center"/>
            <w:hideMark/>
          </w:tcPr>
          <w:p w14:paraId="1E3DA54A" w14:textId="77777777" w:rsidR="00B01FE5" w:rsidRPr="00B01FE5" w:rsidRDefault="00B01FE5" w:rsidP="00B01FE5">
            <w:pPr>
              <w:ind w:left="0" w:right="0" w:firstLine="0"/>
              <w:jc w:val="right"/>
              <w:rPr>
                <w:sz w:val="18"/>
                <w:szCs w:val="18"/>
              </w:rPr>
            </w:pPr>
            <w:r w:rsidRPr="00B01FE5">
              <w:rPr>
                <w:sz w:val="18"/>
                <w:szCs w:val="18"/>
              </w:rPr>
              <w:t>31.610,00</w:t>
            </w:r>
          </w:p>
        </w:tc>
        <w:tc>
          <w:tcPr>
            <w:tcW w:w="1340" w:type="dxa"/>
            <w:tcBorders>
              <w:top w:val="nil"/>
              <w:left w:val="nil"/>
              <w:bottom w:val="single" w:sz="4" w:space="0" w:color="auto"/>
              <w:right w:val="single" w:sz="4" w:space="0" w:color="auto"/>
            </w:tcBorders>
            <w:shd w:val="clear" w:color="auto" w:fill="auto"/>
            <w:noWrap/>
            <w:vAlign w:val="center"/>
            <w:hideMark/>
          </w:tcPr>
          <w:p w14:paraId="3DFABA76" w14:textId="77777777" w:rsidR="00B01FE5" w:rsidRPr="00B01FE5" w:rsidRDefault="00B01FE5" w:rsidP="00B01FE5">
            <w:pPr>
              <w:ind w:left="0" w:right="0" w:firstLine="0"/>
              <w:jc w:val="right"/>
              <w:rPr>
                <w:sz w:val="18"/>
                <w:szCs w:val="18"/>
              </w:rPr>
            </w:pPr>
            <w:r w:rsidRPr="00B01FE5">
              <w:rPr>
                <w:sz w:val="18"/>
                <w:szCs w:val="18"/>
              </w:rPr>
              <w:t>0,00</w:t>
            </w:r>
          </w:p>
        </w:tc>
        <w:tc>
          <w:tcPr>
            <w:tcW w:w="1366" w:type="dxa"/>
            <w:tcBorders>
              <w:top w:val="nil"/>
              <w:left w:val="nil"/>
              <w:bottom w:val="single" w:sz="4" w:space="0" w:color="auto"/>
              <w:right w:val="single" w:sz="4" w:space="0" w:color="auto"/>
            </w:tcBorders>
            <w:shd w:val="clear" w:color="auto" w:fill="auto"/>
            <w:noWrap/>
            <w:vAlign w:val="center"/>
            <w:hideMark/>
          </w:tcPr>
          <w:p w14:paraId="56D00BA5" w14:textId="77777777" w:rsidR="00B01FE5" w:rsidRPr="00B01FE5" w:rsidRDefault="00B01FE5" w:rsidP="00B01FE5">
            <w:pPr>
              <w:ind w:left="0" w:right="0" w:firstLine="0"/>
              <w:jc w:val="right"/>
              <w:rPr>
                <w:sz w:val="18"/>
                <w:szCs w:val="18"/>
              </w:rPr>
            </w:pPr>
            <w:r w:rsidRPr="00B01FE5">
              <w:rPr>
                <w:sz w:val="18"/>
                <w:szCs w:val="18"/>
              </w:rPr>
              <w:t>31.610,00</w:t>
            </w:r>
          </w:p>
        </w:tc>
        <w:tc>
          <w:tcPr>
            <w:tcW w:w="1366" w:type="dxa"/>
            <w:tcBorders>
              <w:top w:val="nil"/>
              <w:left w:val="nil"/>
              <w:bottom w:val="single" w:sz="4" w:space="0" w:color="auto"/>
              <w:right w:val="single" w:sz="4" w:space="0" w:color="auto"/>
            </w:tcBorders>
            <w:shd w:val="clear" w:color="auto" w:fill="auto"/>
            <w:noWrap/>
            <w:vAlign w:val="center"/>
            <w:hideMark/>
          </w:tcPr>
          <w:p w14:paraId="065B9D6D" w14:textId="77777777" w:rsidR="00B01FE5" w:rsidRPr="00B01FE5" w:rsidRDefault="00B01FE5" w:rsidP="00B01FE5">
            <w:pPr>
              <w:ind w:left="0" w:right="0" w:firstLine="0"/>
              <w:jc w:val="right"/>
              <w:rPr>
                <w:sz w:val="18"/>
                <w:szCs w:val="18"/>
              </w:rPr>
            </w:pPr>
            <w:r w:rsidRPr="00B01FE5">
              <w:rPr>
                <w:sz w:val="18"/>
                <w:szCs w:val="18"/>
              </w:rPr>
              <w:t>28.815,28</w:t>
            </w:r>
          </w:p>
        </w:tc>
        <w:tc>
          <w:tcPr>
            <w:tcW w:w="881" w:type="dxa"/>
            <w:tcBorders>
              <w:top w:val="nil"/>
              <w:left w:val="nil"/>
              <w:bottom w:val="single" w:sz="4" w:space="0" w:color="auto"/>
              <w:right w:val="single" w:sz="4" w:space="0" w:color="auto"/>
            </w:tcBorders>
            <w:shd w:val="clear" w:color="auto" w:fill="auto"/>
            <w:noWrap/>
            <w:vAlign w:val="center"/>
            <w:hideMark/>
          </w:tcPr>
          <w:p w14:paraId="03B301F8" w14:textId="77777777" w:rsidR="00B01FE5" w:rsidRPr="00B01FE5" w:rsidRDefault="00B01FE5" w:rsidP="00B01FE5">
            <w:pPr>
              <w:ind w:left="0" w:right="0" w:firstLine="0"/>
              <w:jc w:val="right"/>
              <w:rPr>
                <w:sz w:val="18"/>
                <w:szCs w:val="18"/>
              </w:rPr>
            </w:pPr>
            <w:r w:rsidRPr="00B01FE5">
              <w:rPr>
                <w:sz w:val="18"/>
                <w:szCs w:val="18"/>
              </w:rPr>
              <w:t>91,16</w:t>
            </w:r>
          </w:p>
        </w:tc>
        <w:tc>
          <w:tcPr>
            <w:tcW w:w="898" w:type="dxa"/>
            <w:tcBorders>
              <w:top w:val="nil"/>
              <w:left w:val="nil"/>
              <w:bottom w:val="single" w:sz="4" w:space="0" w:color="auto"/>
              <w:right w:val="double" w:sz="6" w:space="0" w:color="auto"/>
            </w:tcBorders>
            <w:shd w:val="clear" w:color="auto" w:fill="auto"/>
            <w:noWrap/>
            <w:vAlign w:val="center"/>
            <w:hideMark/>
          </w:tcPr>
          <w:p w14:paraId="055F3062" w14:textId="77777777" w:rsidR="00B01FE5" w:rsidRPr="00B01FE5" w:rsidRDefault="00B01FE5" w:rsidP="00B01FE5">
            <w:pPr>
              <w:ind w:left="0" w:right="0" w:firstLine="0"/>
              <w:jc w:val="right"/>
              <w:rPr>
                <w:sz w:val="18"/>
                <w:szCs w:val="18"/>
              </w:rPr>
            </w:pPr>
            <w:r w:rsidRPr="00B01FE5">
              <w:rPr>
                <w:sz w:val="18"/>
                <w:szCs w:val="18"/>
              </w:rPr>
              <w:t>0,18</w:t>
            </w:r>
          </w:p>
        </w:tc>
      </w:tr>
      <w:tr w:rsidR="00B01FE5" w:rsidRPr="00B01FE5" w14:paraId="46B67DC1" w14:textId="77777777" w:rsidTr="00B01FE5">
        <w:trPr>
          <w:trHeight w:val="255"/>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535D1260" w14:textId="77777777" w:rsidR="00B01FE5" w:rsidRPr="00B01FE5" w:rsidRDefault="00B01FE5" w:rsidP="00B01FE5">
            <w:pPr>
              <w:ind w:left="0" w:right="0" w:firstLine="0"/>
              <w:jc w:val="center"/>
              <w:rPr>
                <w:sz w:val="18"/>
                <w:szCs w:val="18"/>
              </w:rPr>
            </w:pPr>
            <w:r w:rsidRPr="00B01FE5">
              <w:rPr>
                <w:sz w:val="18"/>
                <w:szCs w:val="18"/>
              </w:rPr>
              <w:t>8.</w:t>
            </w:r>
          </w:p>
        </w:tc>
        <w:tc>
          <w:tcPr>
            <w:tcW w:w="3380" w:type="dxa"/>
            <w:tcBorders>
              <w:top w:val="nil"/>
              <w:left w:val="nil"/>
              <w:bottom w:val="single" w:sz="4" w:space="0" w:color="auto"/>
              <w:right w:val="single" w:sz="4" w:space="0" w:color="auto"/>
            </w:tcBorders>
            <w:shd w:val="clear" w:color="auto" w:fill="auto"/>
            <w:vAlign w:val="center"/>
            <w:hideMark/>
          </w:tcPr>
          <w:p w14:paraId="3496D4E0" w14:textId="77777777" w:rsidR="00B01FE5" w:rsidRPr="00B01FE5" w:rsidRDefault="00B01FE5" w:rsidP="00B01FE5">
            <w:pPr>
              <w:ind w:left="0" w:right="0" w:firstLine="0"/>
              <w:jc w:val="left"/>
              <w:rPr>
                <w:sz w:val="18"/>
                <w:szCs w:val="18"/>
              </w:rPr>
            </w:pPr>
            <w:r w:rsidRPr="00B01FE5">
              <w:rPr>
                <w:sz w:val="18"/>
                <w:szCs w:val="18"/>
              </w:rPr>
              <w:t xml:space="preserve">Расходи по судским </w:t>
            </w:r>
            <w:proofErr w:type="spellStart"/>
            <w:r w:rsidRPr="00B01FE5">
              <w:rPr>
                <w:sz w:val="18"/>
                <w:szCs w:val="18"/>
              </w:rPr>
              <w:t>рјешењима</w:t>
            </w:r>
            <w:proofErr w:type="spellEnd"/>
          </w:p>
        </w:tc>
        <w:tc>
          <w:tcPr>
            <w:tcW w:w="1366" w:type="dxa"/>
            <w:tcBorders>
              <w:top w:val="nil"/>
              <w:left w:val="nil"/>
              <w:bottom w:val="single" w:sz="4" w:space="0" w:color="auto"/>
              <w:right w:val="single" w:sz="4" w:space="0" w:color="auto"/>
            </w:tcBorders>
            <w:shd w:val="clear" w:color="auto" w:fill="auto"/>
            <w:noWrap/>
            <w:vAlign w:val="center"/>
            <w:hideMark/>
          </w:tcPr>
          <w:p w14:paraId="197173B6" w14:textId="77777777" w:rsidR="00B01FE5" w:rsidRPr="00B01FE5" w:rsidRDefault="00B01FE5" w:rsidP="00B01FE5">
            <w:pPr>
              <w:ind w:left="0" w:right="0" w:firstLine="0"/>
              <w:jc w:val="right"/>
              <w:rPr>
                <w:sz w:val="18"/>
                <w:szCs w:val="18"/>
              </w:rPr>
            </w:pPr>
            <w:r w:rsidRPr="00B01FE5">
              <w:rPr>
                <w:sz w:val="18"/>
                <w:szCs w:val="18"/>
              </w:rPr>
              <w:t>62.000,00</w:t>
            </w:r>
          </w:p>
        </w:tc>
        <w:tc>
          <w:tcPr>
            <w:tcW w:w="1340" w:type="dxa"/>
            <w:tcBorders>
              <w:top w:val="nil"/>
              <w:left w:val="nil"/>
              <w:bottom w:val="single" w:sz="4" w:space="0" w:color="auto"/>
              <w:right w:val="single" w:sz="4" w:space="0" w:color="auto"/>
            </w:tcBorders>
            <w:shd w:val="clear" w:color="auto" w:fill="auto"/>
            <w:noWrap/>
            <w:vAlign w:val="center"/>
            <w:hideMark/>
          </w:tcPr>
          <w:p w14:paraId="3070DAE5" w14:textId="77777777" w:rsidR="00B01FE5" w:rsidRPr="00B01FE5" w:rsidRDefault="00B01FE5" w:rsidP="00B01FE5">
            <w:pPr>
              <w:ind w:left="0" w:right="0" w:firstLine="0"/>
              <w:jc w:val="right"/>
              <w:rPr>
                <w:sz w:val="18"/>
                <w:szCs w:val="18"/>
              </w:rPr>
            </w:pPr>
            <w:r w:rsidRPr="00B01FE5">
              <w:rPr>
                <w:sz w:val="18"/>
                <w:szCs w:val="18"/>
              </w:rPr>
              <w:t>0,00</w:t>
            </w:r>
          </w:p>
        </w:tc>
        <w:tc>
          <w:tcPr>
            <w:tcW w:w="1366" w:type="dxa"/>
            <w:tcBorders>
              <w:top w:val="nil"/>
              <w:left w:val="nil"/>
              <w:bottom w:val="single" w:sz="4" w:space="0" w:color="auto"/>
              <w:right w:val="single" w:sz="4" w:space="0" w:color="auto"/>
            </w:tcBorders>
            <w:shd w:val="clear" w:color="auto" w:fill="auto"/>
            <w:noWrap/>
            <w:vAlign w:val="center"/>
            <w:hideMark/>
          </w:tcPr>
          <w:p w14:paraId="748A4B7F" w14:textId="77777777" w:rsidR="00B01FE5" w:rsidRPr="00B01FE5" w:rsidRDefault="00B01FE5" w:rsidP="00B01FE5">
            <w:pPr>
              <w:ind w:left="0" w:right="0" w:firstLine="0"/>
              <w:jc w:val="right"/>
              <w:rPr>
                <w:sz w:val="18"/>
                <w:szCs w:val="18"/>
              </w:rPr>
            </w:pPr>
            <w:r w:rsidRPr="00B01FE5">
              <w:rPr>
                <w:sz w:val="18"/>
                <w:szCs w:val="18"/>
              </w:rPr>
              <w:t>62.000,00</w:t>
            </w:r>
          </w:p>
        </w:tc>
        <w:tc>
          <w:tcPr>
            <w:tcW w:w="1366" w:type="dxa"/>
            <w:tcBorders>
              <w:top w:val="nil"/>
              <w:left w:val="nil"/>
              <w:bottom w:val="single" w:sz="4" w:space="0" w:color="auto"/>
              <w:right w:val="single" w:sz="4" w:space="0" w:color="auto"/>
            </w:tcBorders>
            <w:shd w:val="clear" w:color="auto" w:fill="auto"/>
            <w:noWrap/>
            <w:vAlign w:val="center"/>
            <w:hideMark/>
          </w:tcPr>
          <w:p w14:paraId="787F2BD6" w14:textId="77777777" w:rsidR="00B01FE5" w:rsidRPr="00B01FE5" w:rsidRDefault="00B01FE5" w:rsidP="00B01FE5">
            <w:pPr>
              <w:ind w:left="0" w:right="0" w:firstLine="0"/>
              <w:jc w:val="right"/>
              <w:rPr>
                <w:sz w:val="18"/>
                <w:szCs w:val="18"/>
              </w:rPr>
            </w:pPr>
            <w:r w:rsidRPr="00B01FE5">
              <w:rPr>
                <w:sz w:val="18"/>
                <w:szCs w:val="18"/>
              </w:rPr>
              <w:t>47.079,00</w:t>
            </w:r>
          </w:p>
        </w:tc>
        <w:tc>
          <w:tcPr>
            <w:tcW w:w="881" w:type="dxa"/>
            <w:tcBorders>
              <w:top w:val="nil"/>
              <w:left w:val="nil"/>
              <w:bottom w:val="single" w:sz="4" w:space="0" w:color="auto"/>
              <w:right w:val="single" w:sz="4" w:space="0" w:color="auto"/>
            </w:tcBorders>
            <w:shd w:val="clear" w:color="auto" w:fill="auto"/>
            <w:noWrap/>
            <w:vAlign w:val="center"/>
            <w:hideMark/>
          </w:tcPr>
          <w:p w14:paraId="41C1B5BD" w14:textId="77777777" w:rsidR="00B01FE5" w:rsidRPr="00B01FE5" w:rsidRDefault="00B01FE5" w:rsidP="00B01FE5">
            <w:pPr>
              <w:ind w:left="0" w:right="0" w:firstLine="0"/>
              <w:jc w:val="right"/>
              <w:rPr>
                <w:sz w:val="18"/>
                <w:szCs w:val="18"/>
              </w:rPr>
            </w:pPr>
            <w:r w:rsidRPr="00B01FE5">
              <w:rPr>
                <w:sz w:val="18"/>
                <w:szCs w:val="18"/>
              </w:rPr>
              <w:t>75,93</w:t>
            </w:r>
          </w:p>
        </w:tc>
        <w:tc>
          <w:tcPr>
            <w:tcW w:w="898" w:type="dxa"/>
            <w:tcBorders>
              <w:top w:val="nil"/>
              <w:left w:val="nil"/>
              <w:bottom w:val="single" w:sz="4" w:space="0" w:color="auto"/>
              <w:right w:val="double" w:sz="6" w:space="0" w:color="auto"/>
            </w:tcBorders>
            <w:shd w:val="clear" w:color="auto" w:fill="auto"/>
            <w:noWrap/>
            <w:vAlign w:val="center"/>
            <w:hideMark/>
          </w:tcPr>
          <w:p w14:paraId="3F65FD62" w14:textId="77777777" w:rsidR="00B01FE5" w:rsidRPr="00B01FE5" w:rsidRDefault="00B01FE5" w:rsidP="00B01FE5">
            <w:pPr>
              <w:ind w:left="0" w:right="0" w:firstLine="0"/>
              <w:jc w:val="right"/>
              <w:rPr>
                <w:sz w:val="18"/>
                <w:szCs w:val="18"/>
              </w:rPr>
            </w:pPr>
            <w:r w:rsidRPr="00B01FE5">
              <w:rPr>
                <w:sz w:val="18"/>
                <w:szCs w:val="18"/>
              </w:rPr>
              <w:t>0,30</w:t>
            </w:r>
          </w:p>
        </w:tc>
      </w:tr>
      <w:tr w:rsidR="00B01FE5" w:rsidRPr="00B01FE5" w14:paraId="1867E9A4" w14:textId="77777777" w:rsidTr="00B01FE5">
        <w:trPr>
          <w:trHeight w:val="480"/>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62033731" w14:textId="77777777" w:rsidR="00B01FE5" w:rsidRPr="00B01FE5" w:rsidRDefault="00B01FE5" w:rsidP="00B01FE5">
            <w:pPr>
              <w:ind w:left="0" w:right="0" w:firstLine="0"/>
              <w:jc w:val="center"/>
              <w:rPr>
                <w:b/>
                <w:bCs/>
                <w:sz w:val="18"/>
                <w:szCs w:val="18"/>
              </w:rPr>
            </w:pPr>
            <w:r w:rsidRPr="00B01FE5">
              <w:rPr>
                <w:b/>
                <w:bCs/>
                <w:sz w:val="18"/>
                <w:szCs w:val="18"/>
              </w:rPr>
              <w:t>II</w:t>
            </w:r>
          </w:p>
        </w:tc>
        <w:tc>
          <w:tcPr>
            <w:tcW w:w="3380" w:type="dxa"/>
            <w:tcBorders>
              <w:top w:val="nil"/>
              <w:left w:val="nil"/>
              <w:bottom w:val="single" w:sz="4" w:space="0" w:color="auto"/>
              <w:right w:val="single" w:sz="4" w:space="0" w:color="auto"/>
            </w:tcBorders>
            <w:shd w:val="clear" w:color="auto" w:fill="auto"/>
            <w:vAlign w:val="bottom"/>
            <w:hideMark/>
          </w:tcPr>
          <w:p w14:paraId="30694A17" w14:textId="77777777" w:rsidR="00B01FE5" w:rsidRPr="00B01FE5" w:rsidRDefault="00B01FE5" w:rsidP="00B01FE5">
            <w:pPr>
              <w:ind w:left="0" w:right="0" w:firstLine="0"/>
              <w:jc w:val="left"/>
              <w:rPr>
                <w:b/>
                <w:bCs/>
                <w:sz w:val="18"/>
                <w:szCs w:val="18"/>
              </w:rPr>
            </w:pPr>
            <w:r w:rsidRPr="00B01FE5">
              <w:rPr>
                <w:b/>
                <w:bCs/>
                <w:sz w:val="18"/>
                <w:szCs w:val="18"/>
              </w:rPr>
              <w:t>ТРАНСФЕРИ ИЗМЕЂУ И УНУТАР ЈЕДИНИЦА ВЛАСТИ</w:t>
            </w:r>
          </w:p>
        </w:tc>
        <w:tc>
          <w:tcPr>
            <w:tcW w:w="1366" w:type="dxa"/>
            <w:tcBorders>
              <w:top w:val="nil"/>
              <w:left w:val="nil"/>
              <w:bottom w:val="single" w:sz="4" w:space="0" w:color="auto"/>
              <w:right w:val="single" w:sz="4" w:space="0" w:color="auto"/>
            </w:tcBorders>
            <w:shd w:val="clear" w:color="auto" w:fill="auto"/>
            <w:noWrap/>
            <w:vAlign w:val="center"/>
            <w:hideMark/>
          </w:tcPr>
          <w:p w14:paraId="524C0E6D" w14:textId="77777777" w:rsidR="00B01FE5" w:rsidRPr="00B01FE5" w:rsidRDefault="00B01FE5" w:rsidP="00B01FE5">
            <w:pPr>
              <w:ind w:left="0" w:right="0" w:firstLine="0"/>
              <w:jc w:val="right"/>
              <w:rPr>
                <w:b/>
                <w:bCs/>
                <w:sz w:val="18"/>
                <w:szCs w:val="18"/>
              </w:rPr>
            </w:pPr>
            <w:r w:rsidRPr="00B01FE5">
              <w:rPr>
                <w:b/>
                <w:bCs/>
                <w:sz w:val="18"/>
                <w:szCs w:val="18"/>
              </w:rPr>
              <w:t>195.600,00</w:t>
            </w:r>
          </w:p>
        </w:tc>
        <w:tc>
          <w:tcPr>
            <w:tcW w:w="1340" w:type="dxa"/>
            <w:tcBorders>
              <w:top w:val="nil"/>
              <w:left w:val="nil"/>
              <w:bottom w:val="single" w:sz="4" w:space="0" w:color="auto"/>
              <w:right w:val="single" w:sz="4" w:space="0" w:color="auto"/>
            </w:tcBorders>
            <w:shd w:val="clear" w:color="auto" w:fill="auto"/>
            <w:noWrap/>
            <w:vAlign w:val="center"/>
            <w:hideMark/>
          </w:tcPr>
          <w:p w14:paraId="4AD23CAB" w14:textId="77777777" w:rsidR="00B01FE5" w:rsidRPr="00B01FE5" w:rsidRDefault="00B01FE5" w:rsidP="00B01FE5">
            <w:pPr>
              <w:ind w:left="0" w:right="0" w:firstLine="0"/>
              <w:jc w:val="right"/>
              <w:rPr>
                <w:b/>
                <w:bCs/>
                <w:sz w:val="18"/>
                <w:szCs w:val="18"/>
              </w:rPr>
            </w:pPr>
            <w:r w:rsidRPr="00B01FE5">
              <w:rPr>
                <w:b/>
                <w:bCs/>
                <w:sz w:val="18"/>
                <w:szCs w:val="18"/>
              </w:rPr>
              <w:t>2.370,00</w:t>
            </w:r>
          </w:p>
        </w:tc>
        <w:tc>
          <w:tcPr>
            <w:tcW w:w="1366" w:type="dxa"/>
            <w:tcBorders>
              <w:top w:val="nil"/>
              <w:left w:val="nil"/>
              <w:bottom w:val="single" w:sz="4" w:space="0" w:color="auto"/>
              <w:right w:val="single" w:sz="4" w:space="0" w:color="auto"/>
            </w:tcBorders>
            <w:shd w:val="clear" w:color="auto" w:fill="auto"/>
            <w:noWrap/>
            <w:vAlign w:val="center"/>
            <w:hideMark/>
          </w:tcPr>
          <w:p w14:paraId="7E6E5A7D" w14:textId="77777777" w:rsidR="00B01FE5" w:rsidRPr="00B01FE5" w:rsidRDefault="00B01FE5" w:rsidP="00B01FE5">
            <w:pPr>
              <w:ind w:left="0" w:right="0" w:firstLine="0"/>
              <w:jc w:val="right"/>
              <w:rPr>
                <w:b/>
                <w:bCs/>
                <w:sz w:val="18"/>
                <w:szCs w:val="18"/>
              </w:rPr>
            </w:pPr>
            <w:r w:rsidRPr="00B01FE5">
              <w:rPr>
                <w:b/>
                <w:bCs/>
                <w:sz w:val="18"/>
                <w:szCs w:val="18"/>
              </w:rPr>
              <w:t>197.970,00</w:t>
            </w:r>
          </w:p>
        </w:tc>
        <w:tc>
          <w:tcPr>
            <w:tcW w:w="1366" w:type="dxa"/>
            <w:tcBorders>
              <w:top w:val="nil"/>
              <w:left w:val="nil"/>
              <w:bottom w:val="single" w:sz="4" w:space="0" w:color="auto"/>
              <w:right w:val="single" w:sz="4" w:space="0" w:color="auto"/>
            </w:tcBorders>
            <w:shd w:val="clear" w:color="auto" w:fill="auto"/>
            <w:noWrap/>
            <w:vAlign w:val="center"/>
            <w:hideMark/>
          </w:tcPr>
          <w:p w14:paraId="6A925C9A" w14:textId="77777777" w:rsidR="00B01FE5" w:rsidRPr="00B01FE5" w:rsidRDefault="00B01FE5" w:rsidP="00B01FE5">
            <w:pPr>
              <w:ind w:left="0" w:right="0" w:firstLine="0"/>
              <w:jc w:val="right"/>
              <w:rPr>
                <w:b/>
                <w:bCs/>
                <w:sz w:val="18"/>
                <w:szCs w:val="18"/>
              </w:rPr>
            </w:pPr>
            <w:r w:rsidRPr="00B01FE5">
              <w:rPr>
                <w:b/>
                <w:bCs/>
                <w:sz w:val="18"/>
                <w:szCs w:val="18"/>
              </w:rPr>
              <w:t>176.111,48</w:t>
            </w:r>
          </w:p>
        </w:tc>
        <w:tc>
          <w:tcPr>
            <w:tcW w:w="881" w:type="dxa"/>
            <w:tcBorders>
              <w:top w:val="nil"/>
              <w:left w:val="nil"/>
              <w:bottom w:val="single" w:sz="4" w:space="0" w:color="auto"/>
              <w:right w:val="single" w:sz="4" w:space="0" w:color="auto"/>
            </w:tcBorders>
            <w:shd w:val="clear" w:color="auto" w:fill="auto"/>
            <w:noWrap/>
            <w:vAlign w:val="center"/>
            <w:hideMark/>
          </w:tcPr>
          <w:p w14:paraId="0BF76F11" w14:textId="77777777" w:rsidR="00B01FE5" w:rsidRPr="00B01FE5" w:rsidRDefault="00B01FE5" w:rsidP="00B01FE5">
            <w:pPr>
              <w:ind w:left="0" w:right="0" w:firstLine="0"/>
              <w:jc w:val="right"/>
              <w:rPr>
                <w:b/>
                <w:bCs/>
                <w:sz w:val="18"/>
                <w:szCs w:val="18"/>
              </w:rPr>
            </w:pPr>
            <w:r w:rsidRPr="00B01FE5">
              <w:rPr>
                <w:b/>
                <w:bCs/>
                <w:sz w:val="18"/>
                <w:szCs w:val="18"/>
              </w:rPr>
              <w:t>88,96</w:t>
            </w:r>
          </w:p>
        </w:tc>
        <w:tc>
          <w:tcPr>
            <w:tcW w:w="898" w:type="dxa"/>
            <w:tcBorders>
              <w:top w:val="nil"/>
              <w:left w:val="nil"/>
              <w:bottom w:val="single" w:sz="4" w:space="0" w:color="auto"/>
              <w:right w:val="double" w:sz="6" w:space="0" w:color="auto"/>
            </w:tcBorders>
            <w:shd w:val="clear" w:color="auto" w:fill="auto"/>
            <w:noWrap/>
            <w:vAlign w:val="center"/>
            <w:hideMark/>
          </w:tcPr>
          <w:p w14:paraId="2E6CA0F7" w14:textId="77777777" w:rsidR="00B01FE5" w:rsidRPr="00B01FE5" w:rsidRDefault="00B01FE5" w:rsidP="00B01FE5">
            <w:pPr>
              <w:ind w:left="0" w:right="0" w:firstLine="0"/>
              <w:jc w:val="right"/>
              <w:rPr>
                <w:b/>
                <w:bCs/>
                <w:sz w:val="18"/>
                <w:szCs w:val="18"/>
              </w:rPr>
            </w:pPr>
            <w:r w:rsidRPr="00B01FE5">
              <w:rPr>
                <w:b/>
                <w:bCs/>
                <w:sz w:val="18"/>
                <w:szCs w:val="18"/>
              </w:rPr>
              <w:t>1,11</w:t>
            </w:r>
          </w:p>
        </w:tc>
      </w:tr>
      <w:tr w:rsidR="00B01FE5" w:rsidRPr="00B01FE5" w14:paraId="307835E0" w14:textId="77777777" w:rsidTr="00695B49">
        <w:trPr>
          <w:trHeight w:val="442"/>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657AFE1C" w14:textId="77777777" w:rsidR="00B01FE5" w:rsidRPr="00B01FE5" w:rsidRDefault="00B01FE5" w:rsidP="00B01FE5">
            <w:pPr>
              <w:ind w:left="0" w:right="0" w:firstLine="0"/>
              <w:jc w:val="center"/>
              <w:rPr>
                <w:sz w:val="18"/>
                <w:szCs w:val="18"/>
              </w:rPr>
            </w:pPr>
            <w:r w:rsidRPr="00B01FE5">
              <w:rPr>
                <w:sz w:val="18"/>
                <w:szCs w:val="18"/>
              </w:rPr>
              <w:t>1.</w:t>
            </w:r>
          </w:p>
        </w:tc>
        <w:tc>
          <w:tcPr>
            <w:tcW w:w="3380" w:type="dxa"/>
            <w:tcBorders>
              <w:top w:val="nil"/>
              <w:left w:val="nil"/>
              <w:bottom w:val="single" w:sz="4" w:space="0" w:color="auto"/>
              <w:right w:val="single" w:sz="4" w:space="0" w:color="auto"/>
            </w:tcBorders>
            <w:shd w:val="clear" w:color="auto" w:fill="auto"/>
            <w:vAlign w:val="center"/>
            <w:hideMark/>
          </w:tcPr>
          <w:p w14:paraId="3A736797" w14:textId="77777777" w:rsidR="00B01FE5" w:rsidRPr="00B01FE5" w:rsidRDefault="00B01FE5" w:rsidP="00B01FE5">
            <w:pPr>
              <w:ind w:left="0" w:right="0" w:firstLine="0"/>
              <w:jc w:val="left"/>
              <w:rPr>
                <w:sz w:val="18"/>
                <w:szCs w:val="18"/>
              </w:rPr>
            </w:pPr>
            <w:r w:rsidRPr="00B01FE5">
              <w:rPr>
                <w:sz w:val="18"/>
                <w:szCs w:val="18"/>
              </w:rPr>
              <w:t>Трансфери између и унутар јединица власти</w:t>
            </w:r>
          </w:p>
        </w:tc>
        <w:tc>
          <w:tcPr>
            <w:tcW w:w="1366" w:type="dxa"/>
            <w:tcBorders>
              <w:top w:val="nil"/>
              <w:left w:val="nil"/>
              <w:bottom w:val="single" w:sz="4" w:space="0" w:color="auto"/>
              <w:right w:val="single" w:sz="4" w:space="0" w:color="auto"/>
            </w:tcBorders>
            <w:shd w:val="clear" w:color="auto" w:fill="auto"/>
            <w:noWrap/>
            <w:vAlign w:val="center"/>
            <w:hideMark/>
          </w:tcPr>
          <w:p w14:paraId="7859E983" w14:textId="77777777" w:rsidR="00B01FE5" w:rsidRPr="00B01FE5" w:rsidRDefault="00B01FE5" w:rsidP="00B01FE5">
            <w:pPr>
              <w:ind w:left="0" w:right="0" w:firstLine="0"/>
              <w:jc w:val="right"/>
              <w:rPr>
                <w:sz w:val="18"/>
                <w:szCs w:val="18"/>
              </w:rPr>
            </w:pPr>
            <w:r w:rsidRPr="00B01FE5">
              <w:rPr>
                <w:sz w:val="18"/>
                <w:szCs w:val="18"/>
              </w:rPr>
              <w:t>195.600,00</w:t>
            </w:r>
          </w:p>
        </w:tc>
        <w:tc>
          <w:tcPr>
            <w:tcW w:w="1340" w:type="dxa"/>
            <w:tcBorders>
              <w:top w:val="nil"/>
              <w:left w:val="nil"/>
              <w:bottom w:val="single" w:sz="4" w:space="0" w:color="auto"/>
              <w:right w:val="single" w:sz="4" w:space="0" w:color="auto"/>
            </w:tcBorders>
            <w:shd w:val="clear" w:color="auto" w:fill="auto"/>
            <w:noWrap/>
            <w:vAlign w:val="center"/>
            <w:hideMark/>
          </w:tcPr>
          <w:p w14:paraId="2C6048BE" w14:textId="77777777" w:rsidR="00B01FE5" w:rsidRPr="00B01FE5" w:rsidRDefault="00B01FE5" w:rsidP="00B01FE5">
            <w:pPr>
              <w:ind w:left="0" w:right="0" w:firstLine="0"/>
              <w:jc w:val="right"/>
              <w:rPr>
                <w:sz w:val="18"/>
                <w:szCs w:val="18"/>
              </w:rPr>
            </w:pPr>
            <w:r w:rsidRPr="00B01FE5">
              <w:rPr>
                <w:sz w:val="18"/>
                <w:szCs w:val="18"/>
              </w:rPr>
              <w:t>2.370,00</w:t>
            </w:r>
          </w:p>
        </w:tc>
        <w:tc>
          <w:tcPr>
            <w:tcW w:w="1366" w:type="dxa"/>
            <w:tcBorders>
              <w:top w:val="nil"/>
              <w:left w:val="nil"/>
              <w:bottom w:val="single" w:sz="4" w:space="0" w:color="auto"/>
              <w:right w:val="single" w:sz="4" w:space="0" w:color="auto"/>
            </w:tcBorders>
            <w:shd w:val="clear" w:color="auto" w:fill="auto"/>
            <w:noWrap/>
            <w:vAlign w:val="center"/>
            <w:hideMark/>
          </w:tcPr>
          <w:p w14:paraId="04D36822" w14:textId="77777777" w:rsidR="00B01FE5" w:rsidRPr="00B01FE5" w:rsidRDefault="00B01FE5" w:rsidP="00B01FE5">
            <w:pPr>
              <w:ind w:left="0" w:right="0" w:firstLine="0"/>
              <w:jc w:val="right"/>
              <w:rPr>
                <w:sz w:val="18"/>
                <w:szCs w:val="18"/>
              </w:rPr>
            </w:pPr>
            <w:r w:rsidRPr="00B01FE5">
              <w:rPr>
                <w:sz w:val="18"/>
                <w:szCs w:val="18"/>
              </w:rPr>
              <w:t>197.970,00</w:t>
            </w:r>
          </w:p>
        </w:tc>
        <w:tc>
          <w:tcPr>
            <w:tcW w:w="1366" w:type="dxa"/>
            <w:tcBorders>
              <w:top w:val="nil"/>
              <w:left w:val="nil"/>
              <w:bottom w:val="single" w:sz="4" w:space="0" w:color="auto"/>
              <w:right w:val="single" w:sz="4" w:space="0" w:color="auto"/>
            </w:tcBorders>
            <w:shd w:val="clear" w:color="auto" w:fill="auto"/>
            <w:noWrap/>
            <w:vAlign w:val="center"/>
            <w:hideMark/>
          </w:tcPr>
          <w:p w14:paraId="3D4EA24A" w14:textId="77777777" w:rsidR="00B01FE5" w:rsidRPr="00B01FE5" w:rsidRDefault="00B01FE5" w:rsidP="00B01FE5">
            <w:pPr>
              <w:ind w:left="0" w:right="0" w:firstLine="0"/>
              <w:jc w:val="right"/>
              <w:rPr>
                <w:sz w:val="18"/>
                <w:szCs w:val="18"/>
              </w:rPr>
            </w:pPr>
            <w:r w:rsidRPr="00B01FE5">
              <w:rPr>
                <w:sz w:val="18"/>
                <w:szCs w:val="18"/>
              </w:rPr>
              <w:t>176.111,48</w:t>
            </w:r>
          </w:p>
        </w:tc>
        <w:tc>
          <w:tcPr>
            <w:tcW w:w="881" w:type="dxa"/>
            <w:tcBorders>
              <w:top w:val="nil"/>
              <w:left w:val="nil"/>
              <w:bottom w:val="single" w:sz="4" w:space="0" w:color="auto"/>
              <w:right w:val="single" w:sz="4" w:space="0" w:color="auto"/>
            </w:tcBorders>
            <w:shd w:val="clear" w:color="auto" w:fill="auto"/>
            <w:noWrap/>
            <w:vAlign w:val="center"/>
            <w:hideMark/>
          </w:tcPr>
          <w:p w14:paraId="0CB4C4BB" w14:textId="77777777" w:rsidR="00B01FE5" w:rsidRPr="00B01FE5" w:rsidRDefault="00B01FE5" w:rsidP="00B01FE5">
            <w:pPr>
              <w:ind w:left="0" w:right="0" w:firstLine="0"/>
              <w:jc w:val="right"/>
              <w:rPr>
                <w:sz w:val="18"/>
                <w:szCs w:val="18"/>
              </w:rPr>
            </w:pPr>
            <w:r w:rsidRPr="00B01FE5">
              <w:rPr>
                <w:sz w:val="18"/>
                <w:szCs w:val="18"/>
              </w:rPr>
              <w:t>88,96</w:t>
            </w:r>
          </w:p>
        </w:tc>
        <w:tc>
          <w:tcPr>
            <w:tcW w:w="898" w:type="dxa"/>
            <w:tcBorders>
              <w:top w:val="nil"/>
              <w:left w:val="nil"/>
              <w:bottom w:val="single" w:sz="4" w:space="0" w:color="auto"/>
              <w:right w:val="double" w:sz="6" w:space="0" w:color="auto"/>
            </w:tcBorders>
            <w:shd w:val="clear" w:color="auto" w:fill="auto"/>
            <w:noWrap/>
            <w:vAlign w:val="center"/>
            <w:hideMark/>
          </w:tcPr>
          <w:p w14:paraId="0DEBF73A" w14:textId="77777777" w:rsidR="00B01FE5" w:rsidRPr="00B01FE5" w:rsidRDefault="00B01FE5" w:rsidP="00B01FE5">
            <w:pPr>
              <w:ind w:left="0" w:right="0" w:firstLine="0"/>
              <w:jc w:val="right"/>
              <w:rPr>
                <w:sz w:val="18"/>
                <w:szCs w:val="18"/>
              </w:rPr>
            </w:pPr>
            <w:r w:rsidRPr="00B01FE5">
              <w:rPr>
                <w:sz w:val="18"/>
                <w:szCs w:val="18"/>
              </w:rPr>
              <w:t>1,11</w:t>
            </w:r>
          </w:p>
        </w:tc>
      </w:tr>
      <w:tr w:rsidR="00B01FE5" w:rsidRPr="00B01FE5" w14:paraId="1960E1C9" w14:textId="77777777" w:rsidTr="00B01FE5">
        <w:trPr>
          <w:trHeight w:val="285"/>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0EB7A8FF" w14:textId="77777777" w:rsidR="00B01FE5" w:rsidRPr="00B01FE5" w:rsidRDefault="00B01FE5" w:rsidP="00B01FE5">
            <w:pPr>
              <w:ind w:left="0" w:right="0" w:firstLine="0"/>
              <w:jc w:val="center"/>
              <w:rPr>
                <w:b/>
                <w:bCs/>
                <w:sz w:val="18"/>
                <w:szCs w:val="18"/>
              </w:rPr>
            </w:pPr>
            <w:r w:rsidRPr="00B01FE5">
              <w:rPr>
                <w:b/>
                <w:bCs/>
                <w:sz w:val="18"/>
                <w:szCs w:val="18"/>
              </w:rPr>
              <w:t>III</w:t>
            </w:r>
          </w:p>
        </w:tc>
        <w:tc>
          <w:tcPr>
            <w:tcW w:w="3380" w:type="dxa"/>
            <w:tcBorders>
              <w:top w:val="nil"/>
              <w:left w:val="nil"/>
              <w:bottom w:val="single" w:sz="4" w:space="0" w:color="auto"/>
              <w:right w:val="single" w:sz="4" w:space="0" w:color="auto"/>
            </w:tcBorders>
            <w:shd w:val="clear" w:color="auto" w:fill="auto"/>
            <w:vAlign w:val="center"/>
            <w:hideMark/>
          </w:tcPr>
          <w:p w14:paraId="36DAF137" w14:textId="77777777" w:rsidR="00B01FE5" w:rsidRPr="00B01FE5" w:rsidRDefault="00B01FE5" w:rsidP="00B01FE5">
            <w:pPr>
              <w:ind w:left="0" w:right="0" w:firstLine="0"/>
              <w:jc w:val="left"/>
              <w:rPr>
                <w:b/>
                <w:bCs/>
                <w:sz w:val="18"/>
                <w:szCs w:val="18"/>
              </w:rPr>
            </w:pPr>
            <w:r w:rsidRPr="00B01FE5">
              <w:rPr>
                <w:b/>
                <w:bCs/>
                <w:sz w:val="18"/>
                <w:szCs w:val="18"/>
              </w:rPr>
              <w:t>БУЏЕТСКА РЕЗЕРВА</w:t>
            </w:r>
          </w:p>
        </w:tc>
        <w:tc>
          <w:tcPr>
            <w:tcW w:w="1366" w:type="dxa"/>
            <w:tcBorders>
              <w:top w:val="nil"/>
              <w:left w:val="nil"/>
              <w:bottom w:val="single" w:sz="4" w:space="0" w:color="auto"/>
              <w:right w:val="single" w:sz="4" w:space="0" w:color="auto"/>
            </w:tcBorders>
            <w:shd w:val="clear" w:color="auto" w:fill="auto"/>
            <w:noWrap/>
            <w:vAlign w:val="center"/>
            <w:hideMark/>
          </w:tcPr>
          <w:p w14:paraId="086495C3" w14:textId="77777777" w:rsidR="00B01FE5" w:rsidRPr="00B01FE5" w:rsidRDefault="00B01FE5" w:rsidP="00B01FE5">
            <w:pPr>
              <w:ind w:left="0" w:right="0" w:firstLine="0"/>
              <w:jc w:val="right"/>
              <w:rPr>
                <w:b/>
                <w:bCs/>
                <w:sz w:val="18"/>
                <w:szCs w:val="18"/>
              </w:rPr>
            </w:pPr>
            <w:r w:rsidRPr="00B01FE5">
              <w:rPr>
                <w:b/>
                <w:bCs/>
                <w:sz w:val="18"/>
                <w:szCs w:val="18"/>
              </w:rPr>
              <w:t>34.870,00</w:t>
            </w:r>
          </w:p>
        </w:tc>
        <w:tc>
          <w:tcPr>
            <w:tcW w:w="1340" w:type="dxa"/>
            <w:tcBorders>
              <w:top w:val="nil"/>
              <w:left w:val="nil"/>
              <w:bottom w:val="single" w:sz="4" w:space="0" w:color="auto"/>
              <w:right w:val="single" w:sz="4" w:space="0" w:color="auto"/>
            </w:tcBorders>
            <w:shd w:val="clear" w:color="auto" w:fill="auto"/>
            <w:noWrap/>
            <w:vAlign w:val="center"/>
            <w:hideMark/>
          </w:tcPr>
          <w:p w14:paraId="15D217F5" w14:textId="77777777" w:rsidR="00B01FE5" w:rsidRPr="00B01FE5" w:rsidRDefault="00B01FE5" w:rsidP="00B01FE5">
            <w:pPr>
              <w:ind w:left="0" w:right="0" w:firstLine="0"/>
              <w:jc w:val="right"/>
              <w:rPr>
                <w:b/>
                <w:bCs/>
                <w:sz w:val="18"/>
                <w:szCs w:val="18"/>
              </w:rPr>
            </w:pPr>
            <w:r w:rsidRPr="00B01FE5">
              <w:rPr>
                <w:b/>
                <w:bCs/>
                <w:sz w:val="18"/>
                <w:szCs w:val="18"/>
              </w:rPr>
              <w:t>-34.786,57</w:t>
            </w:r>
          </w:p>
        </w:tc>
        <w:tc>
          <w:tcPr>
            <w:tcW w:w="1366" w:type="dxa"/>
            <w:tcBorders>
              <w:top w:val="nil"/>
              <w:left w:val="nil"/>
              <w:bottom w:val="single" w:sz="4" w:space="0" w:color="auto"/>
              <w:right w:val="single" w:sz="4" w:space="0" w:color="auto"/>
            </w:tcBorders>
            <w:shd w:val="clear" w:color="auto" w:fill="auto"/>
            <w:noWrap/>
            <w:vAlign w:val="center"/>
            <w:hideMark/>
          </w:tcPr>
          <w:p w14:paraId="37EDDBBC" w14:textId="77777777" w:rsidR="00B01FE5" w:rsidRPr="00B01FE5" w:rsidRDefault="00B01FE5" w:rsidP="00B01FE5">
            <w:pPr>
              <w:ind w:left="0" w:right="0" w:firstLine="0"/>
              <w:jc w:val="right"/>
              <w:rPr>
                <w:b/>
                <w:bCs/>
                <w:sz w:val="18"/>
                <w:szCs w:val="18"/>
              </w:rPr>
            </w:pPr>
            <w:r w:rsidRPr="00B01FE5">
              <w:rPr>
                <w:b/>
                <w:bCs/>
                <w:sz w:val="18"/>
                <w:szCs w:val="18"/>
              </w:rPr>
              <w:t>83,43</w:t>
            </w:r>
          </w:p>
        </w:tc>
        <w:tc>
          <w:tcPr>
            <w:tcW w:w="1366" w:type="dxa"/>
            <w:tcBorders>
              <w:top w:val="nil"/>
              <w:left w:val="nil"/>
              <w:bottom w:val="single" w:sz="4" w:space="0" w:color="auto"/>
              <w:right w:val="single" w:sz="4" w:space="0" w:color="auto"/>
            </w:tcBorders>
            <w:shd w:val="clear" w:color="auto" w:fill="auto"/>
            <w:noWrap/>
            <w:vAlign w:val="center"/>
            <w:hideMark/>
          </w:tcPr>
          <w:p w14:paraId="3B138AF2" w14:textId="77777777" w:rsidR="00B01FE5" w:rsidRPr="00B01FE5" w:rsidRDefault="00B01FE5" w:rsidP="00B01FE5">
            <w:pPr>
              <w:ind w:left="0" w:right="0" w:firstLine="0"/>
              <w:jc w:val="right"/>
              <w:rPr>
                <w:b/>
                <w:bCs/>
                <w:sz w:val="18"/>
                <w:szCs w:val="18"/>
              </w:rPr>
            </w:pPr>
            <w:r w:rsidRPr="00B01FE5">
              <w:rPr>
                <w:b/>
                <w:bCs/>
                <w:sz w:val="18"/>
                <w:szCs w:val="18"/>
              </w:rPr>
              <w:t>0,00</w:t>
            </w:r>
          </w:p>
        </w:tc>
        <w:tc>
          <w:tcPr>
            <w:tcW w:w="881" w:type="dxa"/>
            <w:tcBorders>
              <w:top w:val="nil"/>
              <w:left w:val="nil"/>
              <w:bottom w:val="single" w:sz="4" w:space="0" w:color="auto"/>
              <w:right w:val="single" w:sz="4" w:space="0" w:color="auto"/>
            </w:tcBorders>
            <w:shd w:val="clear" w:color="auto" w:fill="auto"/>
            <w:noWrap/>
            <w:vAlign w:val="center"/>
            <w:hideMark/>
          </w:tcPr>
          <w:p w14:paraId="77C642F9" w14:textId="77777777" w:rsidR="00B01FE5" w:rsidRPr="00B01FE5" w:rsidRDefault="00B01FE5" w:rsidP="00B01FE5">
            <w:pPr>
              <w:ind w:left="0" w:right="0" w:firstLine="0"/>
              <w:jc w:val="right"/>
              <w:rPr>
                <w:b/>
                <w:bCs/>
                <w:sz w:val="18"/>
                <w:szCs w:val="18"/>
              </w:rPr>
            </w:pPr>
            <w:r w:rsidRPr="00B01FE5">
              <w:rPr>
                <w:b/>
                <w:bCs/>
                <w:sz w:val="18"/>
                <w:szCs w:val="18"/>
              </w:rPr>
              <w:t>0,00</w:t>
            </w:r>
          </w:p>
        </w:tc>
        <w:tc>
          <w:tcPr>
            <w:tcW w:w="898" w:type="dxa"/>
            <w:tcBorders>
              <w:top w:val="nil"/>
              <w:left w:val="nil"/>
              <w:bottom w:val="single" w:sz="4" w:space="0" w:color="auto"/>
              <w:right w:val="double" w:sz="6" w:space="0" w:color="auto"/>
            </w:tcBorders>
            <w:shd w:val="clear" w:color="auto" w:fill="auto"/>
            <w:noWrap/>
            <w:vAlign w:val="center"/>
            <w:hideMark/>
          </w:tcPr>
          <w:p w14:paraId="0C043B3A" w14:textId="77777777" w:rsidR="00B01FE5" w:rsidRPr="00B01FE5" w:rsidRDefault="00B01FE5" w:rsidP="00B01FE5">
            <w:pPr>
              <w:ind w:left="0" w:right="0" w:firstLine="0"/>
              <w:jc w:val="right"/>
              <w:rPr>
                <w:b/>
                <w:bCs/>
                <w:sz w:val="18"/>
                <w:szCs w:val="18"/>
              </w:rPr>
            </w:pPr>
            <w:r w:rsidRPr="00B01FE5">
              <w:rPr>
                <w:b/>
                <w:bCs/>
                <w:sz w:val="18"/>
                <w:szCs w:val="18"/>
              </w:rPr>
              <w:t>0,00</w:t>
            </w:r>
          </w:p>
        </w:tc>
      </w:tr>
      <w:tr w:rsidR="00B01FE5" w:rsidRPr="00B01FE5" w14:paraId="2B0C7D0F" w14:textId="77777777" w:rsidTr="00695B49">
        <w:trPr>
          <w:trHeight w:val="455"/>
        </w:trPr>
        <w:tc>
          <w:tcPr>
            <w:tcW w:w="3880" w:type="dxa"/>
            <w:gridSpan w:val="2"/>
            <w:tcBorders>
              <w:top w:val="single" w:sz="4" w:space="0" w:color="auto"/>
              <w:left w:val="double" w:sz="6" w:space="0" w:color="auto"/>
              <w:bottom w:val="single" w:sz="4" w:space="0" w:color="auto"/>
              <w:right w:val="single" w:sz="4" w:space="0" w:color="000000"/>
            </w:tcBorders>
            <w:shd w:val="clear" w:color="auto" w:fill="auto"/>
            <w:vAlign w:val="center"/>
            <w:hideMark/>
          </w:tcPr>
          <w:p w14:paraId="34C29AF6" w14:textId="77777777" w:rsidR="00B01FE5" w:rsidRPr="00B01FE5" w:rsidRDefault="00B01FE5" w:rsidP="00B01FE5">
            <w:pPr>
              <w:ind w:left="0" w:right="0" w:firstLine="0"/>
              <w:jc w:val="center"/>
              <w:rPr>
                <w:b/>
                <w:bCs/>
                <w:sz w:val="20"/>
                <w:szCs w:val="20"/>
              </w:rPr>
            </w:pPr>
            <w:r w:rsidRPr="00B01FE5">
              <w:rPr>
                <w:b/>
                <w:bCs/>
                <w:sz w:val="20"/>
                <w:szCs w:val="20"/>
              </w:rPr>
              <w:t>Б) ИЗДАЦИ ЗА НЕФИНАНСИЈСКУ ИМОВИНУ (1+2+3)</w:t>
            </w:r>
          </w:p>
        </w:tc>
        <w:tc>
          <w:tcPr>
            <w:tcW w:w="1366" w:type="dxa"/>
            <w:tcBorders>
              <w:top w:val="nil"/>
              <w:left w:val="nil"/>
              <w:bottom w:val="single" w:sz="4" w:space="0" w:color="auto"/>
              <w:right w:val="single" w:sz="4" w:space="0" w:color="auto"/>
            </w:tcBorders>
            <w:shd w:val="clear" w:color="auto" w:fill="auto"/>
            <w:noWrap/>
            <w:vAlign w:val="center"/>
            <w:hideMark/>
          </w:tcPr>
          <w:p w14:paraId="28BF9906" w14:textId="77777777" w:rsidR="00B01FE5" w:rsidRPr="00B01FE5" w:rsidRDefault="00B01FE5" w:rsidP="00B01FE5">
            <w:pPr>
              <w:ind w:left="0" w:right="0" w:firstLine="0"/>
              <w:jc w:val="right"/>
              <w:rPr>
                <w:b/>
                <w:bCs/>
                <w:sz w:val="20"/>
                <w:szCs w:val="20"/>
              </w:rPr>
            </w:pPr>
            <w:r w:rsidRPr="00B01FE5">
              <w:rPr>
                <w:b/>
                <w:bCs/>
                <w:sz w:val="20"/>
                <w:szCs w:val="20"/>
              </w:rPr>
              <w:t>3.400.744,50</w:t>
            </w:r>
          </w:p>
        </w:tc>
        <w:tc>
          <w:tcPr>
            <w:tcW w:w="1340" w:type="dxa"/>
            <w:tcBorders>
              <w:top w:val="nil"/>
              <w:left w:val="nil"/>
              <w:bottom w:val="single" w:sz="4" w:space="0" w:color="auto"/>
              <w:right w:val="single" w:sz="4" w:space="0" w:color="auto"/>
            </w:tcBorders>
            <w:shd w:val="clear" w:color="auto" w:fill="auto"/>
            <w:noWrap/>
            <w:vAlign w:val="center"/>
            <w:hideMark/>
          </w:tcPr>
          <w:p w14:paraId="595E43DC" w14:textId="77777777" w:rsidR="00B01FE5" w:rsidRPr="00B01FE5" w:rsidRDefault="00B01FE5" w:rsidP="00B01FE5">
            <w:pPr>
              <w:ind w:left="0" w:right="0" w:firstLine="0"/>
              <w:jc w:val="right"/>
              <w:rPr>
                <w:b/>
                <w:bCs/>
                <w:sz w:val="20"/>
                <w:szCs w:val="20"/>
              </w:rPr>
            </w:pPr>
            <w:r w:rsidRPr="00B01FE5">
              <w:rPr>
                <w:b/>
                <w:bCs/>
                <w:sz w:val="20"/>
                <w:szCs w:val="20"/>
              </w:rPr>
              <w:t>9.890,00</w:t>
            </w:r>
          </w:p>
        </w:tc>
        <w:tc>
          <w:tcPr>
            <w:tcW w:w="1366" w:type="dxa"/>
            <w:tcBorders>
              <w:top w:val="nil"/>
              <w:left w:val="nil"/>
              <w:bottom w:val="single" w:sz="4" w:space="0" w:color="auto"/>
              <w:right w:val="single" w:sz="4" w:space="0" w:color="auto"/>
            </w:tcBorders>
            <w:shd w:val="clear" w:color="auto" w:fill="auto"/>
            <w:noWrap/>
            <w:vAlign w:val="center"/>
            <w:hideMark/>
          </w:tcPr>
          <w:p w14:paraId="105E301B" w14:textId="77777777" w:rsidR="00B01FE5" w:rsidRPr="00B01FE5" w:rsidRDefault="00B01FE5" w:rsidP="00B01FE5">
            <w:pPr>
              <w:ind w:left="0" w:right="0" w:firstLine="0"/>
              <w:jc w:val="right"/>
              <w:rPr>
                <w:b/>
                <w:bCs/>
                <w:sz w:val="20"/>
                <w:szCs w:val="20"/>
              </w:rPr>
            </w:pPr>
            <w:r w:rsidRPr="00B01FE5">
              <w:rPr>
                <w:b/>
                <w:bCs/>
                <w:sz w:val="20"/>
                <w:szCs w:val="20"/>
              </w:rPr>
              <w:t>3.410.634,50</w:t>
            </w:r>
          </w:p>
        </w:tc>
        <w:tc>
          <w:tcPr>
            <w:tcW w:w="1366" w:type="dxa"/>
            <w:tcBorders>
              <w:top w:val="nil"/>
              <w:left w:val="nil"/>
              <w:bottom w:val="single" w:sz="4" w:space="0" w:color="auto"/>
              <w:right w:val="single" w:sz="4" w:space="0" w:color="auto"/>
            </w:tcBorders>
            <w:shd w:val="clear" w:color="auto" w:fill="auto"/>
            <w:noWrap/>
            <w:vAlign w:val="center"/>
            <w:hideMark/>
          </w:tcPr>
          <w:p w14:paraId="086845D7" w14:textId="77777777" w:rsidR="00B01FE5" w:rsidRPr="00B01FE5" w:rsidRDefault="00B01FE5" w:rsidP="00B01FE5">
            <w:pPr>
              <w:ind w:left="0" w:right="0" w:firstLine="0"/>
              <w:jc w:val="right"/>
              <w:rPr>
                <w:b/>
                <w:bCs/>
                <w:sz w:val="20"/>
                <w:szCs w:val="20"/>
              </w:rPr>
            </w:pPr>
            <w:r w:rsidRPr="00B01FE5">
              <w:rPr>
                <w:b/>
                <w:bCs/>
                <w:sz w:val="20"/>
                <w:szCs w:val="20"/>
              </w:rPr>
              <w:t>3.279.708,53</w:t>
            </w:r>
          </w:p>
        </w:tc>
        <w:tc>
          <w:tcPr>
            <w:tcW w:w="881" w:type="dxa"/>
            <w:tcBorders>
              <w:top w:val="nil"/>
              <w:left w:val="nil"/>
              <w:bottom w:val="single" w:sz="4" w:space="0" w:color="auto"/>
              <w:right w:val="single" w:sz="4" w:space="0" w:color="auto"/>
            </w:tcBorders>
            <w:shd w:val="clear" w:color="auto" w:fill="auto"/>
            <w:noWrap/>
            <w:vAlign w:val="center"/>
            <w:hideMark/>
          </w:tcPr>
          <w:p w14:paraId="234C0E44" w14:textId="77777777" w:rsidR="00B01FE5" w:rsidRPr="00B01FE5" w:rsidRDefault="00B01FE5" w:rsidP="00B01FE5">
            <w:pPr>
              <w:ind w:left="0" w:right="0" w:firstLine="0"/>
              <w:jc w:val="right"/>
              <w:rPr>
                <w:b/>
                <w:bCs/>
                <w:sz w:val="20"/>
                <w:szCs w:val="20"/>
              </w:rPr>
            </w:pPr>
            <w:r w:rsidRPr="00B01FE5">
              <w:rPr>
                <w:b/>
                <w:bCs/>
                <w:sz w:val="20"/>
                <w:szCs w:val="20"/>
              </w:rPr>
              <w:t>96,16</w:t>
            </w:r>
          </w:p>
        </w:tc>
        <w:tc>
          <w:tcPr>
            <w:tcW w:w="898" w:type="dxa"/>
            <w:tcBorders>
              <w:top w:val="nil"/>
              <w:left w:val="nil"/>
              <w:bottom w:val="single" w:sz="4" w:space="0" w:color="auto"/>
              <w:right w:val="double" w:sz="6" w:space="0" w:color="auto"/>
            </w:tcBorders>
            <w:shd w:val="clear" w:color="auto" w:fill="auto"/>
            <w:noWrap/>
            <w:vAlign w:val="center"/>
            <w:hideMark/>
          </w:tcPr>
          <w:p w14:paraId="37CC1348" w14:textId="77777777" w:rsidR="00B01FE5" w:rsidRPr="00B01FE5" w:rsidRDefault="00B01FE5" w:rsidP="00B01FE5">
            <w:pPr>
              <w:ind w:left="0" w:right="0" w:firstLine="0"/>
              <w:jc w:val="right"/>
              <w:rPr>
                <w:b/>
                <w:bCs/>
                <w:sz w:val="20"/>
                <w:szCs w:val="20"/>
              </w:rPr>
            </w:pPr>
            <w:r w:rsidRPr="00B01FE5">
              <w:rPr>
                <w:b/>
                <w:bCs/>
                <w:sz w:val="20"/>
                <w:szCs w:val="20"/>
              </w:rPr>
              <w:t>20,69</w:t>
            </w:r>
          </w:p>
        </w:tc>
      </w:tr>
      <w:tr w:rsidR="00B01FE5" w:rsidRPr="00B01FE5" w14:paraId="28149093" w14:textId="77777777" w:rsidTr="00B01FE5">
        <w:trPr>
          <w:trHeight w:val="255"/>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1926825E" w14:textId="77777777" w:rsidR="00B01FE5" w:rsidRPr="00B01FE5" w:rsidRDefault="00B01FE5" w:rsidP="00B01FE5">
            <w:pPr>
              <w:ind w:left="0" w:right="0" w:firstLine="0"/>
              <w:jc w:val="center"/>
              <w:rPr>
                <w:sz w:val="18"/>
                <w:szCs w:val="18"/>
              </w:rPr>
            </w:pPr>
            <w:r w:rsidRPr="00B01FE5">
              <w:rPr>
                <w:sz w:val="18"/>
                <w:szCs w:val="18"/>
              </w:rPr>
              <w:t>1.</w:t>
            </w:r>
          </w:p>
        </w:tc>
        <w:tc>
          <w:tcPr>
            <w:tcW w:w="3380" w:type="dxa"/>
            <w:tcBorders>
              <w:top w:val="nil"/>
              <w:left w:val="nil"/>
              <w:bottom w:val="single" w:sz="4" w:space="0" w:color="auto"/>
              <w:right w:val="single" w:sz="4" w:space="0" w:color="auto"/>
            </w:tcBorders>
            <w:shd w:val="clear" w:color="auto" w:fill="auto"/>
            <w:vAlign w:val="center"/>
            <w:hideMark/>
          </w:tcPr>
          <w:p w14:paraId="7564026C" w14:textId="77777777" w:rsidR="00B01FE5" w:rsidRPr="00B01FE5" w:rsidRDefault="00B01FE5" w:rsidP="00B01FE5">
            <w:pPr>
              <w:ind w:left="0" w:right="0" w:firstLine="0"/>
              <w:jc w:val="left"/>
              <w:rPr>
                <w:sz w:val="18"/>
                <w:szCs w:val="18"/>
              </w:rPr>
            </w:pPr>
            <w:r w:rsidRPr="00B01FE5">
              <w:rPr>
                <w:sz w:val="18"/>
                <w:szCs w:val="18"/>
              </w:rPr>
              <w:t>Издаци за произведену сталну имовину</w:t>
            </w:r>
          </w:p>
        </w:tc>
        <w:tc>
          <w:tcPr>
            <w:tcW w:w="1366" w:type="dxa"/>
            <w:tcBorders>
              <w:top w:val="nil"/>
              <w:left w:val="nil"/>
              <w:bottom w:val="single" w:sz="4" w:space="0" w:color="auto"/>
              <w:right w:val="single" w:sz="4" w:space="0" w:color="auto"/>
            </w:tcBorders>
            <w:shd w:val="clear" w:color="auto" w:fill="auto"/>
            <w:noWrap/>
            <w:vAlign w:val="center"/>
            <w:hideMark/>
          </w:tcPr>
          <w:p w14:paraId="18BDE4DE" w14:textId="77777777" w:rsidR="00B01FE5" w:rsidRPr="00B01FE5" w:rsidRDefault="00B01FE5" w:rsidP="00B01FE5">
            <w:pPr>
              <w:ind w:left="0" w:right="0" w:firstLine="0"/>
              <w:jc w:val="right"/>
              <w:rPr>
                <w:sz w:val="18"/>
                <w:szCs w:val="18"/>
              </w:rPr>
            </w:pPr>
            <w:r w:rsidRPr="00B01FE5">
              <w:rPr>
                <w:sz w:val="18"/>
                <w:szCs w:val="18"/>
              </w:rPr>
              <w:t>3.334.114,50</w:t>
            </w:r>
          </w:p>
        </w:tc>
        <w:tc>
          <w:tcPr>
            <w:tcW w:w="1340" w:type="dxa"/>
            <w:tcBorders>
              <w:top w:val="nil"/>
              <w:left w:val="nil"/>
              <w:bottom w:val="single" w:sz="4" w:space="0" w:color="auto"/>
              <w:right w:val="single" w:sz="4" w:space="0" w:color="auto"/>
            </w:tcBorders>
            <w:shd w:val="clear" w:color="auto" w:fill="auto"/>
            <w:noWrap/>
            <w:vAlign w:val="center"/>
            <w:hideMark/>
          </w:tcPr>
          <w:p w14:paraId="4801E766" w14:textId="77777777" w:rsidR="00B01FE5" w:rsidRPr="00B01FE5" w:rsidRDefault="00B01FE5" w:rsidP="00B01FE5">
            <w:pPr>
              <w:ind w:left="0" w:right="0" w:firstLine="0"/>
              <w:jc w:val="right"/>
              <w:rPr>
                <w:sz w:val="18"/>
                <w:szCs w:val="18"/>
              </w:rPr>
            </w:pPr>
            <w:r w:rsidRPr="00B01FE5">
              <w:rPr>
                <w:sz w:val="18"/>
                <w:szCs w:val="18"/>
              </w:rPr>
              <w:t>10.540,00</w:t>
            </w:r>
          </w:p>
        </w:tc>
        <w:tc>
          <w:tcPr>
            <w:tcW w:w="1366" w:type="dxa"/>
            <w:tcBorders>
              <w:top w:val="nil"/>
              <w:left w:val="nil"/>
              <w:bottom w:val="single" w:sz="4" w:space="0" w:color="auto"/>
              <w:right w:val="single" w:sz="4" w:space="0" w:color="auto"/>
            </w:tcBorders>
            <w:shd w:val="clear" w:color="auto" w:fill="auto"/>
            <w:noWrap/>
            <w:vAlign w:val="center"/>
            <w:hideMark/>
          </w:tcPr>
          <w:p w14:paraId="0C170A3A" w14:textId="77777777" w:rsidR="00B01FE5" w:rsidRPr="00B01FE5" w:rsidRDefault="00B01FE5" w:rsidP="00B01FE5">
            <w:pPr>
              <w:ind w:left="0" w:right="0" w:firstLine="0"/>
              <w:jc w:val="right"/>
              <w:rPr>
                <w:sz w:val="18"/>
                <w:szCs w:val="18"/>
              </w:rPr>
            </w:pPr>
            <w:r w:rsidRPr="00B01FE5">
              <w:rPr>
                <w:sz w:val="18"/>
                <w:szCs w:val="18"/>
              </w:rPr>
              <w:t>3.344.654,50</w:t>
            </w:r>
          </w:p>
        </w:tc>
        <w:tc>
          <w:tcPr>
            <w:tcW w:w="1366" w:type="dxa"/>
            <w:tcBorders>
              <w:top w:val="nil"/>
              <w:left w:val="nil"/>
              <w:bottom w:val="single" w:sz="4" w:space="0" w:color="auto"/>
              <w:right w:val="single" w:sz="4" w:space="0" w:color="auto"/>
            </w:tcBorders>
            <w:shd w:val="clear" w:color="auto" w:fill="auto"/>
            <w:noWrap/>
            <w:vAlign w:val="center"/>
            <w:hideMark/>
          </w:tcPr>
          <w:p w14:paraId="6AF00233" w14:textId="77777777" w:rsidR="00B01FE5" w:rsidRPr="00B01FE5" w:rsidRDefault="00B01FE5" w:rsidP="00B01FE5">
            <w:pPr>
              <w:ind w:left="0" w:right="0" w:firstLine="0"/>
              <w:jc w:val="right"/>
              <w:rPr>
                <w:sz w:val="18"/>
                <w:szCs w:val="18"/>
              </w:rPr>
            </w:pPr>
            <w:r w:rsidRPr="00B01FE5">
              <w:rPr>
                <w:sz w:val="18"/>
                <w:szCs w:val="18"/>
              </w:rPr>
              <w:t>3.215.674,30</w:t>
            </w:r>
          </w:p>
        </w:tc>
        <w:tc>
          <w:tcPr>
            <w:tcW w:w="881" w:type="dxa"/>
            <w:tcBorders>
              <w:top w:val="nil"/>
              <w:left w:val="nil"/>
              <w:bottom w:val="single" w:sz="4" w:space="0" w:color="auto"/>
              <w:right w:val="single" w:sz="4" w:space="0" w:color="auto"/>
            </w:tcBorders>
            <w:shd w:val="clear" w:color="auto" w:fill="auto"/>
            <w:noWrap/>
            <w:vAlign w:val="center"/>
            <w:hideMark/>
          </w:tcPr>
          <w:p w14:paraId="14914209" w14:textId="77777777" w:rsidR="00B01FE5" w:rsidRPr="00B01FE5" w:rsidRDefault="00B01FE5" w:rsidP="00B01FE5">
            <w:pPr>
              <w:ind w:left="0" w:right="0" w:firstLine="0"/>
              <w:jc w:val="right"/>
              <w:rPr>
                <w:sz w:val="18"/>
                <w:szCs w:val="18"/>
              </w:rPr>
            </w:pPr>
            <w:r w:rsidRPr="00B01FE5">
              <w:rPr>
                <w:sz w:val="18"/>
                <w:szCs w:val="18"/>
              </w:rPr>
              <w:t>96,14</w:t>
            </w:r>
          </w:p>
        </w:tc>
        <w:tc>
          <w:tcPr>
            <w:tcW w:w="898" w:type="dxa"/>
            <w:tcBorders>
              <w:top w:val="nil"/>
              <w:left w:val="nil"/>
              <w:bottom w:val="single" w:sz="4" w:space="0" w:color="auto"/>
              <w:right w:val="double" w:sz="6" w:space="0" w:color="auto"/>
            </w:tcBorders>
            <w:shd w:val="clear" w:color="auto" w:fill="auto"/>
            <w:noWrap/>
            <w:vAlign w:val="center"/>
            <w:hideMark/>
          </w:tcPr>
          <w:p w14:paraId="239F0F24" w14:textId="77777777" w:rsidR="00B01FE5" w:rsidRPr="00B01FE5" w:rsidRDefault="00B01FE5" w:rsidP="00B01FE5">
            <w:pPr>
              <w:ind w:left="0" w:right="0" w:firstLine="0"/>
              <w:jc w:val="right"/>
              <w:rPr>
                <w:sz w:val="18"/>
                <w:szCs w:val="18"/>
              </w:rPr>
            </w:pPr>
            <w:r w:rsidRPr="00B01FE5">
              <w:rPr>
                <w:sz w:val="18"/>
                <w:szCs w:val="18"/>
              </w:rPr>
              <w:t>20,29</w:t>
            </w:r>
          </w:p>
        </w:tc>
      </w:tr>
      <w:tr w:rsidR="00B01FE5" w:rsidRPr="00B01FE5" w14:paraId="1D234CDE" w14:textId="77777777" w:rsidTr="00B01FE5">
        <w:trPr>
          <w:trHeight w:val="255"/>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37FB2F98" w14:textId="77777777" w:rsidR="00B01FE5" w:rsidRPr="00B01FE5" w:rsidRDefault="00B01FE5" w:rsidP="00B01FE5">
            <w:pPr>
              <w:ind w:left="0" w:right="0" w:firstLine="0"/>
              <w:jc w:val="center"/>
              <w:rPr>
                <w:sz w:val="18"/>
                <w:szCs w:val="18"/>
              </w:rPr>
            </w:pPr>
            <w:r w:rsidRPr="00B01FE5">
              <w:rPr>
                <w:sz w:val="18"/>
                <w:szCs w:val="18"/>
              </w:rPr>
              <w:t>2.</w:t>
            </w:r>
          </w:p>
        </w:tc>
        <w:tc>
          <w:tcPr>
            <w:tcW w:w="3380" w:type="dxa"/>
            <w:tcBorders>
              <w:top w:val="nil"/>
              <w:left w:val="nil"/>
              <w:bottom w:val="single" w:sz="4" w:space="0" w:color="auto"/>
              <w:right w:val="single" w:sz="4" w:space="0" w:color="auto"/>
            </w:tcBorders>
            <w:shd w:val="clear" w:color="auto" w:fill="auto"/>
            <w:vAlign w:val="center"/>
            <w:hideMark/>
          </w:tcPr>
          <w:p w14:paraId="3A5DAC0B" w14:textId="77777777" w:rsidR="00B01FE5" w:rsidRPr="00B01FE5" w:rsidRDefault="00B01FE5" w:rsidP="00B01FE5">
            <w:pPr>
              <w:ind w:left="0" w:right="0" w:firstLine="0"/>
              <w:jc w:val="left"/>
              <w:rPr>
                <w:sz w:val="18"/>
                <w:szCs w:val="18"/>
              </w:rPr>
            </w:pPr>
            <w:r w:rsidRPr="00B01FE5">
              <w:rPr>
                <w:sz w:val="18"/>
                <w:szCs w:val="18"/>
              </w:rPr>
              <w:t xml:space="preserve">Издаци за </w:t>
            </w:r>
            <w:proofErr w:type="spellStart"/>
            <w:r w:rsidRPr="00B01FE5">
              <w:rPr>
                <w:sz w:val="18"/>
                <w:szCs w:val="18"/>
              </w:rPr>
              <w:t>непроизведену</w:t>
            </w:r>
            <w:proofErr w:type="spellEnd"/>
            <w:r w:rsidRPr="00B01FE5">
              <w:rPr>
                <w:sz w:val="18"/>
                <w:szCs w:val="18"/>
              </w:rPr>
              <w:t xml:space="preserve"> сталну имовину</w:t>
            </w:r>
          </w:p>
        </w:tc>
        <w:tc>
          <w:tcPr>
            <w:tcW w:w="1366" w:type="dxa"/>
            <w:tcBorders>
              <w:top w:val="nil"/>
              <w:left w:val="nil"/>
              <w:bottom w:val="single" w:sz="4" w:space="0" w:color="auto"/>
              <w:right w:val="single" w:sz="4" w:space="0" w:color="auto"/>
            </w:tcBorders>
            <w:shd w:val="clear" w:color="auto" w:fill="auto"/>
            <w:noWrap/>
            <w:vAlign w:val="center"/>
            <w:hideMark/>
          </w:tcPr>
          <w:p w14:paraId="369DE2F6" w14:textId="77777777" w:rsidR="00B01FE5" w:rsidRPr="00B01FE5" w:rsidRDefault="00B01FE5" w:rsidP="00B01FE5">
            <w:pPr>
              <w:ind w:left="0" w:right="0" w:firstLine="0"/>
              <w:jc w:val="right"/>
              <w:rPr>
                <w:sz w:val="18"/>
                <w:szCs w:val="18"/>
              </w:rPr>
            </w:pPr>
            <w:r w:rsidRPr="00B01FE5">
              <w:rPr>
                <w:sz w:val="18"/>
                <w:szCs w:val="18"/>
              </w:rPr>
              <w:t>50.000,00</w:t>
            </w:r>
          </w:p>
        </w:tc>
        <w:tc>
          <w:tcPr>
            <w:tcW w:w="1340" w:type="dxa"/>
            <w:tcBorders>
              <w:top w:val="nil"/>
              <w:left w:val="nil"/>
              <w:bottom w:val="single" w:sz="4" w:space="0" w:color="auto"/>
              <w:right w:val="single" w:sz="4" w:space="0" w:color="auto"/>
            </w:tcBorders>
            <w:shd w:val="clear" w:color="auto" w:fill="auto"/>
            <w:noWrap/>
            <w:vAlign w:val="center"/>
            <w:hideMark/>
          </w:tcPr>
          <w:p w14:paraId="6218BD59" w14:textId="77777777" w:rsidR="00B01FE5" w:rsidRPr="00B01FE5" w:rsidRDefault="00B01FE5" w:rsidP="00B01FE5">
            <w:pPr>
              <w:ind w:left="0" w:right="0" w:firstLine="0"/>
              <w:jc w:val="right"/>
              <w:rPr>
                <w:sz w:val="18"/>
                <w:szCs w:val="18"/>
              </w:rPr>
            </w:pPr>
            <w:r w:rsidRPr="00B01FE5">
              <w:rPr>
                <w:sz w:val="18"/>
                <w:szCs w:val="18"/>
              </w:rPr>
              <w:t>-50,00</w:t>
            </w:r>
          </w:p>
        </w:tc>
        <w:tc>
          <w:tcPr>
            <w:tcW w:w="1366" w:type="dxa"/>
            <w:tcBorders>
              <w:top w:val="nil"/>
              <w:left w:val="nil"/>
              <w:bottom w:val="single" w:sz="4" w:space="0" w:color="auto"/>
              <w:right w:val="single" w:sz="4" w:space="0" w:color="auto"/>
            </w:tcBorders>
            <w:shd w:val="clear" w:color="auto" w:fill="auto"/>
            <w:noWrap/>
            <w:vAlign w:val="center"/>
            <w:hideMark/>
          </w:tcPr>
          <w:p w14:paraId="6A24F232" w14:textId="77777777" w:rsidR="00B01FE5" w:rsidRPr="00B01FE5" w:rsidRDefault="00B01FE5" w:rsidP="00B01FE5">
            <w:pPr>
              <w:ind w:left="0" w:right="0" w:firstLine="0"/>
              <w:jc w:val="right"/>
              <w:rPr>
                <w:sz w:val="18"/>
                <w:szCs w:val="18"/>
              </w:rPr>
            </w:pPr>
            <w:r w:rsidRPr="00B01FE5">
              <w:rPr>
                <w:sz w:val="18"/>
                <w:szCs w:val="18"/>
              </w:rPr>
              <w:t>49.950,00</w:t>
            </w:r>
          </w:p>
        </w:tc>
        <w:tc>
          <w:tcPr>
            <w:tcW w:w="1366" w:type="dxa"/>
            <w:tcBorders>
              <w:top w:val="nil"/>
              <w:left w:val="nil"/>
              <w:bottom w:val="single" w:sz="4" w:space="0" w:color="auto"/>
              <w:right w:val="single" w:sz="4" w:space="0" w:color="auto"/>
            </w:tcBorders>
            <w:shd w:val="clear" w:color="auto" w:fill="auto"/>
            <w:noWrap/>
            <w:vAlign w:val="center"/>
            <w:hideMark/>
          </w:tcPr>
          <w:p w14:paraId="266C5377" w14:textId="77777777" w:rsidR="00B01FE5" w:rsidRPr="00B01FE5" w:rsidRDefault="00B01FE5" w:rsidP="00B01FE5">
            <w:pPr>
              <w:ind w:left="0" w:right="0" w:firstLine="0"/>
              <w:jc w:val="right"/>
              <w:rPr>
                <w:sz w:val="18"/>
                <w:szCs w:val="18"/>
              </w:rPr>
            </w:pPr>
            <w:r w:rsidRPr="00B01FE5">
              <w:rPr>
                <w:sz w:val="18"/>
                <w:szCs w:val="18"/>
              </w:rPr>
              <w:t>49.733,79</w:t>
            </w:r>
          </w:p>
        </w:tc>
        <w:tc>
          <w:tcPr>
            <w:tcW w:w="881" w:type="dxa"/>
            <w:tcBorders>
              <w:top w:val="nil"/>
              <w:left w:val="nil"/>
              <w:bottom w:val="single" w:sz="4" w:space="0" w:color="auto"/>
              <w:right w:val="single" w:sz="4" w:space="0" w:color="auto"/>
            </w:tcBorders>
            <w:shd w:val="clear" w:color="auto" w:fill="auto"/>
            <w:noWrap/>
            <w:vAlign w:val="center"/>
            <w:hideMark/>
          </w:tcPr>
          <w:p w14:paraId="24CAB3E7" w14:textId="77777777" w:rsidR="00B01FE5" w:rsidRPr="00B01FE5" w:rsidRDefault="00B01FE5" w:rsidP="00B01FE5">
            <w:pPr>
              <w:ind w:left="0" w:right="0" w:firstLine="0"/>
              <w:jc w:val="right"/>
              <w:rPr>
                <w:sz w:val="18"/>
                <w:szCs w:val="18"/>
              </w:rPr>
            </w:pPr>
            <w:r w:rsidRPr="00B01FE5">
              <w:rPr>
                <w:sz w:val="18"/>
                <w:szCs w:val="18"/>
              </w:rPr>
              <w:t>99,57</w:t>
            </w:r>
          </w:p>
        </w:tc>
        <w:tc>
          <w:tcPr>
            <w:tcW w:w="898" w:type="dxa"/>
            <w:tcBorders>
              <w:top w:val="nil"/>
              <w:left w:val="nil"/>
              <w:bottom w:val="single" w:sz="4" w:space="0" w:color="auto"/>
              <w:right w:val="double" w:sz="6" w:space="0" w:color="auto"/>
            </w:tcBorders>
            <w:shd w:val="clear" w:color="auto" w:fill="auto"/>
            <w:noWrap/>
            <w:vAlign w:val="center"/>
            <w:hideMark/>
          </w:tcPr>
          <w:p w14:paraId="0F647D30" w14:textId="77777777" w:rsidR="00B01FE5" w:rsidRPr="00B01FE5" w:rsidRDefault="00B01FE5" w:rsidP="00B01FE5">
            <w:pPr>
              <w:ind w:left="0" w:right="0" w:firstLine="0"/>
              <w:jc w:val="right"/>
              <w:rPr>
                <w:sz w:val="18"/>
                <w:szCs w:val="18"/>
              </w:rPr>
            </w:pPr>
            <w:r w:rsidRPr="00B01FE5">
              <w:rPr>
                <w:sz w:val="18"/>
                <w:szCs w:val="18"/>
              </w:rPr>
              <w:t>0,31</w:t>
            </w:r>
          </w:p>
        </w:tc>
      </w:tr>
      <w:tr w:rsidR="00B01FE5" w:rsidRPr="00B01FE5" w14:paraId="1542FBB6" w14:textId="77777777" w:rsidTr="00695B49">
        <w:trPr>
          <w:trHeight w:val="331"/>
        </w:trPr>
        <w:tc>
          <w:tcPr>
            <w:tcW w:w="500" w:type="dxa"/>
            <w:tcBorders>
              <w:top w:val="nil"/>
              <w:left w:val="double" w:sz="6" w:space="0" w:color="auto"/>
              <w:bottom w:val="single" w:sz="4" w:space="0" w:color="auto"/>
              <w:right w:val="single" w:sz="4" w:space="0" w:color="auto"/>
            </w:tcBorders>
            <w:shd w:val="clear" w:color="auto" w:fill="auto"/>
            <w:noWrap/>
            <w:vAlign w:val="center"/>
            <w:hideMark/>
          </w:tcPr>
          <w:p w14:paraId="6E489D7D" w14:textId="77777777" w:rsidR="00B01FE5" w:rsidRPr="00B01FE5" w:rsidRDefault="00B01FE5" w:rsidP="00B01FE5">
            <w:pPr>
              <w:ind w:left="0" w:right="0" w:firstLine="0"/>
              <w:jc w:val="center"/>
              <w:rPr>
                <w:sz w:val="18"/>
                <w:szCs w:val="18"/>
              </w:rPr>
            </w:pPr>
            <w:r w:rsidRPr="00B01FE5">
              <w:rPr>
                <w:sz w:val="18"/>
                <w:szCs w:val="18"/>
              </w:rPr>
              <w:t>3.</w:t>
            </w:r>
          </w:p>
        </w:tc>
        <w:tc>
          <w:tcPr>
            <w:tcW w:w="3380" w:type="dxa"/>
            <w:tcBorders>
              <w:top w:val="nil"/>
              <w:left w:val="nil"/>
              <w:bottom w:val="single" w:sz="4" w:space="0" w:color="auto"/>
              <w:right w:val="single" w:sz="4" w:space="0" w:color="auto"/>
            </w:tcBorders>
            <w:shd w:val="clear" w:color="auto" w:fill="auto"/>
            <w:vAlign w:val="bottom"/>
            <w:hideMark/>
          </w:tcPr>
          <w:p w14:paraId="72CEB121" w14:textId="77777777" w:rsidR="00B01FE5" w:rsidRPr="00B01FE5" w:rsidRDefault="00B01FE5" w:rsidP="00B01FE5">
            <w:pPr>
              <w:ind w:left="0" w:right="0" w:firstLine="0"/>
              <w:jc w:val="left"/>
              <w:rPr>
                <w:sz w:val="18"/>
                <w:szCs w:val="18"/>
              </w:rPr>
            </w:pPr>
            <w:r w:rsidRPr="00B01FE5">
              <w:rPr>
                <w:sz w:val="18"/>
                <w:szCs w:val="18"/>
              </w:rPr>
              <w:t>Издаци за залихе материјала, робе и ситног инвентара, амбалаже и сл.</w:t>
            </w:r>
          </w:p>
        </w:tc>
        <w:tc>
          <w:tcPr>
            <w:tcW w:w="1366" w:type="dxa"/>
            <w:tcBorders>
              <w:top w:val="nil"/>
              <w:left w:val="nil"/>
              <w:bottom w:val="single" w:sz="4" w:space="0" w:color="auto"/>
              <w:right w:val="single" w:sz="4" w:space="0" w:color="auto"/>
            </w:tcBorders>
            <w:shd w:val="clear" w:color="auto" w:fill="auto"/>
            <w:noWrap/>
            <w:vAlign w:val="center"/>
            <w:hideMark/>
          </w:tcPr>
          <w:p w14:paraId="7E6E2E67" w14:textId="77777777" w:rsidR="00B01FE5" w:rsidRPr="00B01FE5" w:rsidRDefault="00B01FE5" w:rsidP="00B01FE5">
            <w:pPr>
              <w:ind w:left="0" w:right="0" w:firstLine="0"/>
              <w:jc w:val="right"/>
              <w:rPr>
                <w:sz w:val="18"/>
                <w:szCs w:val="18"/>
              </w:rPr>
            </w:pPr>
            <w:r w:rsidRPr="00B01FE5">
              <w:rPr>
                <w:sz w:val="18"/>
                <w:szCs w:val="18"/>
              </w:rPr>
              <w:t>16.630,00</w:t>
            </w:r>
          </w:p>
        </w:tc>
        <w:tc>
          <w:tcPr>
            <w:tcW w:w="1340" w:type="dxa"/>
            <w:tcBorders>
              <w:top w:val="nil"/>
              <w:left w:val="nil"/>
              <w:bottom w:val="single" w:sz="4" w:space="0" w:color="auto"/>
              <w:right w:val="single" w:sz="4" w:space="0" w:color="auto"/>
            </w:tcBorders>
            <w:shd w:val="clear" w:color="auto" w:fill="auto"/>
            <w:noWrap/>
            <w:vAlign w:val="center"/>
            <w:hideMark/>
          </w:tcPr>
          <w:p w14:paraId="63F72984" w14:textId="77777777" w:rsidR="00B01FE5" w:rsidRPr="00B01FE5" w:rsidRDefault="00B01FE5" w:rsidP="00B01FE5">
            <w:pPr>
              <w:ind w:left="0" w:right="0" w:firstLine="0"/>
              <w:jc w:val="right"/>
              <w:rPr>
                <w:sz w:val="18"/>
                <w:szCs w:val="18"/>
              </w:rPr>
            </w:pPr>
            <w:r w:rsidRPr="00B01FE5">
              <w:rPr>
                <w:sz w:val="18"/>
                <w:szCs w:val="18"/>
              </w:rPr>
              <w:t>-600,00</w:t>
            </w:r>
          </w:p>
        </w:tc>
        <w:tc>
          <w:tcPr>
            <w:tcW w:w="1366" w:type="dxa"/>
            <w:tcBorders>
              <w:top w:val="nil"/>
              <w:left w:val="nil"/>
              <w:bottom w:val="single" w:sz="4" w:space="0" w:color="auto"/>
              <w:right w:val="single" w:sz="4" w:space="0" w:color="auto"/>
            </w:tcBorders>
            <w:shd w:val="clear" w:color="auto" w:fill="auto"/>
            <w:noWrap/>
            <w:vAlign w:val="center"/>
            <w:hideMark/>
          </w:tcPr>
          <w:p w14:paraId="1C008FC9" w14:textId="77777777" w:rsidR="00B01FE5" w:rsidRPr="00B01FE5" w:rsidRDefault="00B01FE5" w:rsidP="00B01FE5">
            <w:pPr>
              <w:ind w:left="0" w:right="0" w:firstLine="0"/>
              <w:jc w:val="right"/>
              <w:rPr>
                <w:sz w:val="18"/>
                <w:szCs w:val="18"/>
              </w:rPr>
            </w:pPr>
            <w:r w:rsidRPr="00B01FE5">
              <w:rPr>
                <w:sz w:val="18"/>
                <w:szCs w:val="18"/>
              </w:rPr>
              <w:t>16.030,00</w:t>
            </w:r>
          </w:p>
        </w:tc>
        <w:tc>
          <w:tcPr>
            <w:tcW w:w="1366" w:type="dxa"/>
            <w:tcBorders>
              <w:top w:val="nil"/>
              <w:left w:val="nil"/>
              <w:bottom w:val="single" w:sz="4" w:space="0" w:color="auto"/>
              <w:right w:val="single" w:sz="4" w:space="0" w:color="auto"/>
            </w:tcBorders>
            <w:shd w:val="clear" w:color="auto" w:fill="auto"/>
            <w:noWrap/>
            <w:vAlign w:val="center"/>
            <w:hideMark/>
          </w:tcPr>
          <w:p w14:paraId="5C98DBE6" w14:textId="77777777" w:rsidR="00B01FE5" w:rsidRPr="00B01FE5" w:rsidRDefault="00B01FE5" w:rsidP="00B01FE5">
            <w:pPr>
              <w:ind w:left="0" w:right="0" w:firstLine="0"/>
              <w:jc w:val="right"/>
              <w:rPr>
                <w:sz w:val="18"/>
                <w:szCs w:val="18"/>
              </w:rPr>
            </w:pPr>
            <w:r w:rsidRPr="00B01FE5">
              <w:rPr>
                <w:sz w:val="18"/>
                <w:szCs w:val="18"/>
              </w:rPr>
              <w:t>14.300,44</w:t>
            </w:r>
          </w:p>
        </w:tc>
        <w:tc>
          <w:tcPr>
            <w:tcW w:w="881" w:type="dxa"/>
            <w:tcBorders>
              <w:top w:val="nil"/>
              <w:left w:val="nil"/>
              <w:bottom w:val="single" w:sz="4" w:space="0" w:color="auto"/>
              <w:right w:val="single" w:sz="4" w:space="0" w:color="auto"/>
            </w:tcBorders>
            <w:shd w:val="clear" w:color="auto" w:fill="auto"/>
            <w:noWrap/>
            <w:vAlign w:val="center"/>
            <w:hideMark/>
          </w:tcPr>
          <w:p w14:paraId="6F38E423" w14:textId="77777777" w:rsidR="00B01FE5" w:rsidRPr="00B01FE5" w:rsidRDefault="00B01FE5" w:rsidP="00B01FE5">
            <w:pPr>
              <w:ind w:left="0" w:right="0" w:firstLine="0"/>
              <w:jc w:val="right"/>
              <w:rPr>
                <w:sz w:val="18"/>
                <w:szCs w:val="18"/>
              </w:rPr>
            </w:pPr>
            <w:r w:rsidRPr="00B01FE5">
              <w:rPr>
                <w:sz w:val="18"/>
                <w:szCs w:val="18"/>
              </w:rPr>
              <w:t>89,21</w:t>
            </w:r>
          </w:p>
        </w:tc>
        <w:tc>
          <w:tcPr>
            <w:tcW w:w="898" w:type="dxa"/>
            <w:tcBorders>
              <w:top w:val="nil"/>
              <w:left w:val="nil"/>
              <w:bottom w:val="single" w:sz="4" w:space="0" w:color="auto"/>
              <w:right w:val="double" w:sz="6" w:space="0" w:color="auto"/>
            </w:tcBorders>
            <w:shd w:val="clear" w:color="auto" w:fill="auto"/>
            <w:noWrap/>
            <w:vAlign w:val="center"/>
            <w:hideMark/>
          </w:tcPr>
          <w:p w14:paraId="74950DE5" w14:textId="77777777" w:rsidR="00B01FE5" w:rsidRPr="00B01FE5" w:rsidRDefault="00B01FE5" w:rsidP="00B01FE5">
            <w:pPr>
              <w:ind w:left="0" w:right="0" w:firstLine="0"/>
              <w:jc w:val="right"/>
              <w:rPr>
                <w:sz w:val="18"/>
                <w:szCs w:val="18"/>
              </w:rPr>
            </w:pPr>
            <w:r w:rsidRPr="00B01FE5">
              <w:rPr>
                <w:sz w:val="18"/>
                <w:szCs w:val="18"/>
              </w:rPr>
              <w:t>0,09</w:t>
            </w:r>
          </w:p>
        </w:tc>
      </w:tr>
      <w:tr w:rsidR="00B01FE5" w:rsidRPr="00B01FE5" w14:paraId="5A06427E" w14:textId="77777777" w:rsidTr="00695B49">
        <w:trPr>
          <w:trHeight w:val="621"/>
        </w:trPr>
        <w:tc>
          <w:tcPr>
            <w:tcW w:w="3880" w:type="dxa"/>
            <w:gridSpan w:val="2"/>
            <w:tcBorders>
              <w:top w:val="single" w:sz="4" w:space="0" w:color="auto"/>
              <w:left w:val="double" w:sz="6" w:space="0" w:color="auto"/>
              <w:bottom w:val="double" w:sz="6" w:space="0" w:color="auto"/>
              <w:right w:val="single" w:sz="4" w:space="0" w:color="000000"/>
            </w:tcBorders>
            <w:shd w:val="clear" w:color="auto" w:fill="auto"/>
            <w:vAlign w:val="center"/>
            <w:hideMark/>
          </w:tcPr>
          <w:p w14:paraId="45BF2FC9" w14:textId="77777777" w:rsidR="00B01FE5" w:rsidRPr="00B01FE5" w:rsidRDefault="00B01FE5" w:rsidP="00B01FE5">
            <w:pPr>
              <w:ind w:left="0" w:right="0" w:firstLine="0"/>
              <w:jc w:val="center"/>
              <w:rPr>
                <w:b/>
                <w:bCs/>
                <w:sz w:val="20"/>
                <w:szCs w:val="20"/>
              </w:rPr>
            </w:pPr>
            <w:r w:rsidRPr="00B01FE5">
              <w:rPr>
                <w:b/>
                <w:bCs/>
                <w:sz w:val="20"/>
                <w:szCs w:val="20"/>
              </w:rPr>
              <w:t>УКУПНO БУЏЕТСКИ РАСХОДИ И ИЗДАЦИ ЗА НЕФИНАНСИЈСКУ ИМОВИНУ (А+Б)</w:t>
            </w:r>
          </w:p>
        </w:tc>
        <w:tc>
          <w:tcPr>
            <w:tcW w:w="1366" w:type="dxa"/>
            <w:tcBorders>
              <w:top w:val="nil"/>
              <w:left w:val="nil"/>
              <w:bottom w:val="double" w:sz="6" w:space="0" w:color="auto"/>
              <w:right w:val="single" w:sz="4" w:space="0" w:color="auto"/>
            </w:tcBorders>
            <w:shd w:val="clear" w:color="auto" w:fill="auto"/>
            <w:noWrap/>
            <w:vAlign w:val="center"/>
            <w:hideMark/>
          </w:tcPr>
          <w:p w14:paraId="52991479" w14:textId="77777777" w:rsidR="00B01FE5" w:rsidRPr="00B01FE5" w:rsidRDefault="00B01FE5" w:rsidP="00B01FE5">
            <w:pPr>
              <w:ind w:left="0" w:right="0" w:firstLine="0"/>
              <w:jc w:val="right"/>
              <w:rPr>
                <w:b/>
                <w:bCs/>
                <w:sz w:val="20"/>
                <w:szCs w:val="20"/>
              </w:rPr>
            </w:pPr>
            <w:r w:rsidRPr="00B01FE5">
              <w:rPr>
                <w:b/>
                <w:bCs/>
                <w:sz w:val="20"/>
                <w:szCs w:val="20"/>
              </w:rPr>
              <w:t>16.680.390,02</w:t>
            </w:r>
          </w:p>
        </w:tc>
        <w:tc>
          <w:tcPr>
            <w:tcW w:w="1340" w:type="dxa"/>
            <w:tcBorders>
              <w:top w:val="nil"/>
              <w:left w:val="nil"/>
              <w:bottom w:val="double" w:sz="6" w:space="0" w:color="auto"/>
              <w:right w:val="single" w:sz="4" w:space="0" w:color="auto"/>
            </w:tcBorders>
            <w:shd w:val="clear" w:color="auto" w:fill="auto"/>
            <w:noWrap/>
            <w:vAlign w:val="center"/>
            <w:hideMark/>
          </w:tcPr>
          <w:p w14:paraId="55B359B8" w14:textId="77777777" w:rsidR="00B01FE5" w:rsidRPr="00B01FE5" w:rsidRDefault="00B01FE5" w:rsidP="00B01FE5">
            <w:pPr>
              <w:ind w:left="0" w:right="0" w:firstLine="0"/>
              <w:jc w:val="right"/>
              <w:rPr>
                <w:b/>
                <w:bCs/>
                <w:sz w:val="20"/>
                <w:szCs w:val="20"/>
              </w:rPr>
            </w:pPr>
            <w:r w:rsidRPr="00B01FE5">
              <w:rPr>
                <w:b/>
                <w:bCs/>
                <w:sz w:val="20"/>
                <w:szCs w:val="20"/>
              </w:rPr>
              <w:t>9.570,00</w:t>
            </w:r>
          </w:p>
        </w:tc>
        <w:tc>
          <w:tcPr>
            <w:tcW w:w="1366" w:type="dxa"/>
            <w:tcBorders>
              <w:top w:val="nil"/>
              <w:left w:val="nil"/>
              <w:bottom w:val="double" w:sz="6" w:space="0" w:color="auto"/>
              <w:right w:val="single" w:sz="4" w:space="0" w:color="auto"/>
            </w:tcBorders>
            <w:shd w:val="clear" w:color="auto" w:fill="auto"/>
            <w:noWrap/>
            <w:vAlign w:val="center"/>
            <w:hideMark/>
          </w:tcPr>
          <w:p w14:paraId="5C85DA08" w14:textId="77777777" w:rsidR="00B01FE5" w:rsidRPr="00B01FE5" w:rsidRDefault="00B01FE5" w:rsidP="00B01FE5">
            <w:pPr>
              <w:ind w:left="0" w:right="0" w:firstLine="0"/>
              <w:jc w:val="right"/>
              <w:rPr>
                <w:b/>
                <w:bCs/>
                <w:sz w:val="20"/>
                <w:szCs w:val="20"/>
              </w:rPr>
            </w:pPr>
            <w:r w:rsidRPr="00B01FE5">
              <w:rPr>
                <w:b/>
                <w:bCs/>
                <w:sz w:val="20"/>
                <w:szCs w:val="20"/>
              </w:rPr>
              <w:t>16.689.960,02</w:t>
            </w:r>
          </w:p>
        </w:tc>
        <w:tc>
          <w:tcPr>
            <w:tcW w:w="1366" w:type="dxa"/>
            <w:tcBorders>
              <w:top w:val="nil"/>
              <w:left w:val="nil"/>
              <w:bottom w:val="double" w:sz="6" w:space="0" w:color="auto"/>
              <w:right w:val="single" w:sz="4" w:space="0" w:color="auto"/>
            </w:tcBorders>
            <w:shd w:val="clear" w:color="auto" w:fill="auto"/>
            <w:noWrap/>
            <w:vAlign w:val="center"/>
            <w:hideMark/>
          </w:tcPr>
          <w:p w14:paraId="160A5E38" w14:textId="77777777" w:rsidR="00B01FE5" w:rsidRPr="00B01FE5" w:rsidRDefault="00B01FE5" w:rsidP="00B01FE5">
            <w:pPr>
              <w:ind w:left="0" w:right="0" w:firstLine="0"/>
              <w:jc w:val="right"/>
              <w:rPr>
                <w:b/>
                <w:bCs/>
                <w:sz w:val="20"/>
                <w:szCs w:val="20"/>
              </w:rPr>
            </w:pPr>
            <w:r w:rsidRPr="00B01FE5">
              <w:rPr>
                <w:b/>
                <w:bCs/>
                <w:sz w:val="20"/>
                <w:szCs w:val="20"/>
              </w:rPr>
              <w:t>15.850.763,64</w:t>
            </w:r>
          </w:p>
        </w:tc>
        <w:tc>
          <w:tcPr>
            <w:tcW w:w="881" w:type="dxa"/>
            <w:tcBorders>
              <w:top w:val="nil"/>
              <w:left w:val="nil"/>
              <w:bottom w:val="double" w:sz="6" w:space="0" w:color="auto"/>
              <w:right w:val="single" w:sz="4" w:space="0" w:color="auto"/>
            </w:tcBorders>
            <w:shd w:val="clear" w:color="auto" w:fill="auto"/>
            <w:noWrap/>
            <w:vAlign w:val="center"/>
            <w:hideMark/>
          </w:tcPr>
          <w:p w14:paraId="26CD40BE" w14:textId="77777777" w:rsidR="00B01FE5" w:rsidRPr="00B01FE5" w:rsidRDefault="00B01FE5" w:rsidP="00B01FE5">
            <w:pPr>
              <w:ind w:left="0" w:right="0" w:firstLine="0"/>
              <w:jc w:val="right"/>
              <w:rPr>
                <w:b/>
                <w:bCs/>
                <w:sz w:val="20"/>
                <w:szCs w:val="20"/>
              </w:rPr>
            </w:pPr>
            <w:r w:rsidRPr="00B01FE5">
              <w:rPr>
                <w:b/>
                <w:bCs/>
                <w:sz w:val="20"/>
                <w:szCs w:val="20"/>
              </w:rPr>
              <w:t>94,97</w:t>
            </w:r>
          </w:p>
        </w:tc>
        <w:tc>
          <w:tcPr>
            <w:tcW w:w="898" w:type="dxa"/>
            <w:tcBorders>
              <w:top w:val="nil"/>
              <w:left w:val="nil"/>
              <w:bottom w:val="double" w:sz="6" w:space="0" w:color="auto"/>
              <w:right w:val="double" w:sz="6" w:space="0" w:color="auto"/>
            </w:tcBorders>
            <w:shd w:val="clear" w:color="auto" w:fill="auto"/>
            <w:noWrap/>
            <w:vAlign w:val="center"/>
            <w:hideMark/>
          </w:tcPr>
          <w:p w14:paraId="2B398DEB" w14:textId="77777777" w:rsidR="00B01FE5" w:rsidRPr="00B01FE5" w:rsidRDefault="00B01FE5" w:rsidP="00B01FE5">
            <w:pPr>
              <w:ind w:left="0" w:right="0" w:firstLine="0"/>
              <w:jc w:val="right"/>
              <w:rPr>
                <w:b/>
                <w:bCs/>
                <w:sz w:val="20"/>
                <w:szCs w:val="20"/>
              </w:rPr>
            </w:pPr>
            <w:r w:rsidRPr="00B01FE5">
              <w:rPr>
                <w:b/>
                <w:bCs/>
                <w:sz w:val="20"/>
                <w:szCs w:val="20"/>
              </w:rPr>
              <w:t>100,00</w:t>
            </w:r>
          </w:p>
        </w:tc>
      </w:tr>
    </w:tbl>
    <w:p w14:paraId="3D31B89C" w14:textId="77777777" w:rsidR="00B01FE5" w:rsidRDefault="00B01FE5" w:rsidP="00A57687">
      <w:pPr>
        <w:pStyle w:val="Podnaslov3"/>
        <w:spacing w:before="120"/>
        <w:ind w:firstLine="720"/>
        <w:rPr>
          <w:sz w:val="24"/>
          <w:szCs w:val="24"/>
        </w:rPr>
      </w:pPr>
      <w:bookmarkStart w:id="44" w:name="_Toc491329729"/>
      <w:bookmarkStart w:id="45" w:name="_Toc530745877"/>
      <w:bookmarkStart w:id="46" w:name="_Toc50641197"/>
    </w:p>
    <w:p w14:paraId="37841489" w14:textId="77777777" w:rsidR="00213512" w:rsidRDefault="00213512" w:rsidP="00213512">
      <w:pPr>
        <w:ind w:left="0" w:firstLine="720"/>
      </w:pPr>
      <w:r>
        <w:t>У табели бр. 3 дат је прег</w:t>
      </w:r>
      <w:r w:rsidRPr="002C0947">
        <w:t xml:space="preserve">лед извршења по групама </w:t>
      </w:r>
      <w:r>
        <w:t xml:space="preserve">буџетских </w:t>
      </w:r>
      <w:r w:rsidRPr="002C0947">
        <w:t>расхода и издатака</w:t>
      </w:r>
      <w:r>
        <w:t xml:space="preserve"> за </w:t>
      </w:r>
      <w:proofErr w:type="spellStart"/>
      <w:r>
        <w:t>нефинансијску</w:t>
      </w:r>
      <w:proofErr w:type="spellEnd"/>
      <w:r>
        <w:t xml:space="preserve"> имовину</w:t>
      </w:r>
      <w:r w:rsidRPr="002C0947">
        <w:t xml:space="preserve"> – економска класификација, и </w:t>
      </w:r>
      <w:r>
        <w:t xml:space="preserve">у наставку </w:t>
      </w:r>
      <w:proofErr w:type="spellStart"/>
      <w:r>
        <w:t>извјештаја</w:t>
      </w:r>
      <w:proofErr w:type="spellEnd"/>
      <w:r>
        <w:t xml:space="preserve"> даћемо детаљнија </w:t>
      </w:r>
      <w:r>
        <w:lastRenderedPageBreak/>
        <w:t>образложења расхода и издатака класификованих по економској класификацији, уз детаљније образложење извршења</w:t>
      </w:r>
      <w:r w:rsidR="00695B49">
        <w:rPr>
          <w:lang w:val="sr-Latn-RS"/>
        </w:rPr>
        <w:t xml:space="preserve"> </w:t>
      </w:r>
      <w:r>
        <w:t xml:space="preserve">појединачних буџетских позиција тамо </w:t>
      </w:r>
      <w:proofErr w:type="spellStart"/>
      <w:r>
        <w:t>гдје</w:t>
      </w:r>
      <w:proofErr w:type="spellEnd"/>
      <w:r>
        <w:t xml:space="preserve"> смо сматрали да су потребне детаљније информације о структури наведених трошкова. У овом </w:t>
      </w:r>
      <w:proofErr w:type="spellStart"/>
      <w:r>
        <w:t>извјештају</w:t>
      </w:r>
      <w:proofErr w:type="spellEnd"/>
      <w:r>
        <w:t xml:space="preserve"> нисмо ишли у детаљније образлагање реализације програма и планова које Скупштина општине усваја (из разлога што ће </w:t>
      </w:r>
      <w:proofErr w:type="spellStart"/>
      <w:r>
        <w:t>извјештаје</w:t>
      </w:r>
      <w:proofErr w:type="spellEnd"/>
      <w:r>
        <w:t xml:space="preserve"> о реализацији тих програма припремати службе које су задужене за њихово реализовање и исте ће подносити Скупштини на разматрање, као ни у детаљније образлагање потрошње екстерних буџетских корисника, јер ће Скупштина општине и ове информације добити кроз годишње </w:t>
      </w:r>
      <w:proofErr w:type="spellStart"/>
      <w:r>
        <w:t>извјештаје</w:t>
      </w:r>
      <w:proofErr w:type="spellEnd"/>
      <w:r>
        <w:t xml:space="preserve"> ових корисника.</w:t>
      </w:r>
    </w:p>
    <w:p w14:paraId="611499C5" w14:textId="77777777" w:rsidR="00E97428" w:rsidRPr="00E97428" w:rsidRDefault="00E97428" w:rsidP="00695B49">
      <w:pPr>
        <w:pStyle w:val="Podnaslov3"/>
        <w:rPr>
          <w:sz w:val="24"/>
          <w:szCs w:val="24"/>
          <w:lang w:val="sr-Latn-BA"/>
        </w:rPr>
      </w:pPr>
    </w:p>
    <w:p w14:paraId="6E5BF7C6" w14:textId="77777777" w:rsidR="00F44033" w:rsidRDefault="00F44033" w:rsidP="00D3423F">
      <w:pPr>
        <w:tabs>
          <w:tab w:val="left" w:pos="5103"/>
        </w:tabs>
        <w:spacing w:before="120"/>
        <w:ind w:left="0" w:firstLine="0"/>
        <w:jc w:val="center"/>
      </w:pPr>
      <w:r>
        <w:t xml:space="preserve">Граф. бр. 2. Структура буџетских расхода и издатака за </w:t>
      </w:r>
      <w:proofErr w:type="spellStart"/>
      <w:r>
        <w:t>нефинансијску</w:t>
      </w:r>
      <w:proofErr w:type="spellEnd"/>
      <w:r>
        <w:t xml:space="preserve"> имовину</w:t>
      </w:r>
    </w:p>
    <w:p w14:paraId="593D65A2" w14:textId="77777777" w:rsidR="00F44033" w:rsidRDefault="00F44033" w:rsidP="00F44033">
      <w:pPr>
        <w:pStyle w:val="Podnaslov3"/>
        <w:spacing w:before="120"/>
        <w:rPr>
          <w:sz w:val="24"/>
          <w:szCs w:val="24"/>
        </w:rPr>
      </w:pPr>
      <w:r w:rsidRPr="00F44033">
        <w:rPr>
          <w:noProof/>
          <w:lang w:val="sr-Latn-RS" w:eastAsia="sr-Latn-RS"/>
        </w:rPr>
        <w:drawing>
          <wp:inline distT="0" distB="0" distL="0" distR="0" wp14:anchorId="313555F2" wp14:editId="662EF5FC">
            <wp:extent cx="6165850" cy="3638550"/>
            <wp:effectExtent l="133350" t="114300" r="101600" b="152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65850" cy="36385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370D7B0" w14:textId="77777777" w:rsidR="00F44033" w:rsidRDefault="00F44033" w:rsidP="00A57687">
      <w:pPr>
        <w:pStyle w:val="Podnaslov3"/>
        <w:spacing w:before="120"/>
        <w:ind w:firstLine="720"/>
        <w:rPr>
          <w:sz w:val="24"/>
          <w:szCs w:val="24"/>
        </w:rPr>
      </w:pPr>
    </w:p>
    <w:p w14:paraId="3B0F3AA1" w14:textId="77777777" w:rsidR="00124D2A" w:rsidRPr="00383D4F" w:rsidRDefault="00E63627" w:rsidP="00F44033">
      <w:pPr>
        <w:pStyle w:val="Podnaslov3"/>
        <w:ind w:firstLine="720"/>
        <w:rPr>
          <w:sz w:val="24"/>
          <w:szCs w:val="24"/>
        </w:rPr>
      </w:pPr>
      <w:r w:rsidRPr="00383D4F">
        <w:rPr>
          <w:sz w:val="24"/>
          <w:szCs w:val="24"/>
        </w:rPr>
        <w:t>Б</w:t>
      </w:r>
      <w:r w:rsidR="00124D2A" w:rsidRPr="00383D4F">
        <w:rPr>
          <w:i/>
          <w:sz w:val="24"/>
          <w:szCs w:val="24"/>
        </w:rPr>
        <w:t>.</w:t>
      </w:r>
      <w:r w:rsidR="00960E57" w:rsidRPr="00383D4F">
        <w:rPr>
          <w:sz w:val="24"/>
          <w:szCs w:val="24"/>
        </w:rPr>
        <w:t>1.</w:t>
      </w:r>
      <w:r w:rsidR="00091AD9">
        <w:rPr>
          <w:sz w:val="24"/>
          <w:szCs w:val="24"/>
          <w:lang w:val="sr-Latn-RS"/>
        </w:rPr>
        <w:t xml:space="preserve"> </w:t>
      </w:r>
      <w:r w:rsidR="00124D2A" w:rsidRPr="00383D4F">
        <w:rPr>
          <w:sz w:val="24"/>
          <w:szCs w:val="24"/>
        </w:rPr>
        <w:t>Расходи за лична примања запослених</w:t>
      </w:r>
      <w:bookmarkEnd w:id="44"/>
      <w:bookmarkEnd w:id="45"/>
      <w:bookmarkEnd w:id="46"/>
    </w:p>
    <w:p w14:paraId="5248F519" w14:textId="77777777" w:rsidR="00124D2A" w:rsidRDefault="00124D2A" w:rsidP="00F44033">
      <w:pPr>
        <w:ind w:left="0" w:firstLine="0"/>
        <w:rPr>
          <w:b/>
        </w:rPr>
      </w:pPr>
    </w:p>
    <w:p w14:paraId="53EFAC47" w14:textId="77777777" w:rsidR="00311777" w:rsidRDefault="00124D2A" w:rsidP="00AA2924">
      <w:pPr>
        <w:ind w:left="0" w:firstLine="360"/>
      </w:pPr>
      <w:r>
        <w:rPr>
          <w:b/>
        </w:rPr>
        <w:tab/>
        <w:t xml:space="preserve">Расходи за лична примања запослених </w:t>
      </w:r>
      <w:r>
        <w:t xml:space="preserve">извршени су у износу од </w:t>
      </w:r>
      <w:r w:rsidR="00213512">
        <w:t>4.527.556,95</w:t>
      </w:r>
      <w:r>
        <w:t xml:space="preserve"> КМ, што је </w:t>
      </w:r>
      <w:r w:rsidR="00213512">
        <w:t>99,08</w:t>
      </w:r>
      <w:r>
        <w:t xml:space="preserve">% од планираних средстава. </w:t>
      </w:r>
      <w:r w:rsidR="00311777" w:rsidRPr="00FF7418">
        <w:t>Од укупних расхода за лична примања запослених</w:t>
      </w:r>
      <w:r w:rsidR="00BB3B34">
        <w:t>,</w:t>
      </w:r>
      <w:r w:rsidR="00311777" w:rsidRPr="00FF7418">
        <w:t xml:space="preserve"> на расходе за бруто плате запослених односи се </w:t>
      </w:r>
      <w:r w:rsidR="00CC11A5">
        <w:t>3.524.234,45</w:t>
      </w:r>
      <w:r w:rsidR="00311777" w:rsidRPr="00FF7418">
        <w:t xml:space="preserve"> КМ, расходе за бруто накнаде трошкова запослених и осталих личних примања по основу рада </w:t>
      </w:r>
      <w:r w:rsidR="00CC11A5">
        <w:t>849.135,27</w:t>
      </w:r>
      <w:r w:rsidR="00311777" w:rsidRPr="00FF7418">
        <w:t xml:space="preserve"> КМ (топли оброк, </w:t>
      </w:r>
      <w:r w:rsidR="00CC11A5">
        <w:t xml:space="preserve">регрес, </w:t>
      </w:r>
      <w:r w:rsidR="00311777" w:rsidRPr="00FF7418">
        <w:t>превоз на посао и са посла, дневнице за службена путовања</w:t>
      </w:r>
      <w:r w:rsidR="00B85A68">
        <w:t>, јубиларне награде и др.</w:t>
      </w:r>
      <w:r w:rsidR="00311777" w:rsidRPr="00FF7418">
        <w:t xml:space="preserve">), расходе за накнаду плата запослених за </w:t>
      </w:r>
      <w:proofErr w:type="spellStart"/>
      <w:r w:rsidR="00311777" w:rsidRPr="00FF7418">
        <w:t>вријеме</w:t>
      </w:r>
      <w:proofErr w:type="spellEnd"/>
      <w:r w:rsidR="00311777" w:rsidRPr="00FF7418">
        <w:t xml:space="preserve"> боловања, родитељског одсуства и осталих накнада плата</w:t>
      </w:r>
      <w:r w:rsidR="00146EC3">
        <w:rPr>
          <w:lang w:val="sr-Latn-RS"/>
        </w:rPr>
        <w:t xml:space="preserve"> </w:t>
      </w:r>
      <w:r w:rsidR="00CC11A5">
        <w:t>111.752,92</w:t>
      </w:r>
      <w:r w:rsidR="00311777" w:rsidRPr="00FF7418">
        <w:t xml:space="preserve"> КМ, а на расходе за отпремнине и једнократне помоћи односи се </w:t>
      </w:r>
      <w:r w:rsidR="00CC11A5">
        <w:t>42.434,31</w:t>
      </w:r>
      <w:r w:rsidR="00311777" w:rsidRPr="00FF7418">
        <w:t xml:space="preserve"> КМ. </w:t>
      </w:r>
    </w:p>
    <w:p w14:paraId="2CB104B9" w14:textId="77777777" w:rsidR="00311777" w:rsidRDefault="00311777" w:rsidP="00311777">
      <w:pPr>
        <w:ind w:left="0" w:firstLine="720"/>
      </w:pPr>
      <w:r w:rsidRPr="00FF7418">
        <w:t xml:space="preserve">Од укупних расхода за лична примања запослених на расходе за лична примања запослених у Општинској управи општине Прњавор односи се </w:t>
      </w:r>
      <w:r w:rsidR="00C070B9">
        <w:t>3.495.829,20</w:t>
      </w:r>
      <w:r w:rsidRPr="00FF7418">
        <w:t xml:space="preserve"> КМ, а на расходе за лична примања екстерних буџетских корисника </w:t>
      </w:r>
      <w:r w:rsidR="00C070B9">
        <w:t>1.031.727,75</w:t>
      </w:r>
      <w:r w:rsidRPr="00FF7418">
        <w:t xml:space="preserve"> КМ. Екстерни буџетски корисници чији се расходи за лична примања у </w:t>
      </w:r>
      <w:proofErr w:type="spellStart"/>
      <w:r w:rsidRPr="00FF7418">
        <w:t>цијелости</w:t>
      </w:r>
      <w:proofErr w:type="spellEnd"/>
      <w:r w:rsidRPr="00FF7418">
        <w:t xml:space="preserve"> финансирају из буџета општине Прњавор су ЈУ </w:t>
      </w:r>
      <w:r w:rsidRPr="00FF7418">
        <w:lastRenderedPageBreak/>
        <w:t>Центар за социјални рад Прњавор, ЈУ Центар за културу Прњавор и ЈУ Дјечији вртић „Наша радост“ Прњавор, док се код ЈУ Гимназија Прњавор, ЈУ Центар средњих школа „Иво Андрић“ Прњавор и ЈУ Музичка школа „Константин Бабић“ Прњавор из буџета општине финансирају само трошкови путовања радника на посао и са посла.</w:t>
      </w:r>
    </w:p>
    <w:p w14:paraId="1E0EFA63" w14:textId="77777777" w:rsidR="00BA3069" w:rsidRDefault="00BA3069" w:rsidP="00BA3069">
      <w:pPr>
        <w:ind w:left="0" w:firstLine="720"/>
      </w:pPr>
      <w:r>
        <w:t xml:space="preserve">Извршење расхода за лична примања запослених не обухвата исплаћене накнаде плата за </w:t>
      </w:r>
      <w:proofErr w:type="spellStart"/>
      <w:r>
        <w:t>вријеме</w:t>
      </w:r>
      <w:proofErr w:type="spellEnd"/>
      <w:r>
        <w:t xml:space="preserve"> боловања и породиљског одсуства који се рефундирају од фондова обавезног социјалног осигурања. Ови расходи се у складу са </w:t>
      </w:r>
      <w:r w:rsidRPr="00037CC2">
        <w:t>Правилник</w:t>
      </w:r>
      <w:r>
        <w:t>ом</w:t>
      </w:r>
      <w:r w:rsidRPr="00037CC2">
        <w:t xml:space="preserve"> о буџетским класификацијама, садржини рачуна и </w:t>
      </w:r>
      <w:proofErr w:type="spellStart"/>
      <w:r w:rsidRPr="00037CC2">
        <w:t>примјени</w:t>
      </w:r>
      <w:proofErr w:type="spellEnd"/>
      <w:r w:rsidRPr="00037CC2">
        <w:t xml:space="preserve"> контног плана за буџетске кориснике („Службени гласник Републик</w:t>
      </w:r>
      <w:r>
        <w:t xml:space="preserve">е Српске“, број 98/16, 115/17 и 118/18) и </w:t>
      </w:r>
      <w:r w:rsidRPr="00037CC2">
        <w:t>Правилник</w:t>
      </w:r>
      <w:r>
        <w:t>ом</w:t>
      </w:r>
      <w:r w:rsidRPr="00037CC2">
        <w:t xml:space="preserve"> о рачуноводству, рачуноводственим политикама и рачуноводственим </w:t>
      </w:r>
      <w:proofErr w:type="spellStart"/>
      <w:r w:rsidRPr="00037CC2">
        <w:t>процјенама</w:t>
      </w:r>
      <w:proofErr w:type="spellEnd"/>
      <w:r w:rsidRPr="00037CC2">
        <w:t xml:space="preserve"> за буџетске кориснике („Службени гласник </w:t>
      </w:r>
      <w:r>
        <w:t>Републике Српске“, број 115/17 и 118/18) приказују у оквиру осталих издатака (</w:t>
      </w:r>
      <w:proofErr w:type="spellStart"/>
      <w:r>
        <w:t>подгупа</w:t>
      </w:r>
      <w:proofErr w:type="spellEnd"/>
      <w:r>
        <w:t xml:space="preserve"> конта 638000 – Остали издаци из трансакција између или унутар јединица власти). </w:t>
      </w:r>
    </w:p>
    <w:p w14:paraId="3FA85EE3" w14:textId="77777777" w:rsidR="00BA3069" w:rsidRDefault="00BA3069" w:rsidP="00BA3069">
      <w:pPr>
        <w:ind w:left="0" w:firstLine="720"/>
      </w:pPr>
      <w:r>
        <w:t xml:space="preserve">За обрачун плата у Општинској управи, и код екстерних буџетских корисника који плату примају из буџета општине, од обрачуна плате за </w:t>
      </w:r>
      <w:proofErr w:type="spellStart"/>
      <w:r>
        <w:t>мјесец</w:t>
      </w:r>
      <w:proofErr w:type="spellEnd"/>
      <w:r>
        <w:t xml:space="preserve"> фебруар 2020. године користи се </w:t>
      </w:r>
      <w:proofErr w:type="spellStart"/>
      <w:r>
        <w:t>цијена</w:t>
      </w:r>
      <w:proofErr w:type="spellEnd"/>
      <w:r>
        <w:t xml:space="preserve"> рада од 105,00 КМ, док је раније </w:t>
      </w:r>
      <w:proofErr w:type="spellStart"/>
      <w:r>
        <w:t>цијена</w:t>
      </w:r>
      <w:proofErr w:type="spellEnd"/>
      <w:r>
        <w:t xml:space="preserve"> рада износила 100,00 КМ. Коефицијенти за обрачун плата усклађени су са коефицијентима из </w:t>
      </w:r>
      <w:proofErr w:type="spellStart"/>
      <w:r>
        <w:t>гранских</w:t>
      </w:r>
      <w:proofErr w:type="spellEnd"/>
      <w:r>
        <w:t xml:space="preserve"> колективних уговора за одређену област. Накнада за топли оброк обрачунава се у висини 0,75% </w:t>
      </w:r>
      <w:proofErr w:type="spellStart"/>
      <w:r>
        <w:t>просјечне</w:t>
      </w:r>
      <w:proofErr w:type="spellEnd"/>
      <w:r>
        <w:t xml:space="preserve"> нето плате у Републици Српској за претходну годину за сваки радни дан запосленог одн. у </w:t>
      </w:r>
      <w:proofErr w:type="spellStart"/>
      <w:r>
        <w:t>извјештајном</w:t>
      </w:r>
      <w:proofErr w:type="spellEnd"/>
      <w:r>
        <w:t xml:space="preserve"> периоду обрачунавана је у висини од 6,8 КМ дневно (нето). Накнада за регрес у </w:t>
      </w:r>
      <w:proofErr w:type="spellStart"/>
      <w:r>
        <w:t>извјештајном</w:t>
      </w:r>
      <w:proofErr w:type="spellEnd"/>
      <w:r>
        <w:t xml:space="preserve"> периоду исплаћена</w:t>
      </w:r>
      <w:r w:rsidR="00C070B9">
        <w:t xml:space="preserve"> је у висини </w:t>
      </w:r>
      <w:r>
        <w:t>на</w:t>
      </w:r>
      <w:r w:rsidR="00AF68A0">
        <w:t>јниже плате у Републици Српској, одн. 520,00 КМ након опорезивања.</w:t>
      </w:r>
      <w:r w:rsidR="00E97428">
        <w:rPr>
          <w:lang w:val="sr-Latn-BA"/>
        </w:rPr>
        <w:t xml:space="preserve"> </w:t>
      </w:r>
      <w:r>
        <w:t>И остала примања из радног односа на која радник остварује право (</w:t>
      </w:r>
      <w:r w:rsidR="00C070B9">
        <w:t xml:space="preserve">јубиларне награде, </w:t>
      </w:r>
      <w:r>
        <w:t xml:space="preserve">отпремнине за одлазак у пензију, новчане помоћи за рођење </w:t>
      </w:r>
      <w:proofErr w:type="spellStart"/>
      <w:r>
        <w:t>дјетета</w:t>
      </w:r>
      <w:proofErr w:type="spellEnd"/>
      <w:r>
        <w:t xml:space="preserve">, новчане помоћи у случају смрти члана породице радника, новчане помоћи у случају теже болести или инвалидности и др.) исплаћивана су у складу са износима дефинисаним колективним уговорима. </w:t>
      </w:r>
    </w:p>
    <w:p w14:paraId="394D09C6" w14:textId="77777777" w:rsidR="00E97428" w:rsidRPr="004468FB" w:rsidRDefault="00E97428" w:rsidP="004468FB">
      <w:pPr>
        <w:ind w:left="0" w:firstLine="720"/>
      </w:pPr>
      <w:proofErr w:type="spellStart"/>
      <w:r w:rsidRPr="004468FB">
        <w:t>Просјечан</w:t>
      </w:r>
      <w:proofErr w:type="spellEnd"/>
      <w:r w:rsidRPr="004468FB">
        <w:t xml:space="preserve"> број запослених на основу стања на крају </w:t>
      </w:r>
      <w:proofErr w:type="spellStart"/>
      <w:r w:rsidRPr="004468FB">
        <w:t>мјесеца</w:t>
      </w:r>
      <w:proofErr w:type="spellEnd"/>
      <w:r w:rsidRPr="004468FB">
        <w:t xml:space="preserve"> у Општинској управи и екстерним буџетским корисницима чији се расходи за лична примања финансирају у </w:t>
      </w:r>
      <w:proofErr w:type="spellStart"/>
      <w:r w:rsidRPr="004468FB">
        <w:t>цијелости</w:t>
      </w:r>
      <w:proofErr w:type="spellEnd"/>
      <w:r w:rsidRPr="004468FB">
        <w:t xml:space="preserve"> из буџета општине у 20</w:t>
      </w:r>
      <w:r w:rsidR="00091AD9" w:rsidRPr="004468FB">
        <w:rPr>
          <w:lang w:val="sr-Latn-RS"/>
        </w:rPr>
        <w:t>20</w:t>
      </w:r>
      <w:r w:rsidRPr="004468FB">
        <w:t>. години износио је</w:t>
      </w:r>
      <w:r w:rsidR="00091AD9" w:rsidRPr="004468FB">
        <w:rPr>
          <w:lang w:val="sr-Latn-RS"/>
        </w:rPr>
        <w:t xml:space="preserve"> 223</w:t>
      </w:r>
      <w:r w:rsidRPr="004468FB">
        <w:t xml:space="preserve"> запослен</w:t>
      </w:r>
      <w:r w:rsidR="00091AD9" w:rsidRPr="004468FB">
        <w:rPr>
          <w:lang w:val="sr-Latn-RS"/>
        </w:rPr>
        <w:t>a</w:t>
      </w:r>
      <w:r w:rsidR="004468FB">
        <w:t xml:space="preserve"> радника.</w:t>
      </w:r>
    </w:p>
    <w:p w14:paraId="5B7CCC91" w14:textId="77777777" w:rsidR="00E97428" w:rsidRPr="004468FB" w:rsidRDefault="00E97428" w:rsidP="00E97428">
      <w:pPr>
        <w:ind w:left="0" w:firstLine="0"/>
        <w:rPr>
          <w:lang w:val="sr-Cyrl-BA"/>
        </w:rPr>
      </w:pPr>
      <w:r w:rsidRPr="00E97428">
        <w:rPr>
          <w:color w:val="FF0000"/>
        </w:rPr>
        <w:tab/>
      </w:r>
      <w:r w:rsidRPr="004468FB">
        <w:t>У Општинској управи општине</w:t>
      </w:r>
      <w:r w:rsidR="00091AD9" w:rsidRPr="004468FB">
        <w:rPr>
          <w:lang w:val="sr-Cyrl-BA"/>
        </w:rPr>
        <w:t xml:space="preserve"> Прњавор у 2020</w:t>
      </w:r>
      <w:r w:rsidRPr="004468FB">
        <w:rPr>
          <w:lang w:val="sr-Cyrl-BA"/>
        </w:rPr>
        <w:t xml:space="preserve">. години </w:t>
      </w:r>
      <w:r w:rsidR="00091AD9" w:rsidRPr="004468FB">
        <w:rPr>
          <w:lang w:val="sr-Latn-RS"/>
        </w:rPr>
        <w:t>je</w:t>
      </w:r>
      <w:r w:rsidR="00091AD9" w:rsidRPr="004468FB">
        <w:rPr>
          <w:lang w:val="sr-Cyrl-BA"/>
        </w:rPr>
        <w:t xml:space="preserve"> у просјеку </w:t>
      </w:r>
      <w:proofErr w:type="spellStart"/>
      <w:r w:rsidR="00091AD9" w:rsidRPr="004468FB">
        <w:rPr>
          <w:lang w:val="sr-Cyrl-BA"/>
        </w:rPr>
        <w:t>билo</w:t>
      </w:r>
      <w:proofErr w:type="spellEnd"/>
      <w:r w:rsidR="00091AD9" w:rsidRPr="004468FB">
        <w:rPr>
          <w:lang w:val="sr-Cyrl-BA"/>
        </w:rPr>
        <w:t xml:space="preserve"> </w:t>
      </w:r>
      <w:proofErr w:type="spellStart"/>
      <w:r w:rsidR="00091AD9" w:rsidRPr="004468FB">
        <w:rPr>
          <w:lang w:val="sr-Cyrl-BA"/>
        </w:rPr>
        <w:t>запосленo</w:t>
      </w:r>
      <w:proofErr w:type="spellEnd"/>
      <w:r w:rsidR="00B45B2B" w:rsidRPr="004468FB">
        <w:rPr>
          <w:lang w:val="sr-Cyrl-BA"/>
        </w:rPr>
        <w:t xml:space="preserve"> </w:t>
      </w:r>
      <w:r w:rsidR="00091AD9" w:rsidRPr="004468FB">
        <w:rPr>
          <w:lang w:val="sr-Cyrl-BA"/>
        </w:rPr>
        <w:t>166</w:t>
      </w:r>
      <w:r w:rsidRPr="004468FB">
        <w:rPr>
          <w:lang w:val="sr-Cyrl-BA"/>
        </w:rPr>
        <w:t xml:space="preserve"> радника (</w:t>
      </w:r>
      <w:r w:rsidRPr="004468FB">
        <w:t>укључујући и функционере),</w:t>
      </w:r>
      <w:r w:rsidR="00091AD9" w:rsidRPr="004468FB">
        <w:rPr>
          <w:lang w:val="sr-Latn-RS"/>
        </w:rPr>
        <w:t xml:space="preserve"> </w:t>
      </w:r>
      <w:r w:rsidRPr="004468FB">
        <w:rPr>
          <w:lang w:val="sr-Cyrl-BA"/>
        </w:rPr>
        <w:t>израчунато н</w:t>
      </w:r>
      <w:r w:rsidR="004468FB">
        <w:rPr>
          <w:lang w:val="sr-Cyrl-BA"/>
        </w:rPr>
        <w:t>а основу стања на крају мјесеца</w:t>
      </w:r>
      <w:r w:rsidR="00345DDC">
        <w:rPr>
          <w:lang w:val="sr-Cyrl-BA"/>
        </w:rPr>
        <w:t xml:space="preserve">. </w:t>
      </w:r>
      <w:proofErr w:type="spellStart"/>
      <w:r w:rsidRPr="004468FB">
        <w:t>Просјечна</w:t>
      </w:r>
      <w:proofErr w:type="spellEnd"/>
      <w:r w:rsidRPr="004468FB">
        <w:t xml:space="preserve"> плата након опорезивања свих запослених у Општинској управи (без </w:t>
      </w:r>
      <w:r w:rsidR="00091AD9" w:rsidRPr="004468FB">
        <w:t>функционера) у 202</w:t>
      </w:r>
      <w:r w:rsidR="00091AD9" w:rsidRPr="004468FB">
        <w:rPr>
          <w:lang w:val="sr-Latn-RS"/>
        </w:rPr>
        <w:t>0</w:t>
      </w:r>
      <w:r w:rsidRPr="004468FB">
        <w:t xml:space="preserve">. години износила је </w:t>
      </w:r>
      <w:r w:rsidR="00091AD9" w:rsidRPr="004468FB">
        <w:rPr>
          <w:lang w:val="sr-Latn-RS"/>
        </w:rPr>
        <w:t>862,41</w:t>
      </w:r>
      <w:r w:rsidRPr="004468FB">
        <w:t xml:space="preserve"> КМ, и повећана је за </w:t>
      </w:r>
      <w:r w:rsidR="00091AD9" w:rsidRPr="004468FB">
        <w:rPr>
          <w:lang w:val="sr-Latn-RS"/>
        </w:rPr>
        <w:t>53,69</w:t>
      </w:r>
      <w:r w:rsidRPr="004468FB">
        <w:t xml:space="preserve"> КМ у односу на 201</w:t>
      </w:r>
      <w:r w:rsidR="00091AD9" w:rsidRPr="004468FB">
        <w:rPr>
          <w:lang w:val="sr-Latn-RS"/>
        </w:rPr>
        <w:t>9</w:t>
      </w:r>
      <w:r w:rsidRPr="004468FB">
        <w:t xml:space="preserve">. годину. </w:t>
      </w:r>
      <w:proofErr w:type="spellStart"/>
      <w:r w:rsidRPr="004468FB">
        <w:t>Просјечна</w:t>
      </w:r>
      <w:proofErr w:type="spellEnd"/>
      <w:r w:rsidRPr="004468FB">
        <w:t xml:space="preserve"> плата запос</w:t>
      </w:r>
      <w:r w:rsidR="00091AD9" w:rsidRPr="004468FB">
        <w:t>лених у Општинској управи у 2020</w:t>
      </w:r>
      <w:r w:rsidRPr="004468FB">
        <w:t>. години користиће се као основица за обрачун плата функцион</w:t>
      </w:r>
      <w:r w:rsidR="00091AD9" w:rsidRPr="004468FB">
        <w:t>ера и одборничких накнада у 2020</w:t>
      </w:r>
      <w:r w:rsidRPr="004468FB">
        <w:t>. години</w:t>
      </w:r>
      <w:r w:rsidRPr="004468FB">
        <w:rPr>
          <w:lang w:val="sr-Cyrl-BA"/>
        </w:rPr>
        <w:t xml:space="preserve">. </w:t>
      </w:r>
    </w:p>
    <w:p w14:paraId="5DC0B622" w14:textId="77777777" w:rsidR="00E97428" w:rsidRPr="00C93185" w:rsidRDefault="00E97428" w:rsidP="00E97428">
      <w:pPr>
        <w:ind w:left="0" w:firstLine="0"/>
        <w:rPr>
          <w:lang w:val="sr-Latn-RS"/>
        </w:rPr>
      </w:pPr>
      <w:r w:rsidRPr="004468FB">
        <w:rPr>
          <w:lang w:val="sr-Cyrl-BA"/>
        </w:rPr>
        <w:tab/>
        <w:t>Код екстерних буџетских корисника који примај</w:t>
      </w:r>
      <w:r w:rsidR="00091AD9" w:rsidRPr="004468FB">
        <w:rPr>
          <w:lang w:val="sr-Cyrl-BA"/>
        </w:rPr>
        <w:t>у плату из буџета општине у 2020</w:t>
      </w:r>
      <w:r w:rsidRPr="004468FB">
        <w:rPr>
          <w:lang w:val="sr-Cyrl-BA"/>
        </w:rPr>
        <w:t>. години је било 5</w:t>
      </w:r>
      <w:r w:rsidR="00091AD9" w:rsidRPr="004468FB">
        <w:rPr>
          <w:lang w:val="sr-Latn-RS"/>
        </w:rPr>
        <w:t>4</w:t>
      </w:r>
      <w:r w:rsidRPr="004468FB">
        <w:rPr>
          <w:lang w:val="sr-Cyrl-BA"/>
        </w:rPr>
        <w:t xml:space="preserve"> просјечно запослена радника, израчунато на основу стања на крају мјесеца</w:t>
      </w:r>
      <w:r w:rsidR="00345DDC">
        <w:rPr>
          <w:lang w:val="sr-Cyrl-BA"/>
        </w:rPr>
        <w:t>.</w:t>
      </w:r>
    </w:p>
    <w:p w14:paraId="45181FED" w14:textId="77777777" w:rsidR="00124D2A" w:rsidRDefault="00124D2A" w:rsidP="00124D2A">
      <w:pPr>
        <w:ind w:left="0" w:firstLine="0"/>
        <w:rPr>
          <w:b/>
          <w:sz w:val="28"/>
          <w:szCs w:val="28"/>
        </w:rPr>
      </w:pPr>
    </w:p>
    <w:p w14:paraId="498D9E50" w14:textId="77777777" w:rsidR="00124D2A" w:rsidRPr="00383D4F" w:rsidRDefault="00124D2A" w:rsidP="00124D2A">
      <w:pPr>
        <w:pStyle w:val="Podnaslov3"/>
        <w:spacing w:before="120"/>
        <w:ind w:right="-794"/>
        <w:rPr>
          <w:i/>
          <w:sz w:val="24"/>
          <w:szCs w:val="24"/>
        </w:rPr>
      </w:pPr>
      <w:r w:rsidRPr="00383D4F">
        <w:rPr>
          <w:sz w:val="24"/>
          <w:szCs w:val="24"/>
        </w:rPr>
        <w:tab/>
      </w:r>
      <w:bookmarkStart w:id="47" w:name="_Toc491329730"/>
      <w:bookmarkStart w:id="48" w:name="_Toc530745878"/>
      <w:bookmarkStart w:id="49" w:name="_Toc50641198"/>
      <w:r w:rsidRPr="00383D4F">
        <w:rPr>
          <w:sz w:val="24"/>
          <w:szCs w:val="24"/>
        </w:rPr>
        <w:t>Б.</w:t>
      </w:r>
      <w:r w:rsidR="00E63627" w:rsidRPr="00383D4F">
        <w:rPr>
          <w:sz w:val="24"/>
          <w:szCs w:val="24"/>
        </w:rPr>
        <w:t>2</w:t>
      </w:r>
      <w:r w:rsidR="00960E57" w:rsidRPr="00383D4F">
        <w:rPr>
          <w:sz w:val="24"/>
          <w:szCs w:val="24"/>
        </w:rPr>
        <w:t>.</w:t>
      </w:r>
      <w:r w:rsidRPr="00383D4F">
        <w:rPr>
          <w:sz w:val="24"/>
          <w:szCs w:val="24"/>
        </w:rPr>
        <w:t xml:space="preserve"> Расходи по основу коришћења роба и услуга</w:t>
      </w:r>
      <w:bookmarkEnd w:id="47"/>
      <w:bookmarkEnd w:id="48"/>
      <w:bookmarkEnd w:id="49"/>
    </w:p>
    <w:p w14:paraId="58FF4D62" w14:textId="77777777" w:rsidR="00124D2A" w:rsidRDefault="00124D2A" w:rsidP="00124D2A">
      <w:pPr>
        <w:ind w:left="0" w:right="-792" w:firstLine="360"/>
        <w:rPr>
          <w:b/>
        </w:rPr>
      </w:pPr>
    </w:p>
    <w:p w14:paraId="55489F23" w14:textId="77777777" w:rsidR="000C0FD3" w:rsidRDefault="00124D2A" w:rsidP="000C0FD3">
      <w:pPr>
        <w:ind w:left="0" w:right="-792" w:firstLine="360"/>
      </w:pPr>
      <w:r>
        <w:rPr>
          <w:b/>
        </w:rPr>
        <w:tab/>
        <w:t xml:space="preserve">Расходи по основу коришћења роба и услуга </w:t>
      </w:r>
      <w:r w:rsidRPr="00875538">
        <w:t xml:space="preserve">извршени су у износу од </w:t>
      </w:r>
      <w:r w:rsidR="004468FB">
        <w:rPr>
          <w:lang w:val="sr-Cyrl-RS"/>
        </w:rPr>
        <w:t xml:space="preserve">       </w:t>
      </w:r>
      <w:r w:rsidR="000C0FD3">
        <w:t>2.576.908,03</w:t>
      </w:r>
      <w:r>
        <w:t xml:space="preserve"> КМ, што је </w:t>
      </w:r>
      <w:r w:rsidR="000C0FD3">
        <w:t>94,92</w:t>
      </w:r>
      <w:r>
        <w:t>%</w:t>
      </w:r>
      <w:r w:rsidR="004C12DE">
        <w:t xml:space="preserve"> од планираних средстава за 2020</w:t>
      </w:r>
      <w:r>
        <w:t>. годину.</w:t>
      </w:r>
      <w:r w:rsidR="004468FB">
        <w:rPr>
          <w:lang w:val="sr-Cyrl-RS"/>
        </w:rPr>
        <w:t xml:space="preserve"> </w:t>
      </w:r>
      <w:r w:rsidR="000C0FD3">
        <w:t xml:space="preserve">На расходе Општинске управе односи се </w:t>
      </w:r>
      <w:r w:rsidR="000C0FD3" w:rsidRPr="00966BB5">
        <w:t>2.</w:t>
      </w:r>
      <w:r w:rsidR="000C0FD3">
        <w:t>230.196,88</w:t>
      </w:r>
      <w:r w:rsidR="000C0FD3" w:rsidRPr="00966BB5">
        <w:t xml:space="preserve"> КМ, док се на расходе екстерних буџетских корисника односи </w:t>
      </w:r>
      <w:r w:rsidR="000C0FD3">
        <w:t>346.711,15</w:t>
      </w:r>
      <w:r w:rsidR="000C0FD3" w:rsidRPr="00966BB5">
        <w:t xml:space="preserve"> КМ.</w:t>
      </w:r>
    </w:p>
    <w:p w14:paraId="5E0DE930" w14:textId="77777777" w:rsidR="00123E46" w:rsidRDefault="00123E46" w:rsidP="00E60B41">
      <w:pPr>
        <w:ind w:left="0" w:right="-792" w:firstLine="360"/>
      </w:pPr>
    </w:p>
    <w:p w14:paraId="56B7D0B8" w14:textId="77777777" w:rsidR="000C0FD3" w:rsidRDefault="000C0FD3" w:rsidP="000C0FD3">
      <w:pPr>
        <w:ind w:left="0" w:firstLine="720"/>
        <w:rPr>
          <w:lang w:val="sr-Cyrl-BA"/>
        </w:rPr>
      </w:pPr>
      <w:r>
        <w:rPr>
          <w:b/>
          <w:i/>
        </w:rPr>
        <w:t>Р</w:t>
      </w:r>
      <w:r w:rsidRPr="00155E46">
        <w:rPr>
          <w:b/>
          <w:i/>
        </w:rPr>
        <w:t>асход</w:t>
      </w:r>
      <w:r>
        <w:rPr>
          <w:b/>
          <w:i/>
        </w:rPr>
        <w:t>и</w:t>
      </w:r>
      <w:r w:rsidRPr="00155E46">
        <w:rPr>
          <w:b/>
          <w:i/>
        </w:rPr>
        <w:t xml:space="preserve"> по основу закупа</w:t>
      </w:r>
      <w:r>
        <w:t xml:space="preserve"> су </w:t>
      </w:r>
      <w:r>
        <w:rPr>
          <w:lang w:val="sr-Cyrl-BA"/>
        </w:rPr>
        <w:t>извршени</w:t>
      </w:r>
      <w:r>
        <w:t xml:space="preserve"> у износу од 56.886,28 КМ, </w:t>
      </w:r>
      <w:r>
        <w:rPr>
          <w:lang w:val="sr-Cyrl-BA"/>
        </w:rPr>
        <w:t xml:space="preserve">што је </w:t>
      </w:r>
      <w:r>
        <w:t>99,96</w:t>
      </w:r>
      <w:r>
        <w:rPr>
          <w:lang w:val="sr-Cyrl-BA"/>
        </w:rPr>
        <w:t>% од средстава планираних ребалансом буџета.</w:t>
      </w:r>
      <w:r>
        <w:t xml:space="preserve"> О</w:t>
      </w:r>
      <w:r>
        <w:rPr>
          <w:lang w:val="sr-Cyrl-BA"/>
        </w:rPr>
        <w:t>ви расходи се о</w:t>
      </w:r>
      <w:proofErr w:type="spellStart"/>
      <w:r>
        <w:t>дносе</w:t>
      </w:r>
      <w:proofErr w:type="spellEnd"/>
      <w:r>
        <w:t xml:space="preserve"> на трошкове закупнине паркинг простора у износу од 27.450,52 КМ, трошкове закупа пословног простора за рад Центра за социјални рад у износу од 22.835,76 КМ и</w:t>
      </w:r>
      <w:r w:rsidR="006C5A9C">
        <w:rPr>
          <w:lang w:val="sr-Cyrl-RS"/>
        </w:rPr>
        <w:t xml:space="preserve"> </w:t>
      </w:r>
      <w:r>
        <w:t>трошкове закупа простора за реализацију пројекта „Наша продавница“ у износу од 6.600,00 КМ</w:t>
      </w:r>
      <w:r>
        <w:rPr>
          <w:lang w:val="sr-Cyrl-BA"/>
        </w:rPr>
        <w:t>.</w:t>
      </w:r>
    </w:p>
    <w:p w14:paraId="64CF0D77" w14:textId="77777777" w:rsidR="000C0FD3" w:rsidRPr="00320449" w:rsidRDefault="000C0FD3" w:rsidP="000C0FD3">
      <w:pPr>
        <w:ind w:left="0" w:firstLine="0"/>
        <w:rPr>
          <w:lang w:val="sr-Cyrl-BA"/>
        </w:rPr>
      </w:pPr>
    </w:p>
    <w:p w14:paraId="76447A46" w14:textId="77777777" w:rsidR="000C0FD3" w:rsidRPr="00C0775D" w:rsidRDefault="000C0FD3" w:rsidP="000C0FD3">
      <w:pPr>
        <w:ind w:left="0" w:firstLine="0"/>
      </w:pPr>
      <w:r>
        <w:rPr>
          <w:b/>
          <w:i/>
        </w:rPr>
        <w:tab/>
      </w:r>
      <w:r w:rsidRPr="005E7A96">
        <w:rPr>
          <w:b/>
          <w:i/>
        </w:rPr>
        <w:t>Расходи по основу утрошка енергије, комуналних, комуникационих и транспортних услуга</w:t>
      </w:r>
      <w:r w:rsidR="006C5A9C">
        <w:rPr>
          <w:b/>
          <w:i/>
          <w:lang w:val="sr-Cyrl-RS"/>
        </w:rPr>
        <w:t xml:space="preserve"> </w:t>
      </w:r>
      <w:r>
        <w:rPr>
          <w:lang w:val="sr-Cyrl-BA"/>
        </w:rPr>
        <w:t>остварени</w:t>
      </w:r>
      <w:r w:rsidR="004468FB">
        <w:rPr>
          <w:lang w:val="sr-Cyrl-BA"/>
        </w:rPr>
        <w:t xml:space="preserve"> </w:t>
      </w:r>
      <w:r>
        <w:t>су у износу од</w:t>
      </w:r>
      <w:r w:rsidR="004468FB">
        <w:rPr>
          <w:lang w:val="sr-Cyrl-RS"/>
        </w:rPr>
        <w:t xml:space="preserve"> </w:t>
      </w:r>
      <w:r>
        <w:t>382.520,65</w:t>
      </w:r>
      <w:r w:rsidRPr="005E7A96">
        <w:t xml:space="preserve"> КМ, што је </w:t>
      </w:r>
      <w:r>
        <w:t>94,23</w:t>
      </w:r>
      <w:r w:rsidRPr="005E7A96">
        <w:t xml:space="preserve">% </w:t>
      </w:r>
      <w:r>
        <w:t>у односу план. На расходе Општинске управе односи се 243.716,87 КМ, док се</w:t>
      </w:r>
      <w:r w:rsidR="004468FB">
        <w:rPr>
          <w:lang w:val="sr-Cyrl-RS"/>
        </w:rPr>
        <w:t xml:space="preserve"> </w:t>
      </w:r>
      <w:r>
        <w:t xml:space="preserve">138.803,78 КМ односи на расходе екстерних буџетских корисника. </w:t>
      </w:r>
      <w:r w:rsidRPr="005E7A96">
        <w:t>Ови расходи се односе на трошкове за</w:t>
      </w:r>
      <w:r>
        <w:t xml:space="preserve"> утрошену електричну енергију, </w:t>
      </w:r>
      <w:r w:rsidRPr="005E7A96">
        <w:t xml:space="preserve">трошкове угља и </w:t>
      </w:r>
      <w:r>
        <w:t xml:space="preserve">дрвета </w:t>
      </w:r>
      <w:r w:rsidRPr="005E7A96">
        <w:t xml:space="preserve">за централно </w:t>
      </w:r>
      <w:proofErr w:type="spellStart"/>
      <w:r w:rsidRPr="005E7A96">
        <w:t>гријање</w:t>
      </w:r>
      <w:proofErr w:type="spellEnd"/>
      <w:r>
        <w:t>,</w:t>
      </w:r>
      <w:r w:rsidRPr="005E7A96">
        <w:t xml:space="preserve"> трошкове во</w:t>
      </w:r>
      <w:r>
        <w:t>де, канализације и смећа,</w:t>
      </w:r>
      <w:r w:rsidRPr="005E7A96">
        <w:t xml:space="preserve"> трошкове телефона, </w:t>
      </w:r>
      <w:r>
        <w:t>интернета и слања пошиљки путем поште, као</w:t>
      </w:r>
      <w:r w:rsidR="006C5A9C">
        <w:rPr>
          <w:lang w:val="sr-Cyrl-RS"/>
        </w:rPr>
        <w:t xml:space="preserve"> </w:t>
      </w:r>
      <w:r>
        <w:t xml:space="preserve">и </w:t>
      </w:r>
      <w:r w:rsidRPr="005E7A96">
        <w:t>трошкове за услуге превоза</w:t>
      </w:r>
      <w:r>
        <w:t xml:space="preserve">. </w:t>
      </w:r>
    </w:p>
    <w:p w14:paraId="3C13CCC9" w14:textId="77777777" w:rsidR="000C0FD3" w:rsidRDefault="000C0FD3" w:rsidP="000C0FD3">
      <w:pPr>
        <w:tabs>
          <w:tab w:val="left" w:pos="1815"/>
        </w:tabs>
        <w:ind w:left="0" w:firstLine="0"/>
        <w:rPr>
          <w:b/>
          <w:i/>
        </w:rPr>
      </w:pPr>
      <w:r>
        <w:rPr>
          <w:b/>
          <w:i/>
        </w:rPr>
        <w:tab/>
      </w:r>
    </w:p>
    <w:p w14:paraId="5EA41083" w14:textId="77777777" w:rsidR="000C0FD3" w:rsidRPr="00976393" w:rsidRDefault="000C0FD3" w:rsidP="000C0FD3">
      <w:pPr>
        <w:tabs>
          <w:tab w:val="left" w:pos="709"/>
        </w:tabs>
        <w:ind w:left="0" w:firstLine="0"/>
        <w:rPr>
          <w:b/>
          <w:i/>
        </w:rPr>
      </w:pPr>
      <w:r>
        <w:rPr>
          <w:b/>
          <w:i/>
        </w:rPr>
        <w:tab/>
        <w:t>Р</w:t>
      </w:r>
      <w:r w:rsidRPr="00155E46">
        <w:rPr>
          <w:b/>
          <w:i/>
        </w:rPr>
        <w:t>асход</w:t>
      </w:r>
      <w:r>
        <w:rPr>
          <w:b/>
          <w:i/>
        </w:rPr>
        <w:t xml:space="preserve">и </w:t>
      </w:r>
      <w:r w:rsidRPr="00155E46">
        <w:rPr>
          <w:b/>
          <w:i/>
        </w:rPr>
        <w:t>за режијски материјал</w:t>
      </w:r>
      <w:r>
        <w:t xml:space="preserve"> су у 2020. години </w:t>
      </w:r>
      <w:r>
        <w:rPr>
          <w:lang w:val="sr-Cyrl-BA"/>
        </w:rPr>
        <w:t>остварени</w:t>
      </w:r>
      <w:r>
        <w:t xml:space="preserve"> у износу од 68.125,44 КМ, што је 91,47% од средстава планираних ребалансом буџета. Износ од 46.153,08 КМ се односи</w:t>
      </w:r>
      <w:r w:rsidR="006C5A9C">
        <w:rPr>
          <w:lang w:val="sr-Cyrl-RS"/>
        </w:rPr>
        <w:t xml:space="preserve"> </w:t>
      </w:r>
      <w:r>
        <w:t xml:space="preserve">на расходе Општинске управе, а износ од 21.972,36 КМ на расходе </w:t>
      </w:r>
      <w:r w:rsidRPr="00976393">
        <w:t>екстерних буџетских корисника</w:t>
      </w:r>
      <w:r>
        <w:t xml:space="preserve">. </w:t>
      </w:r>
      <w:r w:rsidRPr="00F3536D">
        <w:t>Расходи за режијски материјал</w:t>
      </w:r>
      <w:r>
        <w:t xml:space="preserve"> обухватају: расходе за обрасце, папир, компјутерски материјал, регистраторе, фасцикле и омоте; расходе за стручну литературу, службене гласнике и часописе, материјал за одржавање чистоће и остали режијски  материјал.</w:t>
      </w:r>
    </w:p>
    <w:p w14:paraId="571A5518" w14:textId="77777777" w:rsidR="000C0FD3" w:rsidRPr="005E7A96" w:rsidRDefault="000C0FD3" w:rsidP="000C0FD3">
      <w:pPr>
        <w:ind w:left="0" w:firstLine="0"/>
      </w:pPr>
    </w:p>
    <w:p w14:paraId="283F5BF4" w14:textId="77777777" w:rsidR="000C0FD3" w:rsidRDefault="000C0FD3" w:rsidP="000C0FD3">
      <w:pPr>
        <w:ind w:left="0" w:firstLine="0"/>
      </w:pPr>
      <w:r>
        <w:rPr>
          <w:b/>
          <w:i/>
        </w:rPr>
        <w:tab/>
        <w:t>Р</w:t>
      </w:r>
      <w:r w:rsidRPr="00155E46">
        <w:rPr>
          <w:b/>
          <w:i/>
        </w:rPr>
        <w:t>асход</w:t>
      </w:r>
      <w:r>
        <w:rPr>
          <w:b/>
          <w:i/>
        </w:rPr>
        <w:t>и</w:t>
      </w:r>
      <w:r w:rsidRPr="00155E46">
        <w:rPr>
          <w:b/>
          <w:i/>
        </w:rPr>
        <w:t xml:space="preserve"> за материјал за посебне </w:t>
      </w:r>
      <w:proofErr w:type="spellStart"/>
      <w:r w:rsidRPr="00155E46">
        <w:rPr>
          <w:b/>
          <w:i/>
        </w:rPr>
        <w:t>намјене</w:t>
      </w:r>
      <w:proofErr w:type="spellEnd"/>
      <w:r w:rsidR="006C5A9C">
        <w:rPr>
          <w:b/>
          <w:i/>
          <w:lang w:val="sr-Cyrl-RS"/>
        </w:rPr>
        <w:t xml:space="preserve"> </w:t>
      </w:r>
      <w:r>
        <w:t xml:space="preserve">остварени су у износу од 54.269,14 КМ, што је 92,23% од плана. Ови расходи обухватају расходе за потребе образовног процеса и расходе за специјални материјал за потребе Територијалне ватрогасне јединице Прњавор. На расходе Територијалне ватрогасне јединице (расходи Општинске управе) односи се 1.730,76 КМ, док се на расходе за потребе образовног процеса код екстерних буџетских корисника (укључујући издатке за исхрану </w:t>
      </w:r>
      <w:proofErr w:type="spellStart"/>
      <w:r>
        <w:t>дјеце</w:t>
      </w:r>
      <w:proofErr w:type="spellEnd"/>
      <w:r>
        <w:t xml:space="preserve"> у Дјечијем вртићу „Наша радост“ који и чине највећу ставку ових расхода) односи 52.538,38 КМ. </w:t>
      </w:r>
    </w:p>
    <w:p w14:paraId="21B75824" w14:textId="77777777" w:rsidR="000C0FD3" w:rsidRPr="005E7A96" w:rsidRDefault="000C0FD3" w:rsidP="000C0FD3">
      <w:pPr>
        <w:ind w:left="0" w:firstLine="0"/>
      </w:pPr>
    </w:p>
    <w:p w14:paraId="11BD0EE9" w14:textId="77777777" w:rsidR="000C0FD3" w:rsidRPr="00E91322" w:rsidRDefault="000C0FD3" w:rsidP="000C0FD3">
      <w:pPr>
        <w:ind w:left="0" w:firstLine="0"/>
      </w:pPr>
      <w:r>
        <w:rPr>
          <w:b/>
          <w:i/>
        </w:rPr>
        <w:tab/>
      </w:r>
      <w:r w:rsidRPr="00E91322">
        <w:rPr>
          <w:b/>
          <w:i/>
        </w:rPr>
        <w:t>Расходи за текуће одржавање</w:t>
      </w:r>
      <w:r>
        <w:t xml:space="preserve"> су </w:t>
      </w:r>
      <w:r>
        <w:rPr>
          <w:lang w:val="sr-Cyrl-BA"/>
        </w:rPr>
        <w:t>извршени</w:t>
      </w:r>
      <w:r>
        <w:t xml:space="preserve"> у износу од</w:t>
      </w:r>
      <w:r w:rsidR="004468FB">
        <w:rPr>
          <w:lang w:val="sr-Cyrl-RS"/>
        </w:rPr>
        <w:t xml:space="preserve"> </w:t>
      </w:r>
      <w:r w:rsidR="00F53D59">
        <w:t>417.805,99</w:t>
      </w:r>
      <w:r w:rsidRPr="00E91322">
        <w:t xml:space="preserve"> КМ, </w:t>
      </w:r>
      <w:r>
        <w:t xml:space="preserve">што је </w:t>
      </w:r>
      <w:r w:rsidR="00F53D59">
        <w:t>98,58</w:t>
      </w:r>
      <w:r>
        <w:t xml:space="preserve">% од планираних средстава. </w:t>
      </w:r>
      <w:r w:rsidRPr="00E91322">
        <w:t xml:space="preserve">Ови расходи обухватају </w:t>
      </w:r>
      <w:r>
        <w:t>расходе за текуће одржавање зграда, путева опреме, возила, споменика и др. Од укупно остварених расхода за тек</w:t>
      </w:r>
      <w:r w:rsidR="00F53D59">
        <w:t>уће одржавање у 2020</w:t>
      </w:r>
      <w:r>
        <w:t xml:space="preserve">. години, на расходе Општинске управе односи се </w:t>
      </w:r>
      <w:r w:rsidR="00F53D59">
        <w:t>386.028,30</w:t>
      </w:r>
      <w:r>
        <w:t xml:space="preserve"> КМ, а на расходе екстерних буџетских корисника </w:t>
      </w:r>
      <w:r w:rsidR="00F53D59">
        <w:t>31.777,69</w:t>
      </w:r>
      <w:r>
        <w:t xml:space="preserve"> КМ. </w:t>
      </w:r>
      <w:r w:rsidRPr="00E91322">
        <w:t xml:space="preserve">Од расхода за текуће одржавање </w:t>
      </w:r>
      <w:r>
        <w:t>који се односе на Општинску управу,</w:t>
      </w:r>
      <w:r w:rsidR="004468FB">
        <w:rPr>
          <w:lang w:val="sr-Cyrl-RS"/>
        </w:rPr>
        <w:t xml:space="preserve"> </w:t>
      </w:r>
      <w:r>
        <w:t xml:space="preserve">најзначајнији су расходи настали реализацијом Програма текућег одржавања путева, који су </w:t>
      </w:r>
      <w:r w:rsidR="006C5A9C">
        <w:rPr>
          <w:lang w:val="sr-Cyrl-RS"/>
        </w:rPr>
        <w:t>остварени</w:t>
      </w:r>
      <w:r>
        <w:t xml:space="preserve"> у износу од </w:t>
      </w:r>
      <w:r w:rsidR="00F53D59">
        <w:t>320.687,40</w:t>
      </w:r>
      <w:r>
        <w:t xml:space="preserve"> КМ. На трошкове текућег одржавања путева на руралним подручјима општине, који су реализовани у складу са Планом утрошка новчаних средстава која потичу од прихода од посебних накнада</w:t>
      </w:r>
      <w:r w:rsidR="00F53D59">
        <w:t xml:space="preserve"> за шуме за 2020</w:t>
      </w:r>
      <w:r>
        <w:t xml:space="preserve">. годину, односи се </w:t>
      </w:r>
      <w:r w:rsidR="00F53D59">
        <w:t>29.980,52</w:t>
      </w:r>
      <w:r>
        <w:t xml:space="preserve"> КМ. Остали расходи се односе на </w:t>
      </w:r>
      <w:r w:rsidR="00173280">
        <w:t>трошкове текућег одржавања возила и опреме Територијалне ватрогасне јединице Прњавор 1.760,86 КМ, трошкове</w:t>
      </w:r>
      <w:r w:rsidR="004468FB">
        <w:rPr>
          <w:lang w:val="sr-Cyrl-RS"/>
        </w:rPr>
        <w:t xml:space="preserve"> </w:t>
      </w:r>
      <w:r>
        <w:t xml:space="preserve">текућег одржавања објеката у </w:t>
      </w:r>
      <w:proofErr w:type="spellStart"/>
      <w:r>
        <w:t>мјесним</w:t>
      </w:r>
      <w:proofErr w:type="spellEnd"/>
      <w:r>
        <w:t xml:space="preserve"> заједницама </w:t>
      </w:r>
      <w:r w:rsidR="00F53D59">
        <w:t>3.597,32</w:t>
      </w:r>
      <w:r>
        <w:t xml:space="preserve"> КМ,</w:t>
      </w:r>
      <w:r w:rsidRPr="00E91322">
        <w:t xml:space="preserve"> трошкове одржавања спомен-</w:t>
      </w:r>
      <w:proofErr w:type="spellStart"/>
      <w:r w:rsidRPr="00E91322">
        <w:t>о</w:t>
      </w:r>
      <w:r>
        <w:t>биљежја</w:t>
      </w:r>
      <w:proofErr w:type="spellEnd"/>
      <w:r>
        <w:t xml:space="preserve"> у </w:t>
      </w:r>
      <w:proofErr w:type="spellStart"/>
      <w:r>
        <w:t>мјесним</w:t>
      </w:r>
      <w:proofErr w:type="spellEnd"/>
      <w:r>
        <w:t xml:space="preserve"> заједницама 6.</w:t>
      </w:r>
      <w:r w:rsidR="00031CC9">
        <w:t>870,00</w:t>
      </w:r>
      <w:r>
        <w:t xml:space="preserve"> КМ,</w:t>
      </w:r>
      <w:r w:rsidR="004468FB">
        <w:rPr>
          <w:lang w:val="sr-Cyrl-RS"/>
        </w:rPr>
        <w:t xml:space="preserve"> </w:t>
      </w:r>
      <w:r w:rsidR="00173280">
        <w:t xml:space="preserve">и </w:t>
      </w:r>
      <w:r w:rsidRPr="00E91322">
        <w:t xml:space="preserve">трошкове текућег одржавања </w:t>
      </w:r>
      <w:r>
        <w:t>објеката и опреме Општинске управе</w:t>
      </w:r>
      <w:r w:rsidRPr="00E91322">
        <w:t xml:space="preserve">, који се </w:t>
      </w:r>
      <w:r>
        <w:t>реализују</w:t>
      </w:r>
      <w:r w:rsidRPr="00E91322">
        <w:t xml:space="preserve"> преко </w:t>
      </w:r>
      <w:proofErr w:type="spellStart"/>
      <w:r>
        <w:t>Одсјека</w:t>
      </w:r>
      <w:proofErr w:type="spellEnd"/>
      <w:r>
        <w:t xml:space="preserve"> </w:t>
      </w:r>
      <w:r w:rsidRPr="00E91322">
        <w:t xml:space="preserve">за </w:t>
      </w:r>
      <w:r>
        <w:t>заједничке послов</w:t>
      </w:r>
      <w:r w:rsidR="00173280">
        <w:t>е у</w:t>
      </w:r>
      <w:r>
        <w:t xml:space="preserve"> износ</w:t>
      </w:r>
      <w:r w:rsidR="00173280">
        <w:t>у</w:t>
      </w:r>
      <w:r>
        <w:t xml:space="preserve"> од </w:t>
      </w:r>
      <w:r w:rsidR="00031CC9">
        <w:t>23.132,20</w:t>
      </w:r>
      <w:r w:rsidR="00173280">
        <w:t xml:space="preserve"> КМ</w:t>
      </w:r>
      <w:r>
        <w:t>.</w:t>
      </w:r>
    </w:p>
    <w:p w14:paraId="1CF1AC1B" w14:textId="77777777" w:rsidR="000C0FD3" w:rsidRDefault="000C0FD3" w:rsidP="000C0FD3"/>
    <w:p w14:paraId="7E6448C5" w14:textId="77777777" w:rsidR="000C0FD3" w:rsidRPr="00DF5760" w:rsidRDefault="000C0FD3" w:rsidP="000C0FD3">
      <w:pPr>
        <w:ind w:left="0" w:firstLine="0"/>
      </w:pPr>
      <w:r>
        <w:rPr>
          <w:b/>
          <w:i/>
        </w:rPr>
        <w:tab/>
      </w:r>
      <w:r w:rsidRPr="00F2518E">
        <w:rPr>
          <w:b/>
          <w:i/>
        </w:rPr>
        <w:t xml:space="preserve">Расходи по основу путовања и </w:t>
      </w:r>
      <w:proofErr w:type="spellStart"/>
      <w:r w:rsidRPr="00F2518E">
        <w:rPr>
          <w:b/>
          <w:i/>
        </w:rPr>
        <w:t>смјештаја</w:t>
      </w:r>
      <w:proofErr w:type="spellEnd"/>
      <w:r w:rsidR="006C5A9C">
        <w:rPr>
          <w:b/>
          <w:i/>
          <w:lang w:val="sr-Cyrl-RS"/>
        </w:rPr>
        <w:t xml:space="preserve"> </w:t>
      </w:r>
      <w:r w:rsidRPr="00DF5760">
        <w:rPr>
          <w:lang w:val="sr-Cyrl-BA"/>
        </w:rPr>
        <w:t>извршени су у износу</w:t>
      </w:r>
      <w:r w:rsidRPr="00DF5760">
        <w:t xml:space="preserve"> од </w:t>
      </w:r>
      <w:r w:rsidR="0060157F">
        <w:t>3.368,45</w:t>
      </w:r>
      <w:r w:rsidRPr="00DF5760">
        <w:t xml:space="preserve"> КМ, што је </w:t>
      </w:r>
      <w:r w:rsidR="0060157F">
        <w:t>48,25</w:t>
      </w:r>
      <w:r>
        <w:t>% од плана</w:t>
      </w:r>
      <w:r w:rsidRPr="00DF5760">
        <w:t xml:space="preserve">. </w:t>
      </w:r>
      <w:r>
        <w:t>Ови расходи о</w:t>
      </w:r>
      <w:r w:rsidRPr="00DF5760">
        <w:t xml:space="preserve">бухватају расходе </w:t>
      </w:r>
      <w:r w:rsidRPr="00DC0509">
        <w:t xml:space="preserve">по основу службених путовања у земљи и иностранству, осим дневница (расходи по основу </w:t>
      </w:r>
      <w:proofErr w:type="spellStart"/>
      <w:r w:rsidRPr="00DC0509">
        <w:t>смјештаја</w:t>
      </w:r>
      <w:proofErr w:type="spellEnd"/>
      <w:r w:rsidRPr="00DC0509">
        <w:t>, превоза) и расходе по основу утрошка горива приликом путовања службеним возилима</w:t>
      </w:r>
      <w:r w:rsidRPr="00DC0509">
        <w:rPr>
          <w:lang w:val="sr-Latn-CS"/>
        </w:rPr>
        <w:t>.</w:t>
      </w:r>
      <w:r w:rsidR="004468FB">
        <w:rPr>
          <w:lang w:val="sr-Cyrl-RS"/>
        </w:rPr>
        <w:t xml:space="preserve"> </w:t>
      </w:r>
      <w:r>
        <w:t xml:space="preserve">На расходе Општинске управе односи се </w:t>
      </w:r>
      <w:r w:rsidR="0060157F">
        <w:t>2.361,90</w:t>
      </w:r>
      <w:r>
        <w:t xml:space="preserve"> КМ, а на расходе екстерних буџетских корисника </w:t>
      </w:r>
      <w:r w:rsidR="0060157F">
        <w:t>1.006,55</w:t>
      </w:r>
      <w:r>
        <w:t xml:space="preserve"> КМ.</w:t>
      </w:r>
    </w:p>
    <w:p w14:paraId="684899E9" w14:textId="77777777" w:rsidR="000C0FD3" w:rsidRPr="00DF5760" w:rsidRDefault="000C0FD3" w:rsidP="000C0FD3">
      <w:pPr>
        <w:ind w:left="0" w:firstLine="0"/>
      </w:pPr>
    </w:p>
    <w:p w14:paraId="444572A9" w14:textId="77777777" w:rsidR="000C0FD3" w:rsidRDefault="000C0FD3" w:rsidP="000C0FD3">
      <w:pPr>
        <w:ind w:left="0" w:firstLine="0"/>
      </w:pPr>
      <w:r>
        <w:rPr>
          <w:b/>
          <w:i/>
        </w:rPr>
        <w:tab/>
      </w:r>
      <w:r w:rsidRPr="00DF5760">
        <w:rPr>
          <w:b/>
          <w:i/>
        </w:rPr>
        <w:t>Расходи за стручне услуге</w:t>
      </w:r>
      <w:r w:rsidRPr="00DF5760">
        <w:t xml:space="preserve"> из</w:t>
      </w:r>
      <w:r w:rsidRPr="00DF5760">
        <w:rPr>
          <w:lang w:val="sr-Cyrl-BA"/>
        </w:rPr>
        <w:t>вршени су у износу</w:t>
      </w:r>
      <w:r w:rsidR="006C5A9C">
        <w:rPr>
          <w:lang w:val="sr-Cyrl-BA"/>
        </w:rPr>
        <w:t xml:space="preserve"> </w:t>
      </w:r>
      <w:r w:rsidRPr="00FB4E32">
        <w:t xml:space="preserve">од </w:t>
      </w:r>
      <w:r w:rsidR="0060157F">
        <w:t>302.627,48</w:t>
      </w:r>
      <w:r w:rsidRPr="00FB4E32">
        <w:t xml:space="preserve"> КМ, </w:t>
      </w:r>
      <w:r w:rsidRPr="00FB4E32">
        <w:rPr>
          <w:lang w:val="sr-Cyrl-BA"/>
        </w:rPr>
        <w:t>што је</w:t>
      </w:r>
      <w:r w:rsidR="004468FB">
        <w:rPr>
          <w:lang w:val="sr-Cyrl-BA"/>
        </w:rPr>
        <w:t xml:space="preserve"> </w:t>
      </w:r>
      <w:r w:rsidR="0060157F">
        <w:t>86,94</w:t>
      </w:r>
      <w:r w:rsidRPr="00FB4E32">
        <w:t xml:space="preserve">% од </w:t>
      </w:r>
      <w:r>
        <w:t xml:space="preserve">планираних </w:t>
      </w:r>
      <w:r w:rsidRPr="00FB4E32">
        <w:t xml:space="preserve">средстава, од чега се на </w:t>
      </w:r>
      <w:r>
        <w:t>Општинску управу односи</w:t>
      </w:r>
      <w:r w:rsidR="004468FB">
        <w:rPr>
          <w:lang w:val="sr-Cyrl-RS"/>
        </w:rPr>
        <w:t xml:space="preserve"> </w:t>
      </w:r>
      <w:r w:rsidR="0060157F">
        <w:t>274.094,73</w:t>
      </w:r>
      <w:r w:rsidRPr="00FB4E32">
        <w:t xml:space="preserve"> КМ, а на екстерне буџетске кориснике </w:t>
      </w:r>
      <w:r w:rsidR="0060157F">
        <w:t>28.532,75</w:t>
      </w:r>
      <w:r w:rsidRPr="00FB4E32">
        <w:t xml:space="preserve"> КМ. </w:t>
      </w:r>
      <w:r>
        <w:t xml:space="preserve">Расходи за стручне услуге обухватају расходе за услуге финансијског посредовања, осигурања, информисања и медија, ревизијске и рачуноводствене </w:t>
      </w:r>
      <w:r>
        <w:lastRenderedPageBreak/>
        <w:t xml:space="preserve">услуге, правне и административне услуге, услуге </w:t>
      </w:r>
      <w:proofErr w:type="spellStart"/>
      <w:r>
        <w:t>процјене</w:t>
      </w:r>
      <w:proofErr w:type="spellEnd"/>
      <w:r>
        <w:t xml:space="preserve"> и </w:t>
      </w:r>
      <w:proofErr w:type="spellStart"/>
      <w:r>
        <w:t>вјештачења</w:t>
      </w:r>
      <w:proofErr w:type="spellEnd"/>
      <w:r>
        <w:t>, компјутерске услуге, образовне, едукативне услуге, услуге израде елабората, студија, пројектне документације и друге стручне услуге. У сљ</w:t>
      </w:r>
      <w:r w:rsidRPr="000C566B">
        <w:t>едећој табели дат је преглед</w:t>
      </w:r>
      <w:r>
        <w:t xml:space="preserve"> позиција које се</w:t>
      </w:r>
      <w:r w:rsidRPr="000C566B">
        <w:t xml:space="preserve"> односе на стручне услуге у оквиру </w:t>
      </w:r>
      <w:r>
        <w:t>Општинске управе општине Прњавор</w:t>
      </w:r>
      <w:r w:rsidRPr="000C566B">
        <w:t>.</w:t>
      </w:r>
    </w:p>
    <w:p w14:paraId="374C9044" w14:textId="77777777" w:rsidR="00047A54" w:rsidRPr="00E97428" w:rsidRDefault="00047A54" w:rsidP="000C0FD3">
      <w:pPr>
        <w:ind w:left="0" w:firstLine="0"/>
        <w:rPr>
          <w:lang w:val="sr-Cyrl-BA"/>
        </w:rPr>
      </w:pPr>
    </w:p>
    <w:p w14:paraId="0F475680" w14:textId="77777777" w:rsidR="0060157F" w:rsidRDefault="0060157F" w:rsidP="0060157F">
      <w:pPr>
        <w:spacing w:before="120"/>
        <w:ind w:left="0" w:right="-794" w:firstLine="0"/>
        <w:jc w:val="center"/>
      </w:pPr>
      <w:r>
        <w:t xml:space="preserve">Табела бр. 4. </w:t>
      </w:r>
      <w:r w:rsidRPr="00DF5760">
        <w:t xml:space="preserve">Преглед </w:t>
      </w:r>
      <w:r>
        <w:t xml:space="preserve">буџетских </w:t>
      </w:r>
      <w:r w:rsidRPr="00DF5760">
        <w:t>позиција које с</w:t>
      </w:r>
      <w:r w:rsidRPr="00DF5760">
        <w:rPr>
          <w:lang w:val="sr-Cyrl-BA"/>
        </w:rPr>
        <w:t>е</w:t>
      </w:r>
      <w:r w:rsidRPr="00DF5760">
        <w:t xml:space="preserve"> односе на стручне услуге </w:t>
      </w:r>
    </w:p>
    <w:p w14:paraId="3ECE1F27" w14:textId="77777777" w:rsidR="0060157F" w:rsidRDefault="0060157F" w:rsidP="0060157F">
      <w:pPr>
        <w:ind w:left="0" w:firstLine="0"/>
        <w:jc w:val="center"/>
      </w:pPr>
      <w:r w:rsidRPr="00DF5760">
        <w:t xml:space="preserve">у оквиру </w:t>
      </w:r>
      <w:r>
        <w:t>Општинске управе општине</w:t>
      </w:r>
      <w:r w:rsidRPr="00DF5760">
        <w:t xml:space="preserve"> Прњаво</w:t>
      </w:r>
      <w:r>
        <w:t>р</w:t>
      </w:r>
    </w:p>
    <w:tbl>
      <w:tblPr>
        <w:tblW w:w="9758" w:type="dxa"/>
        <w:tblLook w:val="04A0" w:firstRow="1" w:lastRow="0" w:firstColumn="1" w:lastColumn="0" w:noHBand="0" w:noVBand="1"/>
      </w:tblPr>
      <w:tblGrid>
        <w:gridCol w:w="571"/>
        <w:gridCol w:w="7344"/>
        <w:gridCol w:w="1843"/>
      </w:tblGrid>
      <w:tr w:rsidR="0060157F" w:rsidRPr="0060157F" w14:paraId="78D0BEBD" w14:textId="77777777" w:rsidTr="004468FB">
        <w:trPr>
          <w:trHeight w:val="499"/>
          <w:tblHeader/>
        </w:trPr>
        <w:tc>
          <w:tcPr>
            <w:tcW w:w="571" w:type="dxa"/>
            <w:tcBorders>
              <w:top w:val="double" w:sz="6" w:space="0" w:color="auto"/>
              <w:left w:val="double" w:sz="6" w:space="0" w:color="auto"/>
              <w:bottom w:val="double" w:sz="6" w:space="0" w:color="auto"/>
              <w:right w:val="single" w:sz="4" w:space="0" w:color="auto"/>
            </w:tcBorders>
            <w:shd w:val="clear" w:color="auto" w:fill="auto"/>
            <w:vAlign w:val="center"/>
            <w:hideMark/>
          </w:tcPr>
          <w:p w14:paraId="048DECEB" w14:textId="77777777" w:rsidR="0060157F" w:rsidRPr="0060157F" w:rsidRDefault="0060157F" w:rsidP="0060157F">
            <w:pPr>
              <w:ind w:left="0" w:right="0" w:firstLine="0"/>
              <w:jc w:val="center"/>
              <w:rPr>
                <w:b/>
                <w:bCs/>
                <w:sz w:val="20"/>
                <w:szCs w:val="20"/>
              </w:rPr>
            </w:pPr>
            <w:proofErr w:type="spellStart"/>
            <w:r w:rsidRPr="0060157F">
              <w:rPr>
                <w:b/>
                <w:bCs/>
                <w:sz w:val="20"/>
                <w:szCs w:val="20"/>
              </w:rPr>
              <w:t>Р.б</w:t>
            </w:r>
            <w:proofErr w:type="spellEnd"/>
            <w:r w:rsidRPr="0060157F">
              <w:rPr>
                <w:b/>
                <w:bCs/>
                <w:sz w:val="20"/>
                <w:szCs w:val="20"/>
              </w:rPr>
              <w:t>.</w:t>
            </w:r>
          </w:p>
        </w:tc>
        <w:tc>
          <w:tcPr>
            <w:tcW w:w="7344" w:type="dxa"/>
            <w:tcBorders>
              <w:top w:val="double" w:sz="6" w:space="0" w:color="auto"/>
              <w:left w:val="nil"/>
              <w:bottom w:val="double" w:sz="6" w:space="0" w:color="auto"/>
              <w:right w:val="single" w:sz="4" w:space="0" w:color="auto"/>
            </w:tcBorders>
            <w:shd w:val="clear" w:color="auto" w:fill="auto"/>
            <w:vAlign w:val="center"/>
            <w:hideMark/>
          </w:tcPr>
          <w:p w14:paraId="53C6AD5D" w14:textId="77777777" w:rsidR="0060157F" w:rsidRPr="0060157F" w:rsidRDefault="0060157F" w:rsidP="0060157F">
            <w:pPr>
              <w:ind w:left="0" w:right="0" w:firstLine="0"/>
              <w:jc w:val="center"/>
              <w:rPr>
                <w:b/>
                <w:bCs/>
                <w:sz w:val="20"/>
                <w:szCs w:val="20"/>
              </w:rPr>
            </w:pPr>
            <w:r w:rsidRPr="0060157F">
              <w:rPr>
                <w:b/>
                <w:bCs/>
                <w:sz w:val="20"/>
                <w:szCs w:val="20"/>
              </w:rPr>
              <w:t>Н а з и в    п о з и ц и ј е</w:t>
            </w:r>
          </w:p>
        </w:tc>
        <w:tc>
          <w:tcPr>
            <w:tcW w:w="1843" w:type="dxa"/>
            <w:tcBorders>
              <w:top w:val="double" w:sz="6" w:space="0" w:color="auto"/>
              <w:left w:val="nil"/>
              <w:bottom w:val="double" w:sz="6" w:space="0" w:color="auto"/>
              <w:right w:val="double" w:sz="6" w:space="0" w:color="auto"/>
            </w:tcBorders>
            <w:shd w:val="clear" w:color="auto" w:fill="auto"/>
            <w:vAlign w:val="center"/>
            <w:hideMark/>
          </w:tcPr>
          <w:p w14:paraId="07F5B942" w14:textId="77777777" w:rsidR="0060157F" w:rsidRPr="0060157F" w:rsidRDefault="0060157F" w:rsidP="0060157F">
            <w:pPr>
              <w:ind w:left="0" w:right="0" w:firstLine="0"/>
              <w:jc w:val="center"/>
              <w:rPr>
                <w:b/>
                <w:bCs/>
                <w:sz w:val="20"/>
                <w:szCs w:val="20"/>
              </w:rPr>
            </w:pPr>
            <w:r w:rsidRPr="0060157F">
              <w:rPr>
                <w:b/>
                <w:bCs/>
                <w:sz w:val="20"/>
                <w:szCs w:val="20"/>
              </w:rPr>
              <w:t>Износ (КМ)</w:t>
            </w:r>
          </w:p>
        </w:tc>
      </w:tr>
      <w:tr w:rsidR="0060157F" w:rsidRPr="0060157F" w14:paraId="1EDD3AA3" w14:textId="77777777" w:rsidTr="00A02418">
        <w:trPr>
          <w:trHeight w:val="284"/>
        </w:trPr>
        <w:tc>
          <w:tcPr>
            <w:tcW w:w="571" w:type="dxa"/>
            <w:tcBorders>
              <w:top w:val="nil"/>
              <w:left w:val="double" w:sz="6" w:space="0" w:color="auto"/>
              <w:bottom w:val="nil"/>
              <w:right w:val="single" w:sz="4" w:space="0" w:color="auto"/>
            </w:tcBorders>
            <w:shd w:val="clear" w:color="auto" w:fill="auto"/>
            <w:vAlign w:val="center"/>
            <w:hideMark/>
          </w:tcPr>
          <w:p w14:paraId="7B32477A" w14:textId="77777777" w:rsidR="0060157F" w:rsidRPr="0060157F" w:rsidRDefault="0060157F" w:rsidP="0060157F">
            <w:pPr>
              <w:ind w:left="0" w:right="0" w:firstLine="0"/>
              <w:jc w:val="center"/>
              <w:rPr>
                <w:sz w:val="20"/>
                <w:szCs w:val="20"/>
              </w:rPr>
            </w:pPr>
            <w:r w:rsidRPr="0060157F">
              <w:rPr>
                <w:sz w:val="20"/>
                <w:szCs w:val="20"/>
              </w:rPr>
              <w:t>1</w:t>
            </w:r>
          </w:p>
        </w:tc>
        <w:tc>
          <w:tcPr>
            <w:tcW w:w="7344" w:type="dxa"/>
            <w:tcBorders>
              <w:top w:val="nil"/>
              <w:left w:val="nil"/>
              <w:bottom w:val="nil"/>
              <w:right w:val="single" w:sz="4" w:space="0" w:color="auto"/>
            </w:tcBorders>
            <w:shd w:val="clear" w:color="auto" w:fill="auto"/>
            <w:vAlign w:val="center"/>
            <w:hideMark/>
          </w:tcPr>
          <w:p w14:paraId="52ED0609" w14:textId="77777777" w:rsidR="0060157F" w:rsidRPr="0060157F" w:rsidRDefault="0060157F" w:rsidP="0060157F">
            <w:pPr>
              <w:ind w:left="0" w:right="0" w:firstLine="0"/>
              <w:jc w:val="left"/>
              <w:rPr>
                <w:sz w:val="20"/>
                <w:szCs w:val="20"/>
              </w:rPr>
            </w:pPr>
            <w:r w:rsidRPr="0060157F">
              <w:rPr>
                <w:sz w:val="20"/>
                <w:szCs w:val="20"/>
              </w:rPr>
              <w:t>Расходи за стручне услуге - Територијална ватрогасна јединица</w:t>
            </w:r>
          </w:p>
        </w:tc>
        <w:tc>
          <w:tcPr>
            <w:tcW w:w="1843" w:type="dxa"/>
            <w:tcBorders>
              <w:top w:val="single" w:sz="4" w:space="0" w:color="auto"/>
              <w:left w:val="nil"/>
              <w:bottom w:val="single" w:sz="4" w:space="0" w:color="auto"/>
              <w:right w:val="double" w:sz="6" w:space="0" w:color="auto"/>
            </w:tcBorders>
            <w:shd w:val="clear" w:color="000000" w:fill="FFFFFF"/>
            <w:noWrap/>
            <w:vAlign w:val="center"/>
            <w:hideMark/>
          </w:tcPr>
          <w:p w14:paraId="6A0D64B4" w14:textId="77777777" w:rsidR="0060157F" w:rsidRPr="0060157F" w:rsidRDefault="0060157F" w:rsidP="0060157F">
            <w:pPr>
              <w:ind w:left="0" w:right="0" w:firstLine="0"/>
              <w:jc w:val="right"/>
              <w:rPr>
                <w:sz w:val="20"/>
                <w:szCs w:val="20"/>
              </w:rPr>
            </w:pPr>
            <w:r w:rsidRPr="0060157F">
              <w:rPr>
                <w:sz w:val="20"/>
                <w:szCs w:val="20"/>
              </w:rPr>
              <w:t>2.277,16</w:t>
            </w:r>
          </w:p>
        </w:tc>
      </w:tr>
      <w:tr w:rsidR="0060157F" w:rsidRPr="0060157F" w14:paraId="0F43F770" w14:textId="77777777" w:rsidTr="00A02418">
        <w:trPr>
          <w:trHeight w:val="284"/>
        </w:trPr>
        <w:tc>
          <w:tcPr>
            <w:tcW w:w="571"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281F529D" w14:textId="77777777" w:rsidR="0060157F" w:rsidRPr="0060157F" w:rsidRDefault="0060157F" w:rsidP="0060157F">
            <w:pPr>
              <w:ind w:left="0" w:right="0" w:firstLine="0"/>
              <w:jc w:val="center"/>
              <w:rPr>
                <w:sz w:val="20"/>
                <w:szCs w:val="20"/>
              </w:rPr>
            </w:pPr>
            <w:r w:rsidRPr="0060157F">
              <w:rPr>
                <w:sz w:val="20"/>
                <w:szCs w:val="20"/>
              </w:rPr>
              <w:t>2</w:t>
            </w:r>
          </w:p>
        </w:tc>
        <w:tc>
          <w:tcPr>
            <w:tcW w:w="7344" w:type="dxa"/>
            <w:tcBorders>
              <w:top w:val="single" w:sz="4" w:space="0" w:color="auto"/>
              <w:left w:val="nil"/>
              <w:bottom w:val="single" w:sz="4" w:space="0" w:color="auto"/>
              <w:right w:val="single" w:sz="4" w:space="0" w:color="auto"/>
            </w:tcBorders>
            <w:shd w:val="clear" w:color="auto" w:fill="auto"/>
            <w:vAlign w:val="center"/>
            <w:hideMark/>
          </w:tcPr>
          <w:p w14:paraId="54B10AE1" w14:textId="77777777" w:rsidR="0060157F" w:rsidRPr="0060157F" w:rsidRDefault="0060157F" w:rsidP="0060157F">
            <w:pPr>
              <w:ind w:left="0" w:right="0" w:firstLine="0"/>
              <w:jc w:val="left"/>
              <w:rPr>
                <w:sz w:val="20"/>
                <w:szCs w:val="20"/>
              </w:rPr>
            </w:pPr>
            <w:r w:rsidRPr="0060157F">
              <w:rPr>
                <w:sz w:val="20"/>
                <w:szCs w:val="20"/>
              </w:rPr>
              <w:t>Уговорене услуге – ИСО стандард</w:t>
            </w:r>
          </w:p>
        </w:tc>
        <w:tc>
          <w:tcPr>
            <w:tcW w:w="1843" w:type="dxa"/>
            <w:tcBorders>
              <w:top w:val="nil"/>
              <w:left w:val="nil"/>
              <w:bottom w:val="single" w:sz="4" w:space="0" w:color="auto"/>
              <w:right w:val="double" w:sz="6" w:space="0" w:color="auto"/>
            </w:tcBorders>
            <w:shd w:val="clear" w:color="000000" w:fill="FFFFFF"/>
            <w:noWrap/>
            <w:vAlign w:val="center"/>
            <w:hideMark/>
          </w:tcPr>
          <w:p w14:paraId="26FB3C45" w14:textId="77777777" w:rsidR="0060157F" w:rsidRPr="0060157F" w:rsidRDefault="0060157F" w:rsidP="0060157F">
            <w:pPr>
              <w:ind w:left="0" w:right="0" w:firstLine="0"/>
              <w:jc w:val="right"/>
              <w:rPr>
                <w:sz w:val="20"/>
                <w:szCs w:val="20"/>
              </w:rPr>
            </w:pPr>
            <w:r w:rsidRPr="0060157F">
              <w:rPr>
                <w:sz w:val="20"/>
                <w:szCs w:val="20"/>
              </w:rPr>
              <w:t>1.760,25</w:t>
            </w:r>
          </w:p>
        </w:tc>
      </w:tr>
      <w:tr w:rsidR="0060157F" w:rsidRPr="0060157F" w14:paraId="5EB9B62A" w14:textId="77777777" w:rsidTr="00A02418">
        <w:trPr>
          <w:trHeight w:val="284"/>
        </w:trPr>
        <w:tc>
          <w:tcPr>
            <w:tcW w:w="571" w:type="dxa"/>
            <w:tcBorders>
              <w:top w:val="nil"/>
              <w:left w:val="double" w:sz="6" w:space="0" w:color="auto"/>
              <w:bottom w:val="single" w:sz="4" w:space="0" w:color="auto"/>
              <w:right w:val="single" w:sz="4" w:space="0" w:color="auto"/>
            </w:tcBorders>
            <w:shd w:val="clear" w:color="auto" w:fill="auto"/>
            <w:noWrap/>
            <w:vAlign w:val="center"/>
            <w:hideMark/>
          </w:tcPr>
          <w:p w14:paraId="3D784B65" w14:textId="77777777" w:rsidR="0060157F" w:rsidRPr="0060157F" w:rsidRDefault="0060157F" w:rsidP="0060157F">
            <w:pPr>
              <w:ind w:left="0" w:right="0" w:firstLine="0"/>
              <w:jc w:val="center"/>
              <w:rPr>
                <w:sz w:val="20"/>
                <w:szCs w:val="20"/>
              </w:rPr>
            </w:pPr>
            <w:r w:rsidRPr="0060157F">
              <w:rPr>
                <w:sz w:val="20"/>
                <w:szCs w:val="20"/>
              </w:rPr>
              <w:t>3</w:t>
            </w:r>
          </w:p>
        </w:tc>
        <w:tc>
          <w:tcPr>
            <w:tcW w:w="7344" w:type="dxa"/>
            <w:tcBorders>
              <w:top w:val="nil"/>
              <w:left w:val="nil"/>
              <w:bottom w:val="single" w:sz="4" w:space="0" w:color="auto"/>
              <w:right w:val="single" w:sz="4" w:space="0" w:color="auto"/>
            </w:tcBorders>
            <w:shd w:val="clear" w:color="auto" w:fill="auto"/>
            <w:vAlign w:val="center"/>
            <w:hideMark/>
          </w:tcPr>
          <w:p w14:paraId="4AF13503" w14:textId="77777777" w:rsidR="0060157F" w:rsidRPr="0060157F" w:rsidRDefault="0060157F" w:rsidP="0060157F">
            <w:pPr>
              <w:ind w:left="0" w:right="0" w:firstLine="0"/>
              <w:jc w:val="left"/>
              <w:rPr>
                <w:sz w:val="20"/>
                <w:szCs w:val="20"/>
              </w:rPr>
            </w:pPr>
            <w:r w:rsidRPr="0060157F">
              <w:rPr>
                <w:sz w:val="20"/>
                <w:szCs w:val="20"/>
              </w:rPr>
              <w:t xml:space="preserve">Трошкови </w:t>
            </w:r>
            <w:proofErr w:type="spellStart"/>
            <w:r w:rsidRPr="0060157F">
              <w:rPr>
                <w:sz w:val="20"/>
                <w:szCs w:val="20"/>
              </w:rPr>
              <w:t>мртвозорника</w:t>
            </w:r>
            <w:proofErr w:type="spellEnd"/>
          </w:p>
        </w:tc>
        <w:tc>
          <w:tcPr>
            <w:tcW w:w="1843" w:type="dxa"/>
            <w:tcBorders>
              <w:top w:val="nil"/>
              <w:left w:val="nil"/>
              <w:bottom w:val="single" w:sz="4" w:space="0" w:color="auto"/>
              <w:right w:val="double" w:sz="6" w:space="0" w:color="auto"/>
            </w:tcBorders>
            <w:shd w:val="clear" w:color="000000" w:fill="FFFFFF"/>
            <w:noWrap/>
            <w:vAlign w:val="center"/>
            <w:hideMark/>
          </w:tcPr>
          <w:p w14:paraId="228B8D55" w14:textId="77777777" w:rsidR="0060157F" w:rsidRPr="0060157F" w:rsidRDefault="0060157F" w:rsidP="0060157F">
            <w:pPr>
              <w:ind w:left="0" w:right="0" w:firstLine="0"/>
              <w:jc w:val="right"/>
              <w:rPr>
                <w:sz w:val="20"/>
                <w:szCs w:val="20"/>
              </w:rPr>
            </w:pPr>
            <w:r w:rsidRPr="0060157F">
              <w:rPr>
                <w:sz w:val="20"/>
                <w:szCs w:val="20"/>
              </w:rPr>
              <w:t>14.437,63</w:t>
            </w:r>
          </w:p>
        </w:tc>
      </w:tr>
      <w:tr w:rsidR="0060157F" w:rsidRPr="0060157F" w14:paraId="775B0B16" w14:textId="77777777" w:rsidTr="00A02418">
        <w:trPr>
          <w:trHeight w:val="284"/>
        </w:trPr>
        <w:tc>
          <w:tcPr>
            <w:tcW w:w="571" w:type="dxa"/>
            <w:tcBorders>
              <w:top w:val="nil"/>
              <w:left w:val="double" w:sz="6" w:space="0" w:color="auto"/>
              <w:bottom w:val="single" w:sz="4" w:space="0" w:color="auto"/>
              <w:right w:val="single" w:sz="4" w:space="0" w:color="auto"/>
            </w:tcBorders>
            <w:shd w:val="clear" w:color="auto" w:fill="auto"/>
            <w:noWrap/>
            <w:vAlign w:val="center"/>
            <w:hideMark/>
          </w:tcPr>
          <w:p w14:paraId="158E639E" w14:textId="77777777" w:rsidR="0060157F" w:rsidRPr="0060157F" w:rsidRDefault="0060157F" w:rsidP="0060157F">
            <w:pPr>
              <w:ind w:left="0" w:right="0" w:firstLine="0"/>
              <w:jc w:val="center"/>
              <w:rPr>
                <w:sz w:val="20"/>
                <w:szCs w:val="20"/>
              </w:rPr>
            </w:pPr>
            <w:r w:rsidRPr="0060157F">
              <w:rPr>
                <w:sz w:val="20"/>
                <w:szCs w:val="20"/>
              </w:rPr>
              <w:t>4</w:t>
            </w:r>
          </w:p>
        </w:tc>
        <w:tc>
          <w:tcPr>
            <w:tcW w:w="7344" w:type="dxa"/>
            <w:tcBorders>
              <w:top w:val="nil"/>
              <w:left w:val="nil"/>
              <w:bottom w:val="single" w:sz="4" w:space="0" w:color="auto"/>
              <w:right w:val="single" w:sz="4" w:space="0" w:color="auto"/>
            </w:tcBorders>
            <w:shd w:val="clear" w:color="auto" w:fill="auto"/>
            <w:noWrap/>
            <w:vAlign w:val="center"/>
            <w:hideMark/>
          </w:tcPr>
          <w:p w14:paraId="12906FA1" w14:textId="77777777" w:rsidR="0060157F" w:rsidRPr="0060157F" w:rsidRDefault="0060157F" w:rsidP="0060157F">
            <w:pPr>
              <w:ind w:left="0" w:right="0" w:firstLine="0"/>
              <w:jc w:val="left"/>
              <w:rPr>
                <w:sz w:val="20"/>
                <w:szCs w:val="20"/>
              </w:rPr>
            </w:pPr>
            <w:r w:rsidRPr="0060157F">
              <w:rPr>
                <w:sz w:val="20"/>
                <w:szCs w:val="20"/>
              </w:rPr>
              <w:t>Трошкови банкарских услуга</w:t>
            </w:r>
          </w:p>
        </w:tc>
        <w:tc>
          <w:tcPr>
            <w:tcW w:w="1843" w:type="dxa"/>
            <w:tcBorders>
              <w:top w:val="nil"/>
              <w:left w:val="nil"/>
              <w:bottom w:val="single" w:sz="4" w:space="0" w:color="auto"/>
              <w:right w:val="double" w:sz="6" w:space="0" w:color="auto"/>
            </w:tcBorders>
            <w:shd w:val="clear" w:color="000000" w:fill="FFFFFF"/>
            <w:noWrap/>
            <w:vAlign w:val="center"/>
            <w:hideMark/>
          </w:tcPr>
          <w:p w14:paraId="4A17350D" w14:textId="77777777" w:rsidR="0060157F" w:rsidRPr="0060157F" w:rsidRDefault="0060157F" w:rsidP="0060157F">
            <w:pPr>
              <w:ind w:left="0" w:right="0" w:firstLine="0"/>
              <w:jc w:val="right"/>
              <w:rPr>
                <w:sz w:val="20"/>
                <w:szCs w:val="20"/>
              </w:rPr>
            </w:pPr>
            <w:r w:rsidRPr="0060157F">
              <w:rPr>
                <w:sz w:val="20"/>
                <w:szCs w:val="20"/>
              </w:rPr>
              <w:t>4.281,07</w:t>
            </w:r>
          </w:p>
        </w:tc>
      </w:tr>
      <w:tr w:rsidR="0060157F" w:rsidRPr="0060157F" w14:paraId="41ACD7EC" w14:textId="77777777" w:rsidTr="00A02418">
        <w:trPr>
          <w:trHeight w:val="284"/>
        </w:trPr>
        <w:tc>
          <w:tcPr>
            <w:tcW w:w="571" w:type="dxa"/>
            <w:tcBorders>
              <w:top w:val="nil"/>
              <w:left w:val="double" w:sz="6" w:space="0" w:color="auto"/>
              <w:bottom w:val="single" w:sz="4" w:space="0" w:color="auto"/>
              <w:right w:val="single" w:sz="4" w:space="0" w:color="auto"/>
            </w:tcBorders>
            <w:shd w:val="clear" w:color="auto" w:fill="auto"/>
            <w:noWrap/>
            <w:vAlign w:val="center"/>
            <w:hideMark/>
          </w:tcPr>
          <w:p w14:paraId="7AC54340" w14:textId="77777777" w:rsidR="0060157F" w:rsidRPr="0060157F" w:rsidRDefault="0060157F" w:rsidP="0060157F">
            <w:pPr>
              <w:ind w:left="0" w:right="0" w:firstLine="0"/>
              <w:jc w:val="center"/>
              <w:rPr>
                <w:sz w:val="20"/>
                <w:szCs w:val="20"/>
              </w:rPr>
            </w:pPr>
            <w:r w:rsidRPr="0060157F">
              <w:rPr>
                <w:sz w:val="20"/>
                <w:szCs w:val="20"/>
              </w:rPr>
              <w:t>5</w:t>
            </w:r>
          </w:p>
        </w:tc>
        <w:tc>
          <w:tcPr>
            <w:tcW w:w="7344" w:type="dxa"/>
            <w:tcBorders>
              <w:top w:val="nil"/>
              <w:left w:val="nil"/>
              <w:bottom w:val="single" w:sz="4" w:space="0" w:color="auto"/>
              <w:right w:val="single" w:sz="4" w:space="0" w:color="auto"/>
            </w:tcBorders>
            <w:shd w:val="clear" w:color="auto" w:fill="auto"/>
            <w:noWrap/>
            <w:vAlign w:val="center"/>
            <w:hideMark/>
          </w:tcPr>
          <w:p w14:paraId="7CB1DC9E" w14:textId="77777777" w:rsidR="0060157F" w:rsidRPr="0060157F" w:rsidRDefault="0060157F" w:rsidP="0060157F">
            <w:pPr>
              <w:ind w:left="0" w:right="0" w:firstLine="0"/>
              <w:jc w:val="left"/>
              <w:rPr>
                <w:sz w:val="20"/>
                <w:szCs w:val="20"/>
              </w:rPr>
            </w:pPr>
            <w:r w:rsidRPr="0060157F">
              <w:rPr>
                <w:sz w:val="20"/>
                <w:szCs w:val="20"/>
              </w:rPr>
              <w:t>Услуге из области информисања – медијско праћење</w:t>
            </w:r>
          </w:p>
        </w:tc>
        <w:tc>
          <w:tcPr>
            <w:tcW w:w="1843" w:type="dxa"/>
            <w:tcBorders>
              <w:top w:val="nil"/>
              <w:left w:val="nil"/>
              <w:bottom w:val="single" w:sz="4" w:space="0" w:color="auto"/>
              <w:right w:val="double" w:sz="6" w:space="0" w:color="auto"/>
            </w:tcBorders>
            <w:shd w:val="clear" w:color="000000" w:fill="FFFFFF"/>
            <w:noWrap/>
            <w:vAlign w:val="center"/>
            <w:hideMark/>
          </w:tcPr>
          <w:p w14:paraId="4E6988AB" w14:textId="77777777" w:rsidR="0060157F" w:rsidRPr="0060157F" w:rsidRDefault="0060157F" w:rsidP="0060157F">
            <w:pPr>
              <w:ind w:left="0" w:right="0" w:firstLine="0"/>
              <w:jc w:val="right"/>
              <w:rPr>
                <w:sz w:val="20"/>
                <w:szCs w:val="20"/>
              </w:rPr>
            </w:pPr>
            <w:r w:rsidRPr="0060157F">
              <w:rPr>
                <w:sz w:val="20"/>
                <w:szCs w:val="20"/>
              </w:rPr>
              <w:t>67.017,63</w:t>
            </w:r>
          </w:p>
        </w:tc>
      </w:tr>
      <w:tr w:rsidR="0060157F" w:rsidRPr="0060157F" w14:paraId="1EF20717" w14:textId="77777777" w:rsidTr="00A02418">
        <w:trPr>
          <w:trHeight w:val="284"/>
        </w:trPr>
        <w:tc>
          <w:tcPr>
            <w:tcW w:w="571" w:type="dxa"/>
            <w:tcBorders>
              <w:top w:val="nil"/>
              <w:left w:val="double" w:sz="6" w:space="0" w:color="auto"/>
              <w:bottom w:val="single" w:sz="4" w:space="0" w:color="auto"/>
              <w:right w:val="single" w:sz="4" w:space="0" w:color="auto"/>
            </w:tcBorders>
            <w:shd w:val="clear" w:color="auto" w:fill="auto"/>
            <w:noWrap/>
            <w:vAlign w:val="center"/>
            <w:hideMark/>
          </w:tcPr>
          <w:p w14:paraId="1EE43D5F" w14:textId="77777777" w:rsidR="0060157F" w:rsidRPr="0060157F" w:rsidRDefault="0060157F" w:rsidP="0060157F">
            <w:pPr>
              <w:ind w:left="0" w:right="0" w:firstLine="0"/>
              <w:jc w:val="center"/>
              <w:rPr>
                <w:sz w:val="20"/>
                <w:szCs w:val="20"/>
              </w:rPr>
            </w:pPr>
            <w:r w:rsidRPr="0060157F">
              <w:rPr>
                <w:sz w:val="20"/>
                <w:szCs w:val="20"/>
              </w:rPr>
              <w:t>6</w:t>
            </w:r>
          </w:p>
        </w:tc>
        <w:tc>
          <w:tcPr>
            <w:tcW w:w="7344" w:type="dxa"/>
            <w:tcBorders>
              <w:top w:val="nil"/>
              <w:left w:val="nil"/>
              <w:bottom w:val="single" w:sz="4" w:space="0" w:color="auto"/>
              <w:right w:val="single" w:sz="4" w:space="0" w:color="auto"/>
            </w:tcBorders>
            <w:shd w:val="clear" w:color="auto" w:fill="auto"/>
            <w:vAlign w:val="center"/>
            <w:hideMark/>
          </w:tcPr>
          <w:p w14:paraId="351327AD" w14:textId="77777777" w:rsidR="0060157F" w:rsidRPr="0060157F" w:rsidRDefault="0060157F" w:rsidP="0060157F">
            <w:pPr>
              <w:ind w:left="0" w:right="0" w:firstLine="0"/>
              <w:jc w:val="left"/>
              <w:rPr>
                <w:sz w:val="20"/>
                <w:szCs w:val="20"/>
              </w:rPr>
            </w:pPr>
            <w:r w:rsidRPr="0060157F">
              <w:rPr>
                <w:sz w:val="20"/>
                <w:szCs w:val="20"/>
              </w:rPr>
              <w:t xml:space="preserve">Трошкови </w:t>
            </w:r>
            <w:proofErr w:type="spellStart"/>
            <w:r w:rsidRPr="0060157F">
              <w:rPr>
                <w:sz w:val="20"/>
                <w:szCs w:val="20"/>
              </w:rPr>
              <w:t>премјера</w:t>
            </w:r>
            <w:proofErr w:type="spellEnd"/>
            <w:r w:rsidRPr="0060157F">
              <w:rPr>
                <w:sz w:val="20"/>
                <w:szCs w:val="20"/>
              </w:rPr>
              <w:t xml:space="preserve"> и успостављања катастра непокретности и остале стручне услуге у оквиру </w:t>
            </w:r>
            <w:proofErr w:type="spellStart"/>
            <w:r w:rsidRPr="0060157F">
              <w:rPr>
                <w:sz w:val="20"/>
                <w:szCs w:val="20"/>
              </w:rPr>
              <w:t>Одјељења</w:t>
            </w:r>
            <w:proofErr w:type="spellEnd"/>
            <w:r w:rsidRPr="0060157F">
              <w:rPr>
                <w:sz w:val="20"/>
                <w:szCs w:val="20"/>
              </w:rPr>
              <w:t xml:space="preserve"> за просторно уређење</w:t>
            </w:r>
          </w:p>
        </w:tc>
        <w:tc>
          <w:tcPr>
            <w:tcW w:w="1843" w:type="dxa"/>
            <w:tcBorders>
              <w:top w:val="nil"/>
              <w:left w:val="nil"/>
              <w:bottom w:val="single" w:sz="4" w:space="0" w:color="auto"/>
              <w:right w:val="double" w:sz="6" w:space="0" w:color="auto"/>
            </w:tcBorders>
            <w:shd w:val="clear" w:color="000000" w:fill="FFFFFF"/>
            <w:noWrap/>
            <w:vAlign w:val="center"/>
            <w:hideMark/>
          </w:tcPr>
          <w:p w14:paraId="3AE5DA3C" w14:textId="77777777" w:rsidR="0060157F" w:rsidRPr="0060157F" w:rsidRDefault="0060157F" w:rsidP="0060157F">
            <w:pPr>
              <w:ind w:left="0" w:right="0" w:firstLine="0"/>
              <w:jc w:val="right"/>
              <w:rPr>
                <w:sz w:val="20"/>
                <w:szCs w:val="20"/>
              </w:rPr>
            </w:pPr>
            <w:r w:rsidRPr="0060157F">
              <w:rPr>
                <w:sz w:val="20"/>
                <w:szCs w:val="20"/>
              </w:rPr>
              <w:t>11.561,17</w:t>
            </w:r>
          </w:p>
        </w:tc>
      </w:tr>
      <w:tr w:rsidR="0060157F" w:rsidRPr="0060157F" w14:paraId="3252273A" w14:textId="77777777" w:rsidTr="00A02418">
        <w:trPr>
          <w:trHeight w:val="284"/>
        </w:trPr>
        <w:tc>
          <w:tcPr>
            <w:tcW w:w="571" w:type="dxa"/>
            <w:tcBorders>
              <w:top w:val="nil"/>
              <w:left w:val="double" w:sz="6" w:space="0" w:color="auto"/>
              <w:bottom w:val="single" w:sz="4" w:space="0" w:color="auto"/>
              <w:right w:val="single" w:sz="4" w:space="0" w:color="auto"/>
            </w:tcBorders>
            <w:shd w:val="clear" w:color="auto" w:fill="auto"/>
            <w:noWrap/>
            <w:vAlign w:val="center"/>
            <w:hideMark/>
          </w:tcPr>
          <w:p w14:paraId="4606C849" w14:textId="77777777" w:rsidR="0060157F" w:rsidRPr="0060157F" w:rsidRDefault="0060157F" w:rsidP="0060157F">
            <w:pPr>
              <w:ind w:left="0" w:right="0" w:firstLine="0"/>
              <w:jc w:val="center"/>
              <w:rPr>
                <w:sz w:val="20"/>
                <w:szCs w:val="20"/>
              </w:rPr>
            </w:pPr>
            <w:r w:rsidRPr="0060157F">
              <w:rPr>
                <w:sz w:val="20"/>
                <w:szCs w:val="20"/>
              </w:rPr>
              <w:t>7</w:t>
            </w:r>
          </w:p>
        </w:tc>
        <w:tc>
          <w:tcPr>
            <w:tcW w:w="7344" w:type="dxa"/>
            <w:tcBorders>
              <w:top w:val="nil"/>
              <w:left w:val="nil"/>
              <w:bottom w:val="single" w:sz="4" w:space="0" w:color="auto"/>
              <w:right w:val="single" w:sz="4" w:space="0" w:color="auto"/>
            </w:tcBorders>
            <w:shd w:val="clear" w:color="auto" w:fill="auto"/>
            <w:vAlign w:val="center"/>
            <w:hideMark/>
          </w:tcPr>
          <w:p w14:paraId="0D3E6493" w14:textId="77777777" w:rsidR="0060157F" w:rsidRPr="0060157F" w:rsidRDefault="0060157F" w:rsidP="0060157F">
            <w:pPr>
              <w:ind w:left="0" w:right="0" w:firstLine="0"/>
              <w:jc w:val="left"/>
              <w:rPr>
                <w:sz w:val="20"/>
                <w:szCs w:val="20"/>
              </w:rPr>
            </w:pPr>
            <w:r w:rsidRPr="0060157F">
              <w:rPr>
                <w:sz w:val="20"/>
                <w:szCs w:val="20"/>
              </w:rPr>
              <w:t>Израда регулационих и урбанистичких планова, пројеката, програма и студија</w:t>
            </w:r>
          </w:p>
        </w:tc>
        <w:tc>
          <w:tcPr>
            <w:tcW w:w="1843" w:type="dxa"/>
            <w:tcBorders>
              <w:top w:val="nil"/>
              <w:left w:val="nil"/>
              <w:bottom w:val="single" w:sz="4" w:space="0" w:color="auto"/>
              <w:right w:val="double" w:sz="6" w:space="0" w:color="auto"/>
            </w:tcBorders>
            <w:shd w:val="clear" w:color="000000" w:fill="FFFFFF"/>
            <w:noWrap/>
            <w:vAlign w:val="center"/>
            <w:hideMark/>
          </w:tcPr>
          <w:p w14:paraId="2DA51CE4" w14:textId="77777777" w:rsidR="0060157F" w:rsidRPr="0060157F" w:rsidRDefault="0060157F" w:rsidP="0060157F">
            <w:pPr>
              <w:ind w:left="0" w:right="0" w:firstLine="0"/>
              <w:jc w:val="right"/>
              <w:rPr>
                <w:sz w:val="20"/>
                <w:szCs w:val="20"/>
              </w:rPr>
            </w:pPr>
            <w:r w:rsidRPr="0060157F">
              <w:rPr>
                <w:sz w:val="20"/>
                <w:szCs w:val="20"/>
              </w:rPr>
              <w:t>4.083,30</w:t>
            </w:r>
          </w:p>
        </w:tc>
      </w:tr>
      <w:tr w:rsidR="0060157F" w:rsidRPr="0060157F" w14:paraId="76B8D6CF" w14:textId="77777777" w:rsidTr="00A02418">
        <w:trPr>
          <w:trHeight w:val="284"/>
        </w:trPr>
        <w:tc>
          <w:tcPr>
            <w:tcW w:w="571" w:type="dxa"/>
            <w:tcBorders>
              <w:top w:val="nil"/>
              <w:left w:val="double" w:sz="6" w:space="0" w:color="auto"/>
              <w:bottom w:val="single" w:sz="4" w:space="0" w:color="auto"/>
              <w:right w:val="single" w:sz="4" w:space="0" w:color="auto"/>
            </w:tcBorders>
            <w:shd w:val="clear" w:color="auto" w:fill="auto"/>
            <w:noWrap/>
            <w:vAlign w:val="center"/>
            <w:hideMark/>
          </w:tcPr>
          <w:p w14:paraId="14B7B217" w14:textId="77777777" w:rsidR="0060157F" w:rsidRPr="0060157F" w:rsidRDefault="0060157F" w:rsidP="0060157F">
            <w:pPr>
              <w:ind w:left="0" w:right="0" w:firstLine="0"/>
              <w:jc w:val="center"/>
              <w:rPr>
                <w:sz w:val="20"/>
                <w:szCs w:val="20"/>
              </w:rPr>
            </w:pPr>
            <w:r w:rsidRPr="0060157F">
              <w:rPr>
                <w:sz w:val="20"/>
                <w:szCs w:val="20"/>
              </w:rPr>
              <w:t>8</w:t>
            </w:r>
          </w:p>
        </w:tc>
        <w:tc>
          <w:tcPr>
            <w:tcW w:w="7344" w:type="dxa"/>
            <w:tcBorders>
              <w:top w:val="nil"/>
              <w:left w:val="nil"/>
              <w:bottom w:val="single" w:sz="4" w:space="0" w:color="auto"/>
              <w:right w:val="single" w:sz="4" w:space="0" w:color="auto"/>
            </w:tcBorders>
            <w:shd w:val="clear" w:color="auto" w:fill="auto"/>
            <w:vAlign w:val="center"/>
            <w:hideMark/>
          </w:tcPr>
          <w:p w14:paraId="6637E3E9" w14:textId="77777777" w:rsidR="0060157F" w:rsidRPr="0060157F" w:rsidRDefault="0060157F" w:rsidP="0060157F">
            <w:pPr>
              <w:ind w:left="0" w:right="0" w:firstLine="0"/>
              <w:jc w:val="left"/>
              <w:rPr>
                <w:sz w:val="20"/>
                <w:szCs w:val="20"/>
              </w:rPr>
            </w:pPr>
            <w:r w:rsidRPr="0060157F">
              <w:rPr>
                <w:sz w:val="20"/>
                <w:szCs w:val="20"/>
              </w:rPr>
              <w:t xml:space="preserve">Геодетске и остале стручне услуге у оквиру </w:t>
            </w:r>
            <w:proofErr w:type="spellStart"/>
            <w:r w:rsidRPr="0060157F">
              <w:rPr>
                <w:sz w:val="20"/>
                <w:szCs w:val="20"/>
              </w:rPr>
              <w:t>Одјељења</w:t>
            </w:r>
            <w:proofErr w:type="spellEnd"/>
            <w:r w:rsidRPr="0060157F">
              <w:rPr>
                <w:sz w:val="20"/>
                <w:szCs w:val="20"/>
              </w:rPr>
              <w:t xml:space="preserve"> за </w:t>
            </w:r>
            <w:r w:rsidRPr="0060157F">
              <w:rPr>
                <w:sz w:val="20"/>
                <w:szCs w:val="20"/>
              </w:rPr>
              <w:br/>
              <w:t>стамбено-комуналне послове и инвестиције</w:t>
            </w:r>
          </w:p>
        </w:tc>
        <w:tc>
          <w:tcPr>
            <w:tcW w:w="1843" w:type="dxa"/>
            <w:tcBorders>
              <w:top w:val="nil"/>
              <w:left w:val="nil"/>
              <w:bottom w:val="single" w:sz="4" w:space="0" w:color="auto"/>
              <w:right w:val="double" w:sz="6" w:space="0" w:color="auto"/>
            </w:tcBorders>
            <w:shd w:val="clear" w:color="000000" w:fill="FFFFFF"/>
            <w:noWrap/>
            <w:vAlign w:val="center"/>
            <w:hideMark/>
          </w:tcPr>
          <w:p w14:paraId="092F4D65" w14:textId="77777777" w:rsidR="0060157F" w:rsidRPr="0060157F" w:rsidRDefault="0060157F" w:rsidP="0060157F">
            <w:pPr>
              <w:ind w:left="0" w:right="0" w:firstLine="0"/>
              <w:jc w:val="right"/>
              <w:rPr>
                <w:sz w:val="20"/>
                <w:szCs w:val="20"/>
              </w:rPr>
            </w:pPr>
            <w:r w:rsidRPr="0060157F">
              <w:rPr>
                <w:sz w:val="20"/>
                <w:szCs w:val="20"/>
              </w:rPr>
              <w:t>8.410,95</w:t>
            </w:r>
          </w:p>
        </w:tc>
      </w:tr>
      <w:tr w:rsidR="0060157F" w:rsidRPr="0060157F" w14:paraId="0F858D72" w14:textId="77777777" w:rsidTr="00A02418">
        <w:trPr>
          <w:trHeight w:val="284"/>
        </w:trPr>
        <w:tc>
          <w:tcPr>
            <w:tcW w:w="571" w:type="dxa"/>
            <w:tcBorders>
              <w:top w:val="nil"/>
              <w:left w:val="double" w:sz="6" w:space="0" w:color="auto"/>
              <w:bottom w:val="single" w:sz="4" w:space="0" w:color="auto"/>
              <w:right w:val="single" w:sz="4" w:space="0" w:color="auto"/>
            </w:tcBorders>
            <w:shd w:val="clear" w:color="auto" w:fill="auto"/>
            <w:noWrap/>
            <w:vAlign w:val="center"/>
            <w:hideMark/>
          </w:tcPr>
          <w:p w14:paraId="2C15A91A" w14:textId="77777777" w:rsidR="0060157F" w:rsidRPr="0060157F" w:rsidRDefault="0060157F" w:rsidP="0060157F">
            <w:pPr>
              <w:ind w:left="0" w:right="0" w:firstLine="0"/>
              <w:jc w:val="center"/>
              <w:rPr>
                <w:sz w:val="20"/>
                <w:szCs w:val="20"/>
              </w:rPr>
            </w:pPr>
            <w:r w:rsidRPr="0060157F">
              <w:rPr>
                <w:sz w:val="20"/>
                <w:szCs w:val="20"/>
              </w:rPr>
              <w:t>9</w:t>
            </w:r>
          </w:p>
        </w:tc>
        <w:tc>
          <w:tcPr>
            <w:tcW w:w="7344" w:type="dxa"/>
            <w:tcBorders>
              <w:top w:val="nil"/>
              <w:left w:val="nil"/>
              <w:bottom w:val="single" w:sz="4" w:space="0" w:color="auto"/>
              <w:right w:val="single" w:sz="4" w:space="0" w:color="auto"/>
            </w:tcBorders>
            <w:shd w:val="clear" w:color="auto" w:fill="auto"/>
            <w:noWrap/>
            <w:vAlign w:val="center"/>
            <w:hideMark/>
          </w:tcPr>
          <w:p w14:paraId="5605257B" w14:textId="77777777" w:rsidR="0060157F" w:rsidRPr="0060157F" w:rsidRDefault="0060157F" w:rsidP="0060157F">
            <w:pPr>
              <w:ind w:left="0" w:right="0" w:firstLine="0"/>
              <w:jc w:val="left"/>
              <w:rPr>
                <w:sz w:val="20"/>
                <w:szCs w:val="20"/>
              </w:rPr>
            </w:pPr>
            <w:r w:rsidRPr="0060157F">
              <w:rPr>
                <w:sz w:val="20"/>
                <w:szCs w:val="20"/>
              </w:rPr>
              <w:t>Програм превентивне здравствене заштите становништва</w:t>
            </w:r>
          </w:p>
        </w:tc>
        <w:tc>
          <w:tcPr>
            <w:tcW w:w="1843" w:type="dxa"/>
            <w:tcBorders>
              <w:top w:val="nil"/>
              <w:left w:val="nil"/>
              <w:bottom w:val="single" w:sz="4" w:space="0" w:color="auto"/>
              <w:right w:val="double" w:sz="6" w:space="0" w:color="auto"/>
            </w:tcBorders>
            <w:shd w:val="clear" w:color="000000" w:fill="FFFFFF"/>
            <w:noWrap/>
            <w:vAlign w:val="center"/>
            <w:hideMark/>
          </w:tcPr>
          <w:p w14:paraId="1E7BD420" w14:textId="77777777" w:rsidR="0060157F" w:rsidRPr="0060157F" w:rsidRDefault="0060157F" w:rsidP="0060157F">
            <w:pPr>
              <w:ind w:left="0" w:right="0" w:firstLine="0"/>
              <w:jc w:val="right"/>
              <w:rPr>
                <w:sz w:val="20"/>
                <w:szCs w:val="20"/>
              </w:rPr>
            </w:pPr>
            <w:r w:rsidRPr="0060157F">
              <w:rPr>
                <w:sz w:val="20"/>
                <w:szCs w:val="20"/>
              </w:rPr>
              <w:t>7.314,00</w:t>
            </w:r>
          </w:p>
        </w:tc>
      </w:tr>
      <w:tr w:rsidR="0060157F" w:rsidRPr="0060157F" w14:paraId="7707E5D8" w14:textId="77777777" w:rsidTr="00A02418">
        <w:trPr>
          <w:trHeight w:val="284"/>
        </w:trPr>
        <w:tc>
          <w:tcPr>
            <w:tcW w:w="571" w:type="dxa"/>
            <w:tcBorders>
              <w:top w:val="nil"/>
              <w:left w:val="double" w:sz="6" w:space="0" w:color="auto"/>
              <w:bottom w:val="single" w:sz="4" w:space="0" w:color="auto"/>
              <w:right w:val="single" w:sz="4" w:space="0" w:color="auto"/>
            </w:tcBorders>
            <w:shd w:val="clear" w:color="auto" w:fill="auto"/>
            <w:noWrap/>
            <w:vAlign w:val="center"/>
            <w:hideMark/>
          </w:tcPr>
          <w:p w14:paraId="118FFC46" w14:textId="77777777" w:rsidR="0060157F" w:rsidRPr="0060157F" w:rsidRDefault="0060157F" w:rsidP="0060157F">
            <w:pPr>
              <w:ind w:left="0" w:right="0" w:firstLine="0"/>
              <w:jc w:val="center"/>
              <w:rPr>
                <w:sz w:val="20"/>
                <w:szCs w:val="20"/>
              </w:rPr>
            </w:pPr>
            <w:r w:rsidRPr="0060157F">
              <w:rPr>
                <w:sz w:val="20"/>
                <w:szCs w:val="20"/>
              </w:rPr>
              <w:t>10</w:t>
            </w:r>
          </w:p>
        </w:tc>
        <w:tc>
          <w:tcPr>
            <w:tcW w:w="7344" w:type="dxa"/>
            <w:tcBorders>
              <w:top w:val="nil"/>
              <w:left w:val="nil"/>
              <w:bottom w:val="single" w:sz="4" w:space="0" w:color="auto"/>
              <w:right w:val="single" w:sz="4" w:space="0" w:color="auto"/>
            </w:tcBorders>
            <w:shd w:val="clear" w:color="auto" w:fill="auto"/>
            <w:vAlign w:val="center"/>
            <w:hideMark/>
          </w:tcPr>
          <w:p w14:paraId="5BCDC333" w14:textId="77777777" w:rsidR="0060157F" w:rsidRPr="0060157F" w:rsidRDefault="0060157F" w:rsidP="0060157F">
            <w:pPr>
              <w:ind w:left="0" w:right="0" w:firstLine="0"/>
              <w:jc w:val="left"/>
              <w:rPr>
                <w:sz w:val="20"/>
                <w:szCs w:val="20"/>
              </w:rPr>
            </w:pPr>
            <w:r w:rsidRPr="0060157F">
              <w:rPr>
                <w:sz w:val="20"/>
                <w:szCs w:val="20"/>
              </w:rPr>
              <w:t>Средства за збрињавање и нешкодљиво одстрањивање паса луталица  – азил</w:t>
            </w:r>
          </w:p>
        </w:tc>
        <w:tc>
          <w:tcPr>
            <w:tcW w:w="1843" w:type="dxa"/>
            <w:tcBorders>
              <w:top w:val="nil"/>
              <w:left w:val="nil"/>
              <w:bottom w:val="single" w:sz="4" w:space="0" w:color="auto"/>
              <w:right w:val="double" w:sz="6" w:space="0" w:color="auto"/>
            </w:tcBorders>
            <w:shd w:val="clear" w:color="000000" w:fill="FFFFFF"/>
            <w:noWrap/>
            <w:vAlign w:val="center"/>
            <w:hideMark/>
          </w:tcPr>
          <w:p w14:paraId="7FC65716" w14:textId="77777777" w:rsidR="0060157F" w:rsidRPr="0060157F" w:rsidRDefault="0060157F" w:rsidP="0060157F">
            <w:pPr>
              <w:ind w:left="0" w:right="0" w:firstLine="0"/>
              <w:jc w:val="right"/>
              <w:rPr>
                <w:sz w:val="20"/>
                <w:szCs w:val="20"/>
              </w:rPr>
            </w:pPr>
            <w:r w:rsidRPr="0060157F">
              <w:rPr>
                <w:sz w:val="20"/>
                <w:szCs w:val="20"/>
              </w:rPr>
              <w:t>14.932,72</w:t>
            </w:r>
          </w:p>
        </w:tc>
      </w:tr>
      <w:tr w:rsidR="0060157F" w:rsidRPr="0060157F" w14:paraId="2550C1F9" w14:textId="77777777" w:rsidTr="00A02418">
        <w:trPr>
          <w:trHeight w:val="284"/>
        </w:trPr>
        <w:tc>
          <w:tcPr>
            <w:tcW w:w="571" w:type="dxa"/>
            <w:tcBorders>
              <w:top w:val="nil"/>
              <w:left w:val="double" w:sz="6" w:space="0" w:color="auto"/>
              <w:bottom w:val="single" w:sz="4" w:space="0" w:color="auto"/>
              <w:right w:val="single" w:sz="4" w:space="0" w:color="auto"/>
            </w:tcBorders>
            <w:shd w:val="clear" w:color="auto" w:fill="auto"/>
            <w:noWrap/>
            <w:vAlign w:val="center"/>
            <w:hideMark/>
          </w:tcPr>
          <w:p w14:paraId="05097D3E" w14:textId="77777777" w:rsidR="0060157F" w:rsidRPr="0060157F" w:rsidRDefault="0060157F" w:rsidP="0060157F">
            <w:pPr>
              <w:ind w:left="0" w:right="0" w:firstLine="0"/>
              <w:jc w:val="center"/>
              <w:rPr>
                <w:sz w:val="20"/>
                <w:szCs w:val="20"/>
              </w:rPr>
            </w:pPr>
            <w:r w:rsidRPr="0060157F">
              <w:rPr>
                <w:sz w:val="20"/>
                <w:szCs w:val="20"/>
              </w:rPr>
              <w:t>11</w:t>
            </w:r>
          </w:p>
        </w:tc>
        <w:tc>
          <w:tcPr>
            <w:tcW w:w="7344" w:type="dxa"/>
            <w:tcBorders>
              <w:top w:val="nil"/>
              <w:left w:val="nil"/>
              <w:bottom w:val="single" w:sz="4" w:space="0" w:color="auto"/>
              <w:right w:val="single" w:sz="4" w:space="0" w:color="auto"/>
            </w:tcBorders>
            <w:shd w:val="clear" w:color="auto" w:fill="auto"/>
            <w:vAlign w:val="center"/>
            <w:hideMark/>
          </w:tcPr>
          <w:p w14:paraId="58166B0B" w14:textId="77777777" w:rsidR="0060157F" w:rsidRPr="0060157F" w:rsidRDefault="0060157F" w:rsidP="0060157F">
            <w:pPr>
              <w:ind w:left="0" w:right="0" w:firstLine="0"/>
              <w:jc w:val="left"/>
              <w:rPr>
                <w:sz w:val="20"/>
                <w:szCs w:val="20"/>
              </w:rPr>
            </w:pPr>
            <w:r w:rsidRPr="0060157F">
              <w:rPr>
                <w:sz w:val="20"/>
                <w:szCs w:val="20"/>
              </w:rPr>
              <w:t xml:space="preserve">Расходи за стручне услуге (извршење </w:t>
            </w:r>
            <w:proofErr w:type="spellStart"/>
            <w:r w:rsidRPr="0060157F">
              <w:rPr>
                <w:sz w:val="20"/>
                <w:szCs w:val="20"/>
              </w:rPr>
              <w:t>рјешења</w:t>
            </w:r>
            <w:proofErr w:type="spellEnd"/>
            <w:r w:rsidRPr="0060157F">
              <w:rPr>
                <w:sz w:val="20"/>
                <w:szCs w:val="20"/>
              </w:rPr>
              <w:t>,  мониторинг загађујућих материја у животној средини)</w:t>
            </w:r>
          </w:p>
        </w:tc>
        <w:tc>
          <w:tcPr>
            <w:tcW w:w="1843" w:type="dxa"/>
            <w:tcBorders>
              <w:top w:val="nil"/>
              <w:left w:val="nil"/>
              <w:bottom w:val="single" w:sz="4" w:space="0" w:color="auto"/>
              <w:right w:val="double" w:sz="6" w:space="0" w:color="auto"/>
            </w:tcBorders>
            <w:shd w:val="clear" w:color="000000" w:fill="FFFFFF"/>
            <w:noWrap/>
            <w:vAlign w:val="center"/>
            <w:hideMark/>
          </w:tcPr>
          <w:p w14:paraId="6F1575B0" w14:textId="77777777" w:rsidR="0060157F" w:rsidRPr="0060157F" w:rsidRDefault="0060157F" w:rsidP="0060157F">
            <w:pPr>
              <w:ind w:left="0" w:right="0" w:firstLine="0"/>
              <w:jc w:val="right"/>
              <w:rPr>
                <w:sz w:val="20"/>
                <w:szCs w:val="20"/>
              </w:rPr>
            </w:pPr>
            <w:r w:rsidRPr="0060157F">
              <w:rPr>
                <w:sz w:val="20"/>
                <w:szCs w:val="20"/>
              </w:rPr>
              <w:t>3.510,00</w:t>
            </w:r>
          </w:p>
        </w:tc>
      </w:tr>
      <w:tr w:rsidR="0060157F" w:rsidRPr="0060157F" w14:paraId="765FEFC9" w14:textId="77777777" w:rsidTr="00A02418">
        <w:trPr>
          <w:trHeight w:val="284"/>
        </w:trPr>
        <w:tc>
          <w:tcPr>
            <w:tcW w:w="571" w:type="dxa"/>
            <w:tcBorders>
              <w:top w:val="nil"/>
              <w:left w:val="double" w:sz="6" w:space="0" w:color="auto"/>
              <w:bottom w:val="single" w:sz="4" w:space="0" w:color="auto"/>
              <w:right w:val="single" w:sz="4" w:space="0" w:color="auto"/>
            </w:tcBorders>
            <w:shd w:val="clear" w:color="auto" w:fill="auto"/>
            <w:noWrap/>
            <w:vAlign w:val="center"/>
            <w:hideMark/>
          </w:tcPr>
          <w:p w14:paraId="262E29A0" w14:textId="77777777" w:rsidR="0060157F" w:rsidRPr="0060157F" w:rsidRDefault="0060157F" w:rsidP="0060157F">
            <w:pPr>
              <w:ind w:left="0" w:right="0" w:firstLine="0"/>
              <w:jc w:val="center"/>
              <w:rPr>
                <w:sz w:val="20"/>
                <w:szCs w:val="20"/>
              </w:rPr>
            </w:pPr>
            <w:r w:rsidRPr="0060157F">
              <w:rPr>
                <w:sz w:val="20"/>
                <w:szCs w:val="20"/>
              </w:rPr>
              <w:t>12</w:t>
            </w:r>
          </w:p>
        </w:tc>
        <w:tc>
          <w:tcPr>
            <w:tcW w:w="7344" w:type="dxa"/>
            <w:tcBorders>
              <w:top w:val="nil"/>
              <w:left w:val="nil"/>
              <w:bottom w:val="nil"/>
              <w:right w:val="single" w:sz="4" w:space="0" w:color="auto"/>
            </w:tcBorders>
            <w:shd w:val="clear" w:color="auto" w:fill="auto"/>
            <w:vAlign w:val="center"/>
            <w:hideMark/>
          </w:tcPr>
          <w:p w14:paraId="53FFB37E" w14:textId="77777777" w:rsidR="0060157F" w:rsidRPr="0060157F" w:rsidRDefault="0060157F" w:rsidP="0060157F">
            <w:pPr>
              <w:ind w:left="0" w:right="0" w:firstLine="0"/>
              <w:jc w:val="left"/>
              <w:rPr>
                <w:sz w:val="20"/>
                <w:szCs w:val="20"/>
              </w:rPr>
            </w:pPr>
            <w:r w:rsidRPr="0060157F">
              <w:rPr>
                <w:sz w:val="20"/>
                <w:szCs w:val="20"/>
              </w:rPr>
              <w:t xml:space="preserve">Расходи за стручне услуге Општинске управе </w:t>
            </w:r>
            <w:r w:rsidRPr="0060157F">
              <w:rPr>
                <w:sz w:val="20"/>
                <w:szCs w:val="20"/>
              </w:rPr>
              <w:br/>
              <w:t xml:space="preserve">у оквиру </w:t>
            </w:r>
            <w:proofErr w:type="spellStart"/>
            <w:r w:rsidRPr="0060157F">
              <w:rPr>
                <w:sz w:val="20"/>
                <w:szCs w:val="20"/>
              </w:rPr>
              <w:t>Одсјека</w:t>
            </w:r>
            <w:proofErr w:type="spellEnd"/>
            <w:r w:rsidRPr="0060157F">
              <w:rPr>
                <w:sz w:val="20"/>
                <w:szCs w:val="20"/>
              </w:rPr>
              <w:t xml:space="preserve"> за заједничке послове</w:t>
            </w:r>
          </w:p>
        </w:tc>
        <w:tc>
          <w:tcPr>
            <w:tcW w:w="1843" w:type="dxa"/>
            <w:tcBorders>
              <w:top w:val="nil"/>
              <w:left w:val="nil"/>
              <w:bottom w:val="nil"/>
              <w:right w:val="double" w:sz="6" w:space="0" w:color="auto"/>
            </w:tcBorders>
            <w:shd w:val="clear" w:color="000000" w:fill="FFFFFF"/>
            <w:noWrap/>
            <w:vAlign w:val="center"/>
            <w:hideMark/>
          </w:tcPr>
          <w:p w14:paraId="1395D6D9" w14:textId="77777777" w:rsidR="0060157F" w:rsidRPr="0060157F" w:rsidRDefault="0060157F" w:rsidP="0060157F">
            <w:pPr>
              <w:ind w:left="0" w:right="0" w:firstLine="0"/>
              <w:jc w:val="right"/>
              <w:rPr>
                <w:sz w:val="20"/>
                <w:szCs w:val="20"/>
              </w:rPr>
            </w:pPr>
            <w:r w:rsidRPr="0060157F">
              <w:rPr>
                <w:sz w:val="20"/>
                <w:szCs w:val="20"/>
              </w:rPr>
              <w:t>45.715,56</w:t>
            </w:r>
          </w:p>
        </w:tc>
      </w:tr>
      <w:tr w:rsidR="0060157F" w:rsidRPr="0060157F" w14:paraId="67C36721" w14:textId="77777777" w:rsidTr="00A02418">
        <w:trPr>
          <w:trHeight w:val="284"/>
        </w:trPr>
        <w:tc>
          <w:tcPr>
            <w:tcW w:w="571" w:type="dxa"/>
            <w:tcBorders>
              <w:top w:val="nil"/>
              <w:left w:val="double" w:sz="6" w:space="0" w:color="auto"/>
              <w:bottom w:val="single" w:sz="4" w:space="0" w:color="auto"/>
              <w:right w:val="single" w:sz="4" w:space="0" w:color="auto"/>
            </w:tcBorders>
            <w:shd w:val="clear" w:color="auto" w:fill="auto"/>
            <w:noWrap/>
            <w:vAlign w:val="center"/>
            <w:hideMark/>
          </w:tcPr>
          <w:p w14:paraId="597EF19F" w14:textId="77777777" w:rsidR="0060157F" w:rsidRPr="0060157F" w:rsidRDefault="0060157F" w:rsidP="0060157F">
            <w:pPr>
              <w:ind w:left="0" w:right="0" w:firstLine="0"/>
              <w:jc w:val="center"/>
              <w:rPr>
                <w:sz w:val="20"/>
                <w:szCs w:val="20"/>
              </w:rPr>
            </w:pPr>
            <w:r w:rsidRPr="0060157F">
              <w:rPr>
                <w:sz w:val="20"/>
                <w:szCs w:val="20"/>
              </w:rPr>
              <w:t>13</w:t>
            </w:r>
          </w:p>
        </w:tc>
        <w:tc>
          <w:tcPr>
            <w:tcW w:w="7344" w:type="dxa"/>
            <w:tcBorders>
              <w:top w:val="single" w:sz="4" w:space="0" w:color="auto"/>
              <w:left w:val="nil"/>
              <w:bottom w:val="single" w:sz="4" w:space="0" w:color="auto"/>
              <w:right w:val="single" w:sz="4" w:space="0" w:color="auto"/>
            </w:tcBorders>
            <w:shd w:val="clear" w:color="auto" w:fill="auto"/>
            <w:vAlign w:val="center"/>
            <w:hideMark/>
          </w:tcPr>
          <w:p w14:paraId="7608477C" w14:textId="77777777" w:rsidR="0060157F" w:rsidRPr="0060157F" w:rsidRDefault="0060157F" w:rsidP="0060157F">
            <w:pPr>
              <w:ind w:left="0" w:right="0" w:firstLine="0"/>
              <w:jc w:val="left"/>
              <w:rPr>
                <w:sz w:val="20"/>
                <w:szCs w:val="20"/>
              </w:rPr>
            </w:pPr>
            <w:r w:rsidRPr="0060157F">
              <w:rPr>
                <w:sz w:val="20"/>
                <w:szCs w:val="20"/>
              </w:rPr>
              <w:t xml:space="preserve">Расходи за стручне услуге у оквиру </w:t>
            </w:r>
            <w:proofErr w:type="spellStart"/>
            <w:r w:rsidRPr="0060157F">
              <w:rPr>
                <w:sz w:val="20"/>
                <w:szCs w:val="20"/>
              </w:rPr>
              <w:t>Одсјека</w:t>
            </w:r>
            <w:proofErr w:type="spellEnd"/>
            <w:r w:rsidRPr="0060157F">
              <w:rPr>
                <w:sz w:val="20"/>
                <w:szCs w:val="20"/>
              </w:rPr>
              <w:t xml:space="preserve"> за јавне набавке, правна питања и прописе</w:t>
            </w:r>
          </w:p>
        </w:tc>
        <w:tc>
          <w:tcPr>
            <w:tcW w:w="1843" w:type="dxa"/>
            <w:tcBorders>
              <w:top w:val="single" w:sz="4" w:space="0" w:color="auto"/>
              <w:left w:val="nil"/>
              <w:bottom w:val="single" w:sz="4" w:space="0" w:color="auto"/>
              <w:right w:val="double" w:sz="6" w:space="0" w:color="auto"/>
            </w:tcBorders>
            <w:shd w:val="clear" w:color="000000" w:fill="FFFFFF"/>
            <w:noWrap/>
            <w:vAlign w:val="center"/>
            <w:hideMark/>
          </w:tcPr>
          <w:p w14:paraId="36AB6160" w14:textId="77777777" w:rsidR="0060157F" w:rsidRPr="0060157F" w:rsidRDefault="0060157F" w:rsidP="0060157F">
            <w:pPr>
              <w:ind w:left="0" w:right="0" w:firstLine="0"/>
              <w:jc w:val="right"/>
              <w:rPr>
                <w:sz w:val="20"/>
                <w:szCs w:val="20"/>
              </w:rPr>
            </w:pPr>
            <w:r w:rsidRPr="0060157F">
              <w:rPr>
                <w:sz w:val="20"/>
                <w:szCs w:val="20"/>
              </w:rPr>
              <w:t>34.049,29</w:t>
            </w:r>
          </w:p>
        </w:tc>
      </w:tr>
      <w:tr w:rsidR="0060157F" w:rsidRPr="0060157F" w14:paraId="4B72AA97" w14:textId="77777777" w:rsidTr="00A02418">
        <w:trPr>
          <w:trHeight w:val="284"/>
        </w:trPr>
        <w:tc>
          <w:tcPr>
            <w:tcW w:w="571" w:type="dxa"/>
            <w:tcBorders>
              <w:top w:val="nil"/>
              <w:left w:val="double" w:sz="6" w:space="0" w:color="auto"/>
              <w:bottom w:val="single" w:sz="4" w:space="0" w:color="auto"/>
              <w:right w:val="single" w:sz="4" w:space="0" w:color="auto"/>
            </w:tcBorders>
            <w:shd w:val="clear" w:color="auto" w:fill="auto"/>
            <w:noWrap/>
            <w:vAlign w:val="center"/>
            <w:hideMark/>
          </w:tcPr>
          <w:p w14:paraId="4E585339" w14:textId="77777777" w:rsidR="0060157F" w:rsidRPr="0060157F" w:rsidRDefault="0060157F" w:rsidP="0060157F">
            <w:pPr>
              <w:ind w:left="0" w:right="0" w:firstLine="0"/>
              <w:jc w:val="center"/>
              <w:rPr>
                <w:sz w:val="20"/>
                <w:szCs w:val="20"/>
              </w:rPr>
            </w:pPr>
            <w:r w:rsidRPr="0060157F">
              <w:rPr>
                <w:sz w:val="20"/>
                <w:szCs w:val="20"/>
              </w:rPr>
              <w:t>14</w:t>
            </w:r>
          </w:p>
        </w:tc>
        <w:tc>
          <w:tcPr>
            <w:tcW w:w="7344" w:type="dxa"/>
            <w:tcBorders>
              <w:top w:val="nil"/>
              <w:left w:val="nil"/>
              <w:bottom w:val="single" w:sz="4" w:space="0" w:color="auto"/>
              <w:right w:val="single" w:sz="4" w:space="0" w:color="auto"/>
            </w:tcBorders>
            <w:shd w:val="clear" w:color="auto" w:fill="auto"/>
            <w:noWrap/>
            <w:vAlign w:val="center"/>
            <w:hideMark/>
          </w:tcPr>
          <w:p w14:paraId="2D7DA3AD" w14:textId="77777777" w:rsidR="0060157F" w:rsidRPr="0060157F" w:rsidRDefault="0060157F" w:rsidP="0060157F">
            <w:pPr>
              <w:ind w:left="0" w:right="0" w:firstLine="0"/>
              <w:jc w:val="left"/>
              <w:rPr>
                <w:sz w:val="20"/>
                <w:szCs w:val="20"/>
              </w:rPr>
            </w:pPr>
            <w:r w:rsidRPr="0060157F">
              <w:rPr>
                <w:sz w:val="20"/>
                <w:szCs w:val="20"/>
              </w:rPr>
              <w:t>Трошкови противградне заштите</w:t>
            </w:r>
          </w:p>
        </w:tc>
        <w:tc>
          <w:tcPr>
            <w:tcW w:w="1843" w:type="dxa"/>
            <w:tcBorders>
              <w:top w:val="nil"/>
              <w:left w:val="nil"/>
              <w:bottom w:val="single" w:sz="4" w:space="0" w:color="auto"/>
              <w:right w:val="double" w:sz="6" w:space="0" w:color="auto"/>
            </w:tcBorders>
            <w:shd w:val="clear" w:color="000000" w:fill="FFFFFF"/>
            <w:noWrap/>
            <w:vAlign w:val="center"/>
            <w:hideMark/>
          </w:tcPr>
          <w:p w14:paraId="47FCE1E3" w14:textId="77777777" w:rsidR="0060157F" w:rsidRPr="0060157F" w:rsidRDefault="0060157F" w:rsidP="0060157F">
            <w:pPr>
              <w:ind w:left="0" w:right="0" w:firstLine="0"/>
              <w:jc w:val="right"/>
              <w:rPr>
                <w:sz w:val="20"/>
                <w:szCs w:val="20"/>
              </w:rPr>
            </w:pPr>
            <w:r w:rsidRPr="0060157F">
              <w:rPr>
                <w:sz w:val="20"/>
                <w:szCs w:val="20"/>
              </w:rPr>
              <w:t>51.000,00</w:t>
            </w:r>
          </w:p>
        </w:tc>
      </w:tr>
      <w:tr w:rsidR="0060157F" w:rsidRPr="0060157F" w14:paraId="7E4D1AA6" w14:textId="77777777" w:rsidTr="00A02418">
        <w:trPr>
          <w:trHeight w:val="284"/>
        </w:trPr>
        <w:tc>
          <w:tcPr>
            <w:tcW w:w="571" w:type="dxa"/>
            <w:tcBorders>
              <w:top w:val="nil"/>
              <w:left w:val="double" w:sz="6" w:space="0" w:color="auto"/>
              <w:bottom w:val="nil"/>
              <w:right w:val="single" w:sz="4" w:space="0" w:color="auto"/>
            </w:tcBorders>
            <w:shd w:val="clear" w:color="auto" w:fill="auto"/>
            <w:noWrap/>
            <w:vAlign w:val="center"/>
            <w:hideMark/>
          </w:tcPr>
          <w:p w14:paraId="090736A1" w14:textId="77777777" w:rsidR="0060157F" w:rsidRPr="0060157F" w:rsidRDefault="0060157F" w:rsidP="0060157F">
            <w:pPr>
              <w:ind w:left="0" w:right="0" w:firstLine="0"/>
              <w:jc w:val="center"/>
              <w:rPr>
                <w:sz w:val="20"/>
                <w:szCs w:val="20"/>
              </w:rPr>
            </w:pPr>
            <w:r w:rsidRPr="0060157F">
              <w:rPr>
                <w:sz w:val="20"/>
                <w:szCs w:val="20"/>
              </w:rPr>
              <w:t>15</w:t>
            </w:r>
          </w:p>
        </w:tc>
        <w:tc>
          <w:tcPr>
            <w:tcW w:w="7344" w:type="dxa"/>
            <w:tcBorders>
              <w:top w:val="nil"/>
              <w:left w:val="nil"/>
              <w:bottom w:val="nil"/>
              <w:right w:val="single" w:sz="4" w:space="0" w:color="auto"/>
            </w:tcBorders>
            <w:shd w:val="clear" w:color="auto" w:fill="auto"/>
            <w:vAlign w:val="center"/>
            <w:hideMark/>
          </w:tcPr>
          <w:p w14:paraId="74C774CF" w14:textId="77777777" w:rsidR="0060157F" w:rsidRPr="0060157F" w:rsidRDefault="0060157F" w:rsidP="0060157F">
            <w:pPr>
              <w:ind w:left="0" w:right="0" w:firstLine="0"/>
              <w:jc w:val="left"/>
              <w:rPr>
                <w:sz w:val="20"/>
                <w:szCs w:val="20"/>
              </w:rPr>
            </w:pPr>
            <w:r w:rsidRPr="0060157F">
              <w:rPr>
                <w:sz w:val="20"/>
                <w:szCs w:val="20"/>
              </w:rPr>
              <w:t xml:space="preserve">Израда елабората, студија, пројеката из </w:t>
            </w:r>
            <w:proofErr w:type="spellStart"/>
            <w:r w:rsidRPr="0060157F">
              <w:rPr>
                <w:sz w:val="20"/>
                <w:szCs w:val="20"/>
              </w:rPr>
              <w:t>намјенских</w:t>
            </w:r>
            <w:proofErr w:type="spellEnd"/>
            <w:r w:rsidRPr="0060157F">
              <w:rPr>
                <w:sz w:val="20"/>
                <w:szCs w:val="20"/>
              </w:rPr>
              <w:t xml:space="preserve"> средстава за воде</w:t>
            </w:r>
          </w:p>
        </w:tc>
        <w:tc>
          <w:tcPr>
            <w:tcW w:w="1843" w:type="dxa"/>
            <w:tcBorders>
              <w:top w:val="nil"/>
              <w:left w:val="nil"/>
              <w:bottom w:val="nil"/>
              <w:right w:val="double" w:sz="6" w:space="0" w:color="auto"/>
            </w:tcBorders>
            <w:shd w:val="clear" w:color="000000" w:fill="FFFFFF"/>
            <w:noWrap/>
            <w:vAlign w:val="center"/>
            <w:hideMark/>
          </w:tcPr>
          <w:p w14:paraId="22D91D7D" w14:textId="77777777" w:rsidR="0060157F" w:rsidRPr="0060157F" w:rsidRDefault="0060157F" w:rsidP="0060157F">
            <w:pPr>
              <w:ind w:left="0" w:right="0" w:firstLine="0"/>
              <w:jc w:val="right"/>
              <w:rPr>
                <w:sz w:val="20"/>
                <w:szCs w:val="20"/>
              </w:rPr>
            </w:pPr>
            <w:r w:rsidRPr="0060157F">
              <w:rPr>
                <w:sz w:val="20"/>
                <w:szCs w:val="20"/>
              </w:rPr>
              <w:t>3.744,00</w:t>
            </w:r>
          </w:p>
        </w:tc>
      </w:tr>
      <w:tr w:rsidR="0060157F" w:rsidRPr="0060157F" w14:paraId="5DC788EF" w14:textId="77777777" w:rsidTr="00A02418">
        <w:trPr>
          <w:trHeight w:val="405"/>
        </w:trPr>
        <w:tc>
          <w:tcPr>
            <w:tcW w:w="7915" w:type="dxa"/>
            <w:gridSpan w:val="2"/>
            <w:tcBorders>
              <w:top w:val="double" w:sz="6" w:space="0" w:color="auto"/>
              <w:left w:val="double" w:sz="6" w:space="0" w:color="auto"/>
              <w:bottom w:val="double" w:sz="6" w:space="0" w:color="auto"/>
              <w:right w:val="single" w:sz="4" w:space="0" w:color="auto"/>
            </w:tcBorders>
            <w:shd w:val="clear" w:color="auto" w:fill="auto"/>
            <w:vAlign w:val="center"/>
            <w:hideMark/>
          </w:tcPr>
          <w:p w14:paraId="6F045520" w14:textId="77777777" w:rsidR="0060157F" w:rsidRPr="0060157F" w:rsidRDefault="0060157F" w:rsidP="0060157F">
            <w:pPr>
              <w:ind w:left="0" w:right="0" w:firstLine="0"/>
              <w:jc w:val="center"/>
              <w:rPr>
                <w:b/>
                <w:bCs/>
                <w:sz w:val="20"/>
                <w:szCs w:val="20"/>
              </w:rPr>
            </w:pPr>
            <w:r w:rsidRPr="0060157F">
              <w:rPr>
                <w:b/>
                <w:bCs/>
                <w:sz w:val="20"/>
                <w:szCs w:val="20"/>
              </w:rPr>
              <w:t>У К У П Н О</w:t>
            </w:r>
          </w:p>
        </w:tc>
        <w:tc>
          <w:tcPr>
            <w:tcW w:w="1843" w:type="dxa"/>
            <w:tcBorders>
              <w:top w:val="double" w:sz="6" w:space="0" w:color="auto"/>
              <w:left w:val="nil"/>
              <w:bottom w:val="double" w:sz="6" w:space="0" w:color="auto"/>
              <w:right w:val="double" w:sz="6" w:space="0" w:color="auto"/>
            </w:tcBorders>
            <w:shd w:val="clear" w:color="auto" w:fill="auto"/>
            <w:noWrap/>
            <w:vAlign w:val="center"/>
            <w:hideMark/>
          </w:tcPr>
          <w:p w14:paraId="1442B286" w14:textId="77777777" w:rsidR="0060157F" w:rsidRPr="0060157F" w:rsidRDefault="0060157F" w:rsidP="0060157F">
            <w:pPr>
              <w:ind w:left="0" w:right="0" w:firstLine="0"/>
              <w:jc w:val="right"/>
              <w:rPr>
                <w:b/>
                <w:bCs/>
                <w:sz w:val="20"/>
                <w:szCs w:val="20"/>
              </w:rPr>
            </w:pPr>
            <w:r w:rsidRPr="0060157F">
              <w:rPr>
                <w:b/>
                <w:bCs/>
                <w:sz w:val="20"/>
                <w:szCs w:val="20"/>
              </w:rPr>
              <w:t>274.094,73</w:t>
            </w:r>
          </w:p>
        </w:tc>
      </w:tr>
    </w:tbl>
    <w:p w14:paraId="4ADD12E3" w14:textId="77777777" w:rsidR="0060157F" w:rsidRPr="000C566B" w:rsidRDefault="0060157F" w:rsidP="0060157F">
      <w:pPr>
        <w:ind w:left="0" w:firstLine="0"/>
        <w:jc w:val="center"/>
      </w:pPr>
    </w:p>
    <w:p w14:paraId="1E2A750B" w14:textId="77777777" w:rsidR="00A02418" w:rsidRDefault="00A02418" w:rsidP="00A02418">
      <w:pPr>
        <w:ind w:left="0" w:right="-792" w:firstLine="720"/>
      </w:pPr>
      <w:r>
        <w:t xml:space="preserve">Као што се види из претходне табеле, највећи трошкови се односе на услуге из области информисања – медијско праћење који су реализовани у износу од 67.017,63 КМ, трошкове противградне заштите у износу од 51.000,00 КМ, расходе за стручне услуге Општинске управе који се евидентирају у оквиру </w:t>
      </w:r>
      <w:proofErr w:type="spellStart"/>
      <w:r>
        <w:t>Одсјека</w:t>
      </w:r>
      <w:proofErr w:type="spellEnd"/>
      <w:r>
        <w:t xml:space="preserve"> </w:t>
      </w:r>
      <w:r w:rsidR="007F7808">
        <w:rPr>
          <w:lang w:val="sr-Cyrl-RS"/>
        </w:rPr>
        <w:t xml:space="preserve">за </w:t>
      </w:r>
      <w:r>
        <w:t xml:space="preserve">заједничке послове </w:t>
      </w:r>
      <w:r w:rsidRPr="009C4C63">
        <w:t>(</w:t>
      </w:r>
      <w:r w:rsidRPr="009C4C63">
        <w:rPr>
          <w:lang w:eastAsia="en-US"/>
        </w:rPr>
        <w:t>трошкови осигурања возила</w:t>
      </w:r>
      <w:r w:rsidR="003D3353">
        <w:rPr>
          <w:lang w:eastAsia="en-US"/>
        </w:rPr>
        <w:t xml:space="preserve"> и </w:t>
      </w:r>
      <w:r>
        <w:rPr>
          <w:lang w:eastAsia="en-US"/>
        </w:rPr>
        <w:t>запослених</w:t>
      </w:r>
      <w:r w:rsidRPr="009C4C63">
        <w:rPr>
          <w:lang w:eastAsia="en-US"/>
        </w:rPr>
        <w:t xml:space="preserve">, </w:t>
      </w:r>
      <w:r w:rsidRPr="009C4C63">
        <w:t>услуге штампања</w:t>
      </w:r>
      <w:r>
        <w:rPr>
          <w:lang w:val="sr-Cyrl-BA"/>
        </w:rPr>
        <w:t xml:space="preserve">, </w:t>
      </w:r>
      <w:r>
        <w:rPr>
          <w:lang w:eastAsia="en-US"/>
        </w:rPr>
        <w:t>услуге одржавања рачунара, рачунарских</w:t>
      </w:r>
      <w:r w:rsidR="004468FB">
        <w:rPr>
          <w:lang w:val="sr-Cyrl-RS" w:eastAsia="en-US"/>
        </w:rPr>
        <w:t xml:space="preserve"> </w:t>
      </w:r>
      <w:r>
        <w:rPr>
          <w:lang w:eastAsia="en-US"/>
        </w:rPr>
        <w:t>програма, лиценци, остале компјутерске услуге</w:t>
      </w:r>
      <w:r w:rsidRPr="009C4C63">
        <w:t xml:space="preserve"> и</w:t>
      </w:r>
      <w:r>
        <w:t xml:space="preserve"> др</w:t>
      </w:r>
      <w:r w:rsidRPr="009C4C63">
        <w:t>.)</w:t>
      </w:r>
      <w:r>
        <w:t xml:space="preserve"> који су остварени у износу од 45.715,56 КМ и расходе за стручне услуге </w:t>
      </w:r>
      <w:proofErr w:type="spellStart"/>
      <w:r>
        <w:t>Одсјека</w:t>
      </w:r>
      <w:proofErr w:type="spellEnd"/>
      <w:r>
        <w:t xml:space="preserve"> </w:t>
      </w:r>
      <w:r w:rsidRPr="001128CD">
        <w:t>за јавне набавке, правна питања и прописе</w:t>
      </w:r>
      <w:r>
        <w:rPr>
          <w:lang w:eastAsia="en-US"/>
        </w:rPr>
        <w:t xml:space="preserve"> који су остварени у износу од 34.049,29 КМ, а односе се на услуге штампања, копирања, објављивања тендера и огласа, остале услуге информисања и медија, преводилачке услуге, услуге </w:t>
      </w:r>
      <w:proofErr w:type="spellStart"/>
      <w:r>
        <w:rPr>
          <w:lang w:eastAsia="en-US"/>
        </w:rPr>
        <w:t>вјештачења</w:t>
      </w:r>
      <w:proofErr w:type="spellEnd"/>
      <w:r>
        <w:rPr>
          <w:lang w:eastAsia="en-US"/>
        </w:rPr>
        <w:t xml:space="preserve"> и др.</w:t>
      </w:r>
    </w:p>
    <w:p w14:paraId="5DD8F405" w14:textId="77777777" w:rsidR="00A02418" w:rsidRDefault="00A02418" w:rsidP="00A02418">
      <w:pPr>
        <w:ind w:left="0" w:right="-792" w:firstLine="0"/>
        <w:rPr>
          <w:b/>
          <w:i/>
        </w:rPr>
      </w:pPr>
    </w:p>
    <w:p w14:paraId="67165987" w14:textId="77777777" w:rsidR="00A02418" w:rsidRPr="00DF5760" w:rsidRDefault="00A02418" w:rsidP="00A02418">
      <w:pPr>
        <w:ind w:left="0" w:right="-792" w:firstLine="720"/>
        <w:rPr>
          <w:lang w:val="sr-Latn-CS"/>
        </w:rPr>
      </w:pPr>
      <w:r w:rsidRPr="00DF5760">
        <w:rPr>
          <w:b/>
          <w:i/>
        </w:rPr>
        <w:t>Расходи</w:t>
      </w:r>
      <w:r w:rsidR="00E97428">
        <w:rPr>
          <w:b/>
          <w:i/>
          <w:lang w:val="sr-Cyrl-BA"/>
        </w:rPr>
        <w:t xml:space="preserve"> </w:t>
      </w:r>
      <w:r w:rsidRPr="00DF5760">
        <w:rPr>
          <w:b/>
          <w:i/>
        </w:rPr>
        <w:t>за услуге одржавања јавних површина и заштите животне средине</w:t>
      </w:r>
      <w:r w:rsidRPr="00DF5760">
        <w:t xml:space="preserve"> су извршени у износу од </w:t>
      </w:r>
      <w:r w:rsidR="003D3353">
        <w:t>603.354,35</w:t>
      </w:r>
      <w:r w:rsidR="00DC1A3F">
        <w:rPr>
          <w:lang w:val="sr-Cyrl-RS"/>
        </w:rPr>
        <w:t xml:space="preserve"> </w:t>
      </w:r>
      <w:r w:rsidRPr="00DF5760">
        <w:t xml:space="preserve">КМ, што је </w:t>
      </w:r>
      <w:r>
        <w:t>99,</w:t>
      </w:r>
      <w:r w:rsidR="003D3353">
        <w:t>99</w:t>
      </w:r>
      <w:r w:rsidRPr="00DF5760">
        <w:t xml:space="preserve">% у односу на </w:t>
      </w:r>
      <w:r>
        <w:t>план</w:t>
      </w:r>
      <w:r w:rsidRPr="00DF5760">
        <w:t>, а односе се на услуге одржавања јавних површина по Програму заједничке комуналне потрошње</w:t>
      </w:r>
      <w:r w:rsidR="00DC1A3F">
        <w:rPr>
          <w:lang w:val="sr-Cyrl-RS"/>
        </w:rPr>
        <w:t xml:space="preserve"> </w:t>
      </w:r>
      <w:r w:rsidR="003D3353">
        <w:t>(</w:t>
      </w:r>
      <w:r>
        <w:t>трошкове чишћења улица, тротоара, одр</w:t>
      </w:r>
      <w:r w:rsidR="00DC1A3F">
        <w:t>жавања зелених површина, уређења</w:t>
      </w:r>
      <w:r>
        <w:t xml:space="preserve"> канала, зимског одржавања, одржавања јавне </w:t>
      </w:r>
      <w:proofErr w:type="spellStart"/>
      <w:r>
        <w:t>расвјете</w:t>
      </w:r>
      <w:proofErr w:type="spellEnd"/>
      <w:r>
        <w:t xml:space="preserve">, електричне енергије за јавну </w:t>
      </w:r>
      <w:proofErr w:type="spellStart"/>
      <w:r>
        <w:t>расвјету</w:t>
      </w:r>
      <w:proofErr w:type="spellEnd"/>
      <w:r>
        <w:t>, крпање ударних рупа на улицама и др.</w:t>
      </w:r>
      <w:r w:rsidR="003D3353">
        <w:t xml:space="preserve">) износ од 602.769,35 КМ, и трошкове уређења корита </w:t>
      </w:r>
      <w:proofErr w:type="spellStart"/>
      <w:r w:rsidR="003D3353">
        <w:t>ријека</w:t>
      </w:r>
      <w:proofErr w:type="spellEnd"/>
      <w:r w:rsidR="003D3353">
        <w:t xml:space="preserve"> и потока из </w:t>
      </w:r>
      <w:proofErr w:type="spellStart"/>
      <w:r w:rsidR="003D3353">
        <w:t>намјенских</w:t>
      </w:r>
      <w:proofErr w:type="spellEnd"/>
      <w:r w:rsidR="003D3353">
        <w:t xml:space="preserve"> средстава за воде 585,00 КМ.</w:t>
      </w:r>
    </w:p>
    <w:p w14:paraId="5F757798" w14:textId="77777777" w:rsidR="00A02418" w:rsidRPr="00DF5760" w:rsidRDefault="00A02418" w:rsidP="00A02418">
      <w:pPr>
        <w:ind w:left="0" w:firstLine="0"/>
        <w:rPr>
          <w:b/>
          <w:i/>
        </w:rPr>
      </w:pPr>
    </w:p>
    <w:p w14:paraId="3879DD1C" w14:textId="77777777" w:rsidR="00A02418" w:rsidRPr="00927B7C" w:rsidRDefault="00A02418" w:rsidP="00A02418">
      <w:pPr>
        <w:ind w:left="0" w:firstLine="0"/>
      </w:pPr>
      <w:r>
        <w:rPr>
          <w:b/>
          <w:i/>
        </w:rPr>
        <w:lastRenderedPageBreak/>
        <w:tab/>
      </w:r>
      <w:r w:rsidRPr="00DF5760">
        <w:rPr>
          <w:b/>
          <w:i/>
        </w:rPr>
        <w:t xml:space="preserve">Остали </w:t>
      </w:r>
      <w:proofErr w:type="spellStart"/>
      <w:r>
        <w:rPr>
          <w:b/>
          <w:i/>
        </w:rPr>
        <w:t>некласификовани</w:t>
      </w:r>
      <w:proofErr w:type="spellEnd"/>
      <w:r w:rsidRPr="00DF5760">
        <w:rPr>
          <w:b/>
          <w:i/>
        </w:rPr>
        <w:t xml:space="preserve"> расходи</w:t>
      </w:r>
      <w:r w:rsidRPr="00DF5760">
        <w:t xml:space="preserve"> су извршени</w:t>
      </w:r>
      <w:r w:rsidRPr="00DF5760">
        <w:rPr>
          <w:lang w:val="sr-Cyrl-BA"/>
        </w:rPr>
        <w:t xml:space="preserve"> у укупном </w:t>
      </w:r>
      <w:r w:rsidRPr="00DF5760">
        <w:t xml:space="preserve"> износу од </w:t>
      </w:r>
      <w:r w:rsidR="000D545A">
        <w:t>687.950,25</w:t>
      </w:r>
      <w:r w:rsidRPr="00AF1B99">
        <w:t xml:space="preserve"> КМ,</w:t>
      </w:r>
      <w:r w:rsidR="004468FB">
        <w:rPr>
          <w:lang w:val="sr-Cyrl-RS"/>
        </w:rPr>
        <w:t xml:space="preserve"> </w:t>
      </w:r>
      <w:r w:rsidRPr="00DF5760">
        <w:rPr>
          <w:lang w:val="sr-Cyrl-BA"/>
        </w:rPr>
        <w:t xml:space="preserve">од чега се </w:t>
      </w:r>
      <w:r>
        <w:rPr>
          <w:lang w:val="sr-Cyrl-BA"/>
        </w:rPr>
        <w:t xml:space="preserve">на расходе Општинске управе односи </w:t>
      </w:r>
      <w:r w:rsidR="000D545A">
        <w:t>645.306,37</w:t>
      </w:r>
      <w:r w:rsidRPr="00AF1B99">
        <w:rPr>
          <w:lang w:val="sr-Cyrl-BA"/>
        </w:rPr>
        <w:t xml:space="preserve"> КМ</w:t>
      </w:r>
      <w:r>
        <w:rPr>
          <w:lang w:val="sr-Cyrl-BA"/>
        </w:rPr>
        <w:t>, а на расходе екстерних буџетских корисника</w:t>
      </w:r>
      <w:r w:rsidR="00DC1A3F">
        <w:rPr>
          <w:lang w:val="sr-Cyrl-BA"/>
        </w:rPr>
        <w:t xml:space="preserve"> </w:t>
      </w:r>
      <w:r w:rsidR="000D545A">
        <w:t>42.643,88</w:t>
      </w:r>
      <w:r w:rsidRPr="00AF1B99">
        <w:rPr>
          <w:lang w:val="sr-Cyrl-BA"/>
        </w:rPr>
        <w:t xml:space="preserve"> КМ</w:t>
      </w:r>
      <w:r w:rsidRPr="00DF5760">
        <w:rPr>
          <w:lang w:val="sr-Cyrl-BA"/>
        </w:rPr>
        <w:t xml:space="preserve">. </w:t>
      </w:r>
      <w:r>
        <w:rPr>
          <w:lang w:val="sr-Cyrl-BA"/>
        </w:rPr>
        <w:t xml:space="preserve">Ови расходи су остварени са </w:t>
      </w:r>
      <w:r w:rsidR="000D545A">
        <w:t>93,43</w:t>
      </w:r>
      <w:r>
        <w:rPr>
          <w:lang w:val="sr-Cyrl-BA"/>
        </w:rPr>
        <w:t xml:space="preserve">% у односу на планирана средства. </w:t>
      </w:r>
      <w:r w:rsidRPr="00DF5760">
        <w:t>Ов</w:t>
      </w:r>
      <w:r w:rsidRPr="00DF5760">
        <w:rPr>
          <w:lang w:val="sr-Cyrl-BA"/>
        </w:rPr>
        <w:t>а категорија</w:t>
      </w:r>
      <w:r w:rsidRPr="00DF5760">
        <w:t xml:space="preserve"> расход</w:t>
      </w:r>
      <w:r w:rsidRPr="00DF5760">
        <w:rPr>
          <w:lang w:val="sr-Cyrl-BA"/>
        </w:rPr>
        <w:t>а</w:t>
      </w:r>
      <w:r w:rsidRPr="00DF5760">
        <w:t xml:space="preserve"> обухвата </w:t>
      </w:r>
      <w:r w:rsidRPr="00DF5760">
        <w:rPr>
          <w:lang w:val="sr-Cyrl-BA"/>
        </w:rPr>
        <w:t xml:space="preserve">трошкове репрезентације, </w:t>
      </w:r>
      <w:r w:rsidRPr="00DF5760">
        <w:t xml:space="preserve">бруто накнаде за рад ван радног односа (накнаде скупштинским одборницима, члановима комисија и радних група, накнаде за уговоре о </w:t>
      </w:r>
      <w:proofErr w:type="spellStart"/>
      <w:r w:rsidRPr="00DF5760">
        <w:t>дјелу</w:t>
      </w:r>
      <w:proofErr w:type="spellEnd"/>
      <w:r w:rsidRPr="00DF5760">
        <w:t>, привремене и повремене послове и сл.),</w:t>
      </w:r>
      <w:r w:rsidR="004468FB">
        <w:rPr>
          <w:lang w:val="sr-Cyrl-RS"/>
        </w:rPr>
        <w:t xml:space="preserve"> </w:t>
      </w:r>
      <w:r>
        <w:rPr>
          <w:lang w:val="sr-Cyrl-BA"/>
        </w:rPr>
        <w:t xml:space="preserve">расходе за стручно усавршавање, таксе и накнаде за регистрацију возила, </w:t>
      </w:r>
      <w:r>
        <w:t xml:space="preserve">расходе за израду медаља и плакета, </w:t>
      </w:r>
      <w:r>
        <w:rPr>
          <w:lang w:val="sr-Cyrl-BA"/>
        </w:rPr>
        <w:t xml:space="preserve">расходе по основу </w:t>
      </w:r>
      <w:proofErr w:type="spellStart"/>
      <w:r>
        <w:rPr>
          <w:lang w:val="sr-Cyrl-BA"/>
        </w:rPr>
        <w:t>чланаринаи</w:t>
      </w:r>
      <w:proofErr w:type="spellEnd"/>
      <w:r>
        <w:rPr>
          <w:lang w:val="sr-Cyrl-BA"/>
        </w:rPr>
        <w:t xml:space="preserve"> др</w:t>
      </w:r>
      <w:r w:rsidRPr="00DF5760">
        <w:rPr>
          <w:lang w:val="sr-Cyrl-BA"/>
        </w:rPr>
        <w:t>.</w:t>
      </w:r>
    </w:p>
    <w:p w14:paraId="36243B50" w14:textId="77777777" w:rsidR="00A02418" w:rsidRPr="000C2EDB" w:rsidRDefault="00A02418" w:rsidP="00A02418">
      <w:pPr>
        <w:ind w:left="0" w:firstLine="0"/>
        <w:rPr>
          <w:lang w:val="sr-Cyrl-BA"/>
        </w:rPr>
      </w:pPr>
      <w:r>
        <w:rPr>
          <w:lang w:val="sr-Cyrl-BA"/>
        </w:rPr>
        <w:tab/>
      </w:r>
      <w:r w:rsidRPr="00DF5760">
        <w:rPr>
          <w:lang w:val="sr-Cyrl-BA"/>
        </w:rPr>
        <w:t xml:space="preserve">У наредној табели дат је </w:t>
      </w:r>
      <w:proofErr w:type="spellStart"/>
      <w:r w:rsidRPr="00DF5760">
        <w:rPr>
          <w:lang w:val="sr-Cyrl-BA"/>
        </w:rPr>
        <w:t>преглед</w:t>
      </w:r>
      <w:proofErr w:type="spellEnd"/>
      <w:r w:rsidRPr="00DF5760">
        <w:rPr>
          <w:lang w:val="sr-Cyrl-BA"/>
        </w:rPr>
        <w:t xml:space="preserve"> извршења свих</w:t>
      </w:r>
      <w:r w:rsidRPr="00DF5760">
        <w:t xml:space="preserve"> позиција у оквиру </w:t>
      </w:r>
      <w:r>
        <w:t>Општинске управе</w:t>
      </w:r>
      <w:r w:rsidRPr="00DF5760">
        <w:t xml:space="preserve">, које су обухваћене </w:t>
      </w:r>
      <w:r w:rsidRPr="00DF5760">
        <w:rPr>
          <w:lang w:val="sr-Cyrl-BA"/>
        </w:rPr>
        <w:t>категоријом</w:t>
      </w:r>
      <w:r w:rsidRPr="00DF5760">
        <w:t xml:space="preserve"> осталих непоменутих расхода</w:t>
      </w:r>
      <w:r w:rsidRPr="00DF5760">
        <w:rPr>
          <w:lang w:val="sr-Cyrl-BA"/>
        </w:rPr>
        <w:t>.</w:t>
      </w:r>
    </w:p>
    <w:p w14:paraId="2704321F" w14:textId="77777777" w:rsidR="000C0FD3" w:rsidRDefault="000C0FD3" w:rsidP="0060157F">
      <w:pPr>
        <w:ind w:left="0" w:right="-792" w:firstLine="0"/>
      </w:pPr>
    </w:p>
    <w:p w14:paraId="6703A2BB" w14:textId="77777777" w:rsidR="000D545A" w:rsidRDefault="000D545A" w:rsidP="000D545A">
      <w:pPr>
        <w:spacing w:before="120"/>
        <w:ind w:left="0" w:right="-794" w:firstLine="0"/>
        <w:jc w:val="center"/>
        <w:rPr>
          <w:lang w:val="sr-Cyrl-BA"/>
        </w:rPr>
      </w:pPr>
      <w:r>
        <w:rPr>
          <w:lang w:val="sr-Cyrl-BA"/>
        </w:rPr>
        <w:t xml:space="preserve">Табела бр. 5. </w:t>
      </w:r>
      <w:proofErr w:type="spellStart"/>
      <w:r>
        <w:rPr>
          <w:lang w:val="sr-Cyrl-BA"/>
        </w:rPr>
        <w:t>Преглед</w:t>
      </w:r>
      <w:proofErr w:type="spellEnd"/>
      <w:r>
        <w:rPr>
          <w:lang w:val="sr-Cyrl-BA"/>
        </w:rPr>
        <w:t xml:space="preserve"> буџетских позиција које се односе на остале </w:t>
      </w:r>
      <w:proofErr w:type="spellStart"/>
      <w:r>
        <w:rPr>
          <w:lang w:val="sr-Cyrl-BA"/>
        </w:rPr>
        <w:t>некласификоване</w:t>
      </w:r>
      <w:proofErr w:type="spellEnd"/>
      <w:r>
        <w:rPr>
          <w:lang w:val="sr-Cyrl-BA"/>
        </w:rPr>
        <w:t xml:space="preserve"> расходе Општинске управе општине Прњавор</w:t>
      </w:r>
    </w:p>
    <w:tbl>
      <w:tblPr>
        <w:tblW w:w="9758" w:type="dxa"/>
        <w:tblLook w:val="04A0" w:firstRow="1" w:lastRow="0" w:firstColumn="1" w:lastColumn="0" w:noHBand="0" w:noVBand="1"/>
      </w:tblPr>
      <w:tblGrid>
        <w:gridCol w:w="539"/>
        <w:gridCol w:w="7376"/>
        <w:gridCol w:w="1843"/>
      </w:tblGrid>
      <w:tr w:rsidR="000D545A" w:rsidRPr="000D545A" w14:paraId="203350A3" w14:textId="77777777" w:rsidTr="004468FB">
        <w:trPr>
          <w:trHeight w:val="499"/>
          <w:tblHeader/>
        </w:trPr>
        <w:tc>
          <w:tcPr>
            <w:tcW w:w="539" w:type="dxa"/>
            <w:tcBorders>
              <w:top w:val="double" w:sz="6" w:space="0" w:color="auto"/>
              <w:left w:val="double" w:sz="6" w:space="0" w:color="auto"/>
              <w:bottom w:val="double" w:sz="6" w:space="0" w:color="auto"/>
              <w:right w:val="single" w:sz="4" w:space="0" w:color="auto"/>
            </w:tcBorders>
            <w:shd w:val="clear" w:color="auto" w:fill="auto"/>
            <w:vAlign w:val="center"/>
            <w:hideMark/>
          </w:tcPr>
          <w:p w14:paraId="1186C71D" w14:textId="77777777" w:rsidR="000D545A" w:rsidRPr="000D545A" w:rsidRDefault="000D545A" w:rsidP="000D545A">
            <w:pPr>
              <w:ind w:left="0" w:right="0" w:firstLine="0"/>
              <w:jc w:val="center"/>
              <w:rPr>
                <w:b/>
                <w:bCs/>
                <w:sz w:val="20"/>
                <w:szCs w:val="20"/>
              </w:rPr>
            </w:pPr>
            <w:proofErr w:type="spellStart"/>
            <w:r w:rsidRPr="000D545A">
              <w:rPr>
                <w:b/>
                <w:bCs/>
                <w:sz w:val="20"/>
                <w:szCs w:val="20"/>
              </w:rPr>
              <w:t>Р.б</w:t>
            </w:r>
            <w:proofErr w:type="spellEnd"/>
            <w:r w:rsidRPr="000D545A">
              <w:rPr>
                <w:b/>
                <w:bCs/>
                <w:sz w:val="20"/>
                <w:szCs w:val="20"/>
              </w:rPr>
              <w:t>.</w:t>
            </w:r>
          </w:p>
        </w:tc>
        <w:tc>
          <w:tcPr>
            <w:tcW w:w="7376" w:type="dxa"/>
            <w:tcBorders>
              <w:top w:val="double" w:sz="6" w:space="0" w:color="auto"/>
              <w:left w:val="nil"/>
              <w:bottom w:val="double" w:sz="6" w:space="0" w:color="auto"/>
              <w:right w:val="single" w:sz="4" w:space="0" w:color="auto"/>
            </w:tcBorders>
            <w:shd w:val="clear" w:color="auto" w:fill="auto"/>
            <w:vAlign w:val="center"/>
            <w:hideMark/>
          </w:tcPr>
          <w:p w14:paraId="7A915B94" w14:textId="77777777" w:rsidR="000D545A" w:rsidRPr="000D545A" w:rsidRDefault="000D545A" w:rsidP="000D545A">
            <w:pPr>
              <w:ind w:left="0" w:right="0" w:firstLine="0"/>
              <w:jc w:val="center"/>
              <w:rPr>
                <w:b/>
                <w:bCs/>
                <w:sz w:val="20"/>
                <w:szCs w:val="20"/>
              </w:rPr>
            </w:pPr>
            <w:r w:rsidRPr="000D545A">
              <w:rPr>
                <w:b/>
                <w:bCs/>
                <w:sz w:val="20"/>
                <w:szCs w:val="20"/>
              </w:rPr>
              <w:t>Н а з и в    п о з и ц и ј е</w:t>
            </w:r>
          </w:p>
        </w:tc>
        <w:tc>
          <w:tcPr>
            <w:tcW w:w="1843" w:type="dxa"/>
            <w:tcBorders>
              <w:top w:val="double" w:sz="6" w:space="0" w:color="auto"/>
              <w:left w:val="nil"/>
              <w:bottom w:val="double" w:sz="6" w:space="0" w:color="auto"/>
              <w:right w:val="double" w:sz="6" w:space="0" w:color="auto"/>
            </w:tcBorders>
            <w:shd w:val="clear" w:color="auto" w:fill="auto"/>
            <w:vAlign w:val="center"/>
            <w:hideMark/>
          </w:tcPr>
          <w:p w14:paraId="357337E0" w14:textId="77777777" w:rsidR="000D545A" w:rsidRPr="000D545A" w:rsidRDefault="000D545A" w:rsidP="000D545A">
            <w:pPr>
              <w:ind w:left="0" w:right="0" w:firstLine="0"/>
              <w:jc w:val="center"/>
              <w:rPr>
                <w:b/>
                <w:bCs/>
                <w:sz w:val="20"/>
                <w:szCs w:val="20"/>
              </w:rPr>
            </w:pPr>
            <w:r w:rsidRPr="000D545A">
              <w:rPr>
                <w:b/>
                <w:bCs/>
                <w:sz w:val="20"/>
                <w:szCs w:val="20"/>
              </w:rPr>
              <w:t>Износ (КМ)</w:t>
            </w:r>
          </w:p>
        </w:tc>
      </w:tr>
      <w:tr w:rsidR="000D545A" w:rsidRPr="000D545A" w14:paraId="2DDB7834" w14:textId="77777777" w:rsidTr="000D545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6BA942E5" w14:textId="77777777" w:rsidR="000D545A" w:rsidRPr="000D545A" w:rsidRDefault="000D545A" w:rsidP="000D545A">
            <w:pPr>
              <w:ind w:left="0" w:right="0" w:firstLine="0"/>
              <w:jc w:val="center"/>
              <w:rPr>
                <w:sz w:val="20"/>
                <w:szCs w:val="20"/>
              </w:rPr>
            </w:pPr>
            <w:r w:rsidRPr="000D545A">
              <w:rPr>
                <w:sz w:val="20"/>
                <w:szCs w:val="20"/>
              </w:rPr>
              <w:t>1</w:t>
            </w:r>
          </w:p>
        </w:tc>
        <w:tc>
          <w:tcPr>
            <w:tcW w:w="7376" w:type="dxa"/>
            <w:tcBorders>
              <w:top w:val="nil"/>
              <w:left w:val="nil"/>
              <w:bottom w:val="single" w:sz="4" w:space="0" w:color="auto"/>
              <w:right w:val="single" w:sz="4" w:space="0" w:color="auto"/>
            </w:tcBorders>
            <w:shd w:val="clear" w:color="auto" w:fill="auto"/>
            <w:vAlign w:val="bottom"/>
            <w:hideMark/>
          </w:tcPr>
          <w:p w14:paraId="5778488C" w14:textId="77777777" w:rsidR="000D545A" w:rsidRPr="000D545A" w:rsidRDefault="000D545A" w:rsidP="000D545A">
            <w:pPr>
              <w:ind w:left="0" w:right="0" w:firstLine="0"/>
              <w:jc w:val="left"/>
              <w:rPr>
                <w:sz w:val="20"/>
                <w:szCs w:val="20"/>
              </w:rPr>
            </w:pPr>
            <w:r w:rsidRPr="000D545A">
              <w:rPr>
                <w:sz w:val="20"/>
                <w:szCs w:val="20"/>
              </w:rPr>
              <w:t xml:space="preserve">Трошкови репрезентације (све. </w:t>
            </w:r>
            <w:proofErr w:type="spellStart"/>
            <w:r w:rsidRPr="000D545A">
              <w:rPr>
                <w:sz w:val="20"/>
                <w:szCs w:val="20"/>
              </w:rPr>
              <w:t>орг</w:t>
            </w:r>
            <w:proofErr w:type="spellEnd"/>
            <w:r w:rsidRPr="000D545A">
              <w:rPr>
                <w:sz w:val="20"/>
                <w:szCs w:val="20"/>
              </w:rPr>
              <w:t>. јединице Општинске управе)</w:t>
            </w:r>
          </w:p>
        </w:tc>
        <w:tc>
          <w:tcPr>
            <w:tcW w:w="1843" w:type="dxa"/>
            <w:tcBorders>
              <w:top w:val="nil"/>
              <w:left w:val="nil"/>
              <w:bottom w:val="single" w:sz="4" w:space="0" w:color="auto"/>
              <w:right w:val="double" w:sz="6" w:space="0" w:color="auto"/>
            </w:tcBorders>
            <w:shd w:val="clear" w:color="auto" w:fill="auto"/>
            <w:noWrap/>
            <w:vAlign w:val="center"/>
            <w:hideMark/>
          </w:tcPr>
          <w:p w14:paraId="3C83F85A" w14:textId="77777777" w:rsidR="000D545A" w:rsidRPr="000D545A" w:rsidRDefault="000D545A" w:rsidP="000D545A">
            <w:pPr>
              <w:ind w:left="0" w:right="0" w:firstLine="0"/>
              <w:jc w:val="right"/>
              <w:rPr>
                <w:rFonts w:ascii="Arial" w:hAnsi="Arial" w:cs="Arial"/>
                <w:sz w:val="20"/>
                <w:szCs w:val="20"/>
              </w:rPr>
            </w:pPr>
            <w:r w:rsidRPr="000D545A">
              <w:rPr>
                <w:rFonts w:ascii="Arial" w:hAnsi="Arial" w:cs="Arial"/>
                <w:sz w:val="20"/>
                <w:szCs w:val="20"/>
              </w:rPr>
              <w:t>31.409,83</w:t>
            </w:r>
          </w:p>
        </w:tc>
      </w:tr>
      <w:tr w:rsidR="000D545A" w:rsidRPr="000D545A" w14:paraId="1E9F3226" w14:textId="77777777" w:rsidTr="000D545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579F1EC2" w14:textId="77777777" w:rsidR="000D545A" w:rsidRPr="000D545A" w:rsidRDefault="000D545A" w:rsidP="000D545A">
            <w:pPr>
              <w:ind w:left="0" w:right="0" w:firstLine="0"/>
              <w:jc w:val="center"/>
              <w:rPr>
                <w:sz w:val="20"/>
                <w:szCs w:val="20"/>
              </w:rPr>
            </w:pPr>
            <w:r w:rsidRPr="000D545A">
              <w:rPr>
                <w:sz w:val="20"/>
                <w:szCs w:val="20"/>
              </w:rPr>
              <w:t>2</w:t>
            </w:r>
          </w:p>
        </w:tc>
        <w:tc>
          <w:tcPr>
            <w:tcW w:w="7376" w:type="dxa"/>
            <w:tcBorders>
              <w:top w:val="nil"/>
              <w:left w:val="nil"/>
              <w:bottom w:val="single" w:sz="4" w:space="0" w:color="auto"/>
              <w:right w:val="single" w:sz="4" w:space="0" w:color="auto"/>
            </w:tcBorders>
            <w:shd w:val="clear" w:color="auto" w:fill="auto"/>
            <w:vAlign w:val="bottom"/>
            <w:hideMark/>
          </w:tcPr>
          <w:p w14:paraId="0E6BD757" w14:textId="77777777" w:rsidR="000D545A" w:rsidRPr="000D545A" w:rsidRDefault="000D545A" w:rsidP="000D545A">
            <w:pPr>
              <w:ind w:left="0" w:right="0" w:firstLine="0"/>
              <w:jc w:val="left"/>
              <w:rPr>
                <w:sz w:val="20"/>
                <w:szCs w:val="20"/>
              </w:rPr>
            </w:pPr>
            <w:r w:rsidRPr="000D545A">
              <w:rPr>
                <w:sz w:val="20"/>
                <w:szCs w:val="20"/>
              </w:rPr>
              <w:t>Плакете, повеље, награде и признања општине</w:t>
            </w:r>
          </w:p>
        </w:tc>
        <w:tc>
          <w:tcPr>
            <w:tcW w:w="1843" w:type="dxa"/>
            <w:tcBorders>
              <w:top w:val="nil"/>
              <w:left w:val="nil"/>
              <w:bottom w:val="single" w:sz="4" w:space="0" w:color="auto"/>
              <w:right w:val="double" w:sz="6" w:space="0" w:color="auto"/>
            </w:tcBorders>
            <w:shd w:val="clear" w:color="auto" w:fill="auto"/>
            <w:noWrap/>
            <w:vAlign w:val="center"/>
            <w:hideMark/>
          </w:tcPr>
          <w:p w14:paraId="5A30D66E" w14:textId="77777777" w:rsidR="000D545A" w:rsidRPr="000D545A" w:rsidRDefault="000D545A" w:rsidP="000D545A">
            <w:pPr>
              <w:ind w:left="0" w:right="0" w:firstLine="0"/>
              <w:jc w:val="right"/>
              <w:rPr>
                <w:rFonts w:ascii="Arial" w:hAnsi="Arial" w:cs="Arial"/>
                <w:sz w:val="20"/>
                <w:szCs w:val="20"/>
              </w:rPr>
            </w:pPr>
            <w:r w:rsidRPr="000D545A">
              <w:rPr>
                <w:rFonts w:ascii="Arial" w:hAnsi="Arial" w:cs="Arial"/>
                <w:sz w:val="20"/>
                <w:szCs w:val="20"/>
              </w:rPr>
              <w:t>1.500,00</w:t>
            </w:r>
          </w:p>
        </w:tc>
      </w:tr>
      <w:tr w:rsidR="000D545A" w:rsidRPr="000D545A" w14:paraId="35BFAC81" w14:textId="77777777" w:rsidTr="000D545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5C539CC4" w14:textId="77777777" w:rsidR="000D545A" w:rsidRPr="000D545A" w:rsidRDefault="000D545A" w:rsidP="000D545A">
            <w:pPr>
              <w:ind w:left="0" w:right="0" w:firstLine="0"/>
              <w:jc w:val="center"/>
              <w:rPr>
                <w:sz w:val="20"/>
                <w:szCs w:val="20"/>
              </w:rPr>
            </w:pPr>
            <w:r w:rsidRPr="000D545A">
              <w:rPr>
                <w:sz w:val="20"/>
                <w:szCs w:val="20"/>
              </w:rPr>
              <w:t>3</w:t>
            </w:r>
          </w:p>
        </w:tc>
        <w:tc>
          <w:tcPr>
            <w:tcW w:w="7376" w:type="dxa"/>
            <w:tcBorders>
              <w:top w:val="nil"/>
              <w:left w:val="nil"/>
              <w:bottom w:val="single" w:sz="4" w:space="0" w:color="auto"/>
              <w:right w:val="single" w:sz="4" w:space="0" w:color="auto"/>
            </w:tcBorders>
            <w:shd w:val="clear" w:color="auto" w:fill="auto"/>
            <w:vAlign w:val="bottom"/>
            <w:hideMark/>
          </w:tcPr>
          <w:p w14:paraId="0EB1F78E" w14:textId="77777777" w:rsidR="000D545A" w:rsidRPr="000D545A" w:rsidRDefault="000D545A" w:rsidP="000D545A">
            <w:pPr>
              <w:ind w:left="0" w:right="0" w:firstLine="0"/>
              <w:jc w:val="left"/>
              <w:rPr>
                <w:sz w:val="20"/>
                <w:szCs w:val="20"/>
              </w:rPr>
            </w:pPr>
            <w:r w:rsidRPr="000D545A">
              <w:rPr>
                <w:sz w:val="20"/>
                <w:szCs w:val="20"/>
              </w:rPr>
              <w:t>Накнаде одборника и чланова скупштинских комисија</w:t>
            </w:r>
          </w:p>
        </w:tc>
        <w:tc>
          <w:tcPr>
            <w:tcW w:w="1843" w:type="dxa"/>
            <w:tcBorders>
              <w:top w:val="nil"/>
              <w:left w:val="nil"/>
              <w:bottom w:val="single" w:sz="4" w:space="0" w:color="auto"/>
              <w:right w:val="double" w:sz="6" w:space="0" w:color="auto"/>
            </w:tcBorders>
            <w:shd w:val="clear" w:color="auto" w:fill="auto"/>
            <w:noWrap/>
            <w:vAlign w:val="center"/>
            <w:hideMark/>
          </w:tcPr>
          <w:p w14:paraId="5C72A8B9" w14:textId="77777777" w:rsidR="000D545A" w:rsidRPr="000D545A" w:rsidRDefault="000D545A" w:rsidP="000D545A">
            <w:pPr>
              <w:ind w:left="0" w:right="0" w:firstLine="0"/>
              <w:jc w:val="right"/>
              <w:rPr>
                <w:rFonts w:ascii="Arial" w:hAnsi="Arial" w:cs="Arial"/>
                <w:sz w:val="20"/>
                <w:szCs w:val="20"/>
              </w:rPr>
            </w:pPr>
            <w:r w:rsidRPr="000D545A">
              <w:rPr>
                <w:rFonts w:ascii="Arial" w:hAnsi="Arial" w:cs="Arial"/>
                <w:sz w:val="20"/>
                <w:szCs w:val="20"/>
              </w:rPr>
              <w:t>224.747,62</w:t>
            </w:r>
          </w:p>
        </w:tc>
      </w:tr>
      <w:tr w:rsidR="000D545A" w:rsidRPr="000D545A" w14:paraId="2907BC79" w14:textId="77777777" w:rsidTr="000D545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1549AEE7" w14:textId="77777777" w:rsidR="000D545A" w:rsidRPr="000D545A" w:rsidRDefault="000D545A" w:rsidP="000D545A">
            <w:pPr>
              <w:ind w:left="0" w:right="0" w:firstLine="0"/>
              <w:jc w:val="center"/>
              <w:rPr>
                <w:sz w:val="20"/>
                <w:szCs w:val="20"/>
              </w:rPr>
            </w:pPr>
            <w:r w:rsidRPr="000D545A">
              <w:rPr>
                <w:sz w:val="20"/>
                <w:szCs w:val="20"/>
              </w:rPr>
              <w:t>4</w:t>
            </w:r>
          </w:p>
        </w:tc>
        <w:tc>
          <w:tcPr>
            <w:tcW w:w="7376" w:type="dxa"/>
            <w:tcBorders>
              <w:top w:val="nil"/>
              <w:left w:val="nil"/>
              <w:bottom w:val="single" w:sz="4" w:space="0" w:color="auto"/>
              <w:right w:val="single" w:sz="4" w:space="0" w:color="auto"/>
            </w:tcBorders>
            <w:shd w:val="clear" w:color="auto" w:fill="auto"/>
            <w:vAlign w:val="bottom"/>
            <w:hideMark/>
          </w:tcPr>
          <w:p w14:paraId="46C785D2" w14:textId="77777777" w:rsidR="000D545A" w:rsidRPr="000D545A" w:rsidRDefault="000D545A" w:rsidP="000D545A">
            <w:pPr>
              <w:ind w:left="0" w:right="0" w:firstLine="0"/>
              <w:jc w:val="left"/>
              <w:rPr>
                <w:sz w:val="20"/>
                <w:szCs w:val="20"/>
              </w:rPr>
            </w:pPr>
            <w:r w:rsidRPr="000D545A">
              <w:rPr>
                <w:sz w:val="20"/>
                <w:szCs w:val="20"/>
              </w:rPr>
              <w:t>Финансирање рада клубова одборника</w:t>
            </w:r>
          </w:p>
        </w:tc>
        <w:tc>
          <w:tcPr>
            <w:tcW w:w="1843" w:type="dxa"/>
            <w:tcBorders>
              <w:top w:val="nil"/>
              <w:left w:val="nil"/>
              <w:bottom w:val="single" w:sz="4" w:space="0" w:color="auto"/>
              <w:right w:val="double" w:sz="6" w:space="0" w:color="auto"/>
            </w:tcBorders>
            <w:shd w:val="clear" w:color="auto" w:fill="auto"/>
            <w:noWrap/>
            <w:vAlign w:val="center"/>
            <w:hideMark/>
          </w:tcPr>
          <w:p w14:paraId="6F65A214" w14:textId="77777777" w:rsidR="000D545A" w:rsidRPr="000D545A" w:rsidRDefault="000D545A" w:rsidP="000D545A">
            <w:pPr>
              <w:ind w:left="0" w:right="0" w:firstLine="0"/>
              <w:jc w:val="right"/>
              <w:rPr>
                <w:rFonts w:ascii="Arial" w:hAnsi="Arial" w:cs="Arial"/>
                <w:sz w:val="20"/>
                <w:szCs w:val="20"/>
              </w:rPr>
            </w:pPr>
            <w:r w:rsidRPr="000D545A">
              <w:rPr>
                <w:rFonts w:ascii="Arial" w:hAnsi="Arial" w:cs="Arial"/>
                <w:sz w:val="20"/>
                <w:szCs w:val="20"/>
              </w:rPr>
              <w:t>1.974,30</w:t>
            </w:r>
          </w:p>
        </w:tc>
      </w:tr>
      <w:tr w:rsidR="000D545A" w:rsidRPr="000D545A" w14:paraId="6E168DDD" w14:textId="77777777" w:rsidTr="000D545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28D63451" w14:textId="77777777" w:rsidR="000D545A" w:rsidRPr="000D545A" w:rsidRDefault="000D545A" w:rsidP="000D545A">
            <w:pPr>
              <w:ind w:left="0" w:right="0" w:firstLine="0"/>
              <w:jc w:val="center"/>
              <w:rPr>
                <w:sz w:val="20"/>
                <w:szCs w:val="20"/>
              </w:rPr>
            </w:pPr>
            <w:r w:rsidRPr="000D545A">
              <w:rPr>
                <w:sz w:val="20"/>
                <w:szCs w:val="20"/>
              </w:rPr>
              <w:t>5</w:t>
            </w:r>
          </w:p>
        </w:tc>
        <w:tc>
          <w:tcPr>
            <w:tcW w:w="7376" w:type="dxa"/>
            <w:tcBorders>
              <w:top w:val="nil"/>
              <w:left w:val="nil"/>
              <w:bottom w:val="single" w:sz="4" w:space="0" w:color="auto"/>
              <w:right w:val="single" w:sz="4" w:space="0" w:color="auto"/>
            </w:tcBorders>
            <w:shd w:val="clear" w:color="auto" w:fill="auto"/>
            <w:vAlign w:val="bottom"/>
            <w:hideMark/>
          </w:tcPr>
          <w:p w14:paraId="3CA1D068" w14:textId="77777777" w:rsidR="000D545A" w:rsidRPr="000D545A" w:rsidRDefault="000D545A" w:rsidP="000D545A">
            <w:pPr>
              <w:ind w:left="0" w:right="0" w:firstLine="0"/>
              <w:jc w:val="left"/>
              <w:rPr>
                <w:sz w:val="20"/>
                <w:szCs w:val="20"/>
              </w:rPr>
            </w:pPr>
            <w:r w:rsidRPr="000D545A">
              <w:rPr>
                <w:sz w:val="20"/>
                <w:szCs w:val="20"/>
              </w:rPr>
              <w:t>Финансирање Општинске изборне комисије</w:t>
            </w:r>
          </w:p>
        </w:tc>
        <w:tc>
          <w:tcPr>
            <w:tcW w:w="1843" w:type="dxa"/>
            <w:tcBorders>
              <w:top w:val="nil"/>
              <w:left w:val="nil"/>
              <w:bottom w:val="single" w:sz="4" w:space="0" w:color="auto"/>
              <w:right w:val="double" w:sz="6" w:space="0" w:color="auto"/>
            </w:tcBorders>
            <w:shd w:val="clear" w:color="auto" w:fill="auto"/>
            <w:noWrap/>
            <w:vAlign w:val="center"/>
            <w:hideMark/>
          </w:tcPr>
          <w:p w14:paraId="26C4FC7A" w14:textId="77777777" w:rsidR="000D545A" w:rsidRPr="000D545A" w:rsidRDefault="000D545A" w:rsidP="000D545A">
            <w:pPr>
              <w:ind w:left="0" w:right="0" w:firstLine="0"/>
              <w:jc w:val="right"/>
              <w:rPr>
                <w:rFonts w:ascii="Arial" w:hAnsi="Arial" w:cs="Arial"/>
                <w:sz w:val="20"/>
                <w:szCs w:val="20"/>
              </w:rPr>
            </w:pPr>
            <w:r w:rsidRPr="000D545A">
              <w:rPr>
                <w:rFonts w:ascii="Arial" w:hAnsi="Arial" w:cs="Arial"/>
                <w:sz w:val="20"/>
                <w:szCs w:val="20"/>
              </w:rPr>
              <w:t>122.410,52</w:t>
            </w:r>
          </w:p>
        </w:tc>
      </w:tr>
      <w:tr w:rsidR="000D545A" w:rsidRPr="000D545A" w14:paraId="1809AEE6" w14:textId="77777777" w:rsidTr="000D545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724D444E" w14:textId="77777777" w:rsidR="000D545A" w:rsidRPr="000D545A" w:rsidRDefault="000D545A" w:rsidP="000D545A">
            <w:pPr>
              <w:ind w:left="0" w:right="0" w:firstLine="0"/>
              <w:jc w:val="center"/>
              <w:rPr>
                <w:sz w:val="20"/>
                <w:szCs w:val="20"/>
              </w:rPr>
            </w:pPr>
            <w:r w:rsidRPr="000D545A">
              <w:rPr>
                <w:sz w:val="20"/>
                <w:szCs w:val="20"/>
              </w:rPr>
              <w:t>6</w:t>
            </w:r>
          </w:p>
        </w:tc>
        <w:tc>
          <w:tcPr>
            <w:tcW w:w="7376" w:type="dxa"/>
            <w:tcBorders>
              <w:top w:val="nil"/>
              <w:left w:val="nil"/>
              <w:bottom w:val="single" w:sz="4" w:space="0" w:color="auto"/>
              <w:right w:val="single" w:sz="4" w:space="0" w:color="auto"/>
            </w:tcBorders>
            <w:shd w:val="clear" w:color="auto" w:fill="auto"/>
            <w:vAlign w:val="bottom"/>
            <w:hideMark/>
          </w:tcPr>
          <w:p w14:paraId="19424944" w14:textId="77777777" w:rsidR="000D545A" w:rsidRPr="000D545A" w:rsidRDefault="000D545A" w:rsidP="000D545A">
            <w:pPr>
              <w:ind w:left="0" w:right="0" w:firstLine="0"/>
              <w:jc w:val="left"/>
              <w:rPr>
                <w:sz w:val="20"/>
                <w:szCs w:val="20"/>
              </w:rPr>
            </w:pPr>
            <w:r w:rsidRPr="000D545A">
              <w:rPr>
                <w:sz w:val="20"/>
                <w:szCs w:val="20"/>
              </w:rPr>
              <w:t>Остали непоменути расходи (Скупштина општине)</w:t>
            </w:r>
          </w:p>
        </w:tc>
        <w:tc>
          <w:tcPr>
            <w:tcW w:w="1843" w:type="dxa"/>
            <w:tcBorders>
              <w:top w:val="nil"/>
              <w:left w:val="nil"/>
              <w:bottom w:val="single" w:sz="4" w:space="0" w:color="auto"/>
              <w:right w:val="double" w:sz="6" w:space="0" w:color="auto"/>
            </w:tcBorders>
            <w:shd w:val="clear" w:color="auto" w:fill="auto"/>
            <w:noWrap/>
            <w:vAlign w:val="center"/>
            <w:hideMark/>
          </w:tcPr>
          <w:p w14:paraId="1F0182F5" w14:textId="77777777" w:rsidR="000D545A" w:rsidRPr="000D545A" w:rsidRDefault="000D545A" w:rsidP="000D545A">
            <w:pPr>
              <w:ind w:left="0" w:right="0" w:firstLine="0"/>
              <w:jc w:val="right"/>
              <w:rPr>
                <w:rFonts w:ascii="Arial" w:hAnsi="Arial" w:cs="Arial"/>
                <w:sz w:val="20"/>
                <w:szCs w:val="20"/>
              </w:rPr>
            </w:pPr>
            <w:r w:rsidRPr="000D545A">
              <w:rPr>
                <w:rFonts w:ascii="Arial" w:hAnsi="Arial" w:cs="Arial"/>
                <w:sz w:val="20"/>
                <w:szCs w:val="20"/>
              </w:rPr>
              <w:t>1.199,94</w:t>
            </w:r>
          </w:p>
        </w:tc>
      </w:tr>
      <w:tr w:rsidR="000D545A" w:rsidRPr="000D545A" w14:paraId="0F960469" w14:textId="77777777" w:rsidTr="000D545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46876261" w14:textId="77777777" w:rsidR="000D545A" w:rsidRPr="000D545A" w:rsidRDefault="000D545A" w:rsidP="000D545A">
            <w:pPr>
              <w:ind w:left="0" w:right="0" w:firstLine="0"/>
              <w:jc w:val="center"/>
              <w:rPr>
                <w:sz w:val="20"/>
                <w:szCs w:val="20"/>
              </w:rPr>
            </w:pPr>
            <w:r w:rsidRPr="000D545A">
              <w:rPr>
                <w:sz w:val="20"/>
                <w:szCs w:val="20"/>
              </w:rPr>
              <w:t>7</w:t>
            </w:r>
          </w:p>
        </w:tc>
        <w:tc>
          <w:tcPr>
            <w:tcW w:w="7376" w:type="dxa"/>
            <w:tcBorders>
              <w:top w:val="nil"/>
              <w:left w:val="nil"/>
              <w:bottom w:val="single" w:sz="4" w:space="0" w:color="auto"/>
              <w:right w:val="single" w:sz="4" w:space="0" w:color="auto"/>
            </w:tcBorders>
            <w:shd w:val="clear" w:color="auto" w:fill="auto"/>
            <w:vAlign w:val="center"/>
            <w:hideMark/>
          </w:tcPr>
          <w:p w14:paraId="52D5FF40" w14:textId="77777777" w:rsidR="000D545A" w:rsidRPr="000D545A" w:rsidRDefault="000D545A" w:rsidP="000D545A">
            <w:pPr>
              <w:ind w:left="0" w:right="0" w:firstLine="0"/>
              <w:jc w:val="left"/>
              <w:rPr>
                <w:sz w:val="20"/>
                <w:szCs w:val="20"/>
              </w:rPr>
            </w:pPr>
            <w:r w:rsidRPr="000D545A">
              <w:rPr>
                <w:sz w:val="20"/>
                <w:szCs w:val="20"/>
              </w:rPr>
              <w:t xml:space="preserve">Поклон пакети за </w:t>
            </w:r>
            <w:proofErr w:type="spellStart"/>
            <w:r w:rsidRPr="000D545A">
              <w:rPr>
                <w:sz w:val="20"/>
                <w:szCs w:val="20"/>
              </w:rPr>
              <w:t>дјецу</w:t>
            </w:r>
            <w:proofErr w:type="spellEnd"/>
            <w:r w:rsidRPr="000D545A">
              <w:rPr>
                <w:sz w:val="20"/>
                <w:szCs w:val="20"/>
              </w:rPr>
              <w:t xml:space="preserve"> нижег узраста</w:t>
            </w:r>
          </w:p>
        </w:tc>
        <w:tc>
          <w:tcPr>
            <w:tcW w:w="1843" w:type="dxa"/>
            <w:tcBorders>
              <w:top w:val="nil"/>
              <w:left w:val="nil"/>
              <w:bottom w:val="single" w:sz="4" w:space="0" w:color="auto"/>
              <w:right w:val="double" w:sz="6" w:space="0" w:color="auto"/>
            </w:tcBorders>
            <w:shd w:val="clear" w:color="auto" w:fill="auto"/>
            <w:noWrap/>
            <w:vAlign w:val="center"/>
            <w:hideMark/>
          </w:tcPr>
          <w:p w14:paraId="76AE162F" w14:textId="77777777" w:rsidR="000D545A" w:rsidRPr="000D545A" w:rsidRDefault="000D545A" w:rsidP="000D545A">
            <w:pPr>
              <w:ind w:left="0" w:right="0" w:firstLine="0"/>
              <w:jc w:val="right"/>
              <w:rPr>
                <w:rFonts w:ascii="Arial" w:hAnsi="Arial" w:cs="Arial"/>
                <w:sz w:val="20"/>
                <w:szCs w:val="20"/>
              </w:rPr>
            </w:pPr>
            <w:r w:rsidRPr="000D545A">
              <w:rPr>
                <w:rFonts w:ascii="Arial" w:hAnsi="Arial" w:cs="Arial"/>
                <w:sz w:val="20"/>
                <w:szCs w:val="20"/>
              </w:rPr>
              <w:t>6.992,99</w:t>
            </w:r>
          </w:p>
        </w:tc>
      </w:tr>
      <w:tr w:rsidR="000D545A" w:rsidRPr="000D545A" w14:paraId="03AF6416" w14:textId="77777777" w:rsidTr="000D545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0933E306" w14:textId="77777777" w:rsidR="000D545A" w:rsidRPr="000D545A" w:rsidRDefault="000D545A" w:rsidP="000D545A">
            <w:pPr>
              <w:ind w:left="0" w:right="0" w:firstLine="0"/>
              <w:jc w:val="center"/>
              <w:rPr>
                <w:sz w:val="20"/>
                <w:szCs w:val="20"/>
              </w:rPr>
            </w:pPr>
            <w:r w:rsidRPr="000D545A">
              <w:rPr>
                <w:sz w:val="20"/>
                <w:szCs w:val="20"/>
              </w:rPr>
              <w:t>8</w:t>
            </w:r>
          </w:p>
        </w:tc>
        <w:tc>
          <w:tcPr>
            <w:tcW w:w="7376" w:type="dxa"/>
            <w:tcBorders>
              <w:top w:val="nil"/>
              <w:left w:val="nil"/>
              <w:bottom w:val="single" w:sz="4" w:space="0" w:color="auto"/>
              <w:right w:val="single" w:sz="4" w:space="0" w:color="auto"/>
            </w:tcBorders>
            <w:shd w:val="clear" w:color="auto" w:fill="auto"/>
            <w:vAlign w:val="center"/>
            <w:hideMark/>
          </w:tcPr>
          <w:p w14:paraId="26991D78" w14:textId="77777777" w:rsidR="000D545A" w:rsidRPr="000D545A" w:rsidRDefault="000D545A" w:rsidP="000D545A">
            <w:pPr>
              <w:ind w:left="0" w:right="0" w:firstLine="0"/>
              <w:jc w:val="left"/>
              <w:rPr>
                <w:sz w:val="20"/>
                <w:szCs w:val="20"/>
              </w:rPr>
            </w:pPr>
            <w:r w:rsidRPr="000D545A">
              <w:rPr>
                <w:sz w:val="20"/>
                <w:szCs w:val="20"/>
              </w:rPr>
              <w:t>Плакете, повеље, награде и признања Начелника општине</w:t>
            </w:r>
          </w:p>
        </w:tc>
        <w:tc>
          <w:tcPr>
            <w:tcW w:w="1843" w:type="dxa"/>
            <w:tcBorders>
              <w:top w:val="nil"/>
              <w:left w:val="nil"/>
              <w:bottom w:val="single" w:sz="4" w:space="0" w:color="auto"/>
              <w:right w:val="double" w:sz="6" w:space="0" w:color="auto"/>
            </w:tcBorders>
            <w:shd w:val="clear" w:color="auto" w:fill="auto"/>
            <w:noWrap/>
            <w:vAlign w:val="center"/>
            <w:hideMark/>
          </w:tcPr>
          <w:p w14:paraId="5B0C5896" w14:textId="77777777" w:rsidR="000D545A" w:rsidRPr="000D545A" w:rsidRDefault="000D545A" w:rsidP="000D545A">
            <w:pPr>
              <w:ind w:left="0" w:right="0" w:firstLine="0"/>
              <w:jc w:val="right"/>
              <w:rPr>
                <w:rFonts w:ascii="Arial" w:hAnsi="Arial" w:cs="Arial"/>
                <w:sz w:val="20"/>
                <w:szCs w:val="20"/>
              </w:rPr>
            </w:pPr>
            <w:r w:rsidRPr="000D545A">
              <w:rPr>
                <w:rFonts w:ascii="Arial" w:hAnsi="Arial" w:cs="Arial"/>
                <w:sz w:val="20"/>
                <w:szCs w:val="20"/>
              </w:rPr>
              <w:t>2.618,76</w:t>
            </w:r>
          </w:p>
        </w:tc>
      </w:tr>
      <w:tr w:rsidR="000D545A" w:rsidRPr="000D545A" w14:paraId="0C7842CF" w14:textId="77777777" w:rsidTr="000D545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7A9F618D" w14:textId="77777777" w:rsidR="000D545A" w:rsidRPr="000D545A" w:rsidRDefault="000D545A" w:rsidP="000D545A">
            <w:pPr>
              <w:ind w:left="0" w:right="0" w:firstLine="0"/>
              <w:jc w:val="center"/>
              <w:rPr>
                <w:sz w:val="20"/>
                <w:szCs w:val="20"/>
              </w:rPr>
            </w:pPr>
            <w:r w:rsidRPr="000D545A">
              <w:rPr>
                <w:sz w:val="20"/>
                <w:szCs w:val="20"/>
              </w:rPr>
              <w:t>9</w:t>
            </w:r>
          </w:p>
        </w:tc>
        <w:tc>
          <w:tcPr>
            <w:tcW w:w="7376" w:type="dxa"/>
            <w:tcBorders>
              <w:top w:val="nil"/>
              <w:left w:val="nil"/>
              <w:bottom w:val="single" w:sz="4" w:space="0" w:color="auto"/>
              <w:right w:val="single" w:sz="4" w:space="0" w:color="auto"/>
            </w:tcBorders>
            <w:shd w:val="clear" w:color="auto" w:fill="auto"/>
            <w:vAlign w:val="center"/>
            <w:hideMark/>
          </w:tcPr>
          <w:p w14:paraId="4F6E5BF4" w14:textId="77777777" w:rsidR="000D545A" w:rsidRPr="000D545A" w:rsidRDefault="000D545A" w:rsidP="000D545A">
            <w:pPr>
              <w:ind w:left="0" w:right="0" w:firstLine="0"/>
              <w:jc w:val="left"/>
              <w:rPr>
                <w:sz w:val="20"/>
                <w:szCs w:val="20"/>
              </w:rPr>
            </w:pPr>
            <w:r w:rsidRPr="000D545A">
              <w:rPr>
                <w:sz w:val="20"/>
                <w:szCs w:val="20"/>
              </w:rPr>
              <w:t>Расходи по основу организације, пријема, манифестација и остали расходи</w:t>
            </w:r>
          </w:p>
        </w:tc>
        <w:tc>
          <w:tcPr>
            <w:tcW w:w="1843" w:type="dxa"/>
            <w:tcBorders>
              <w:top w:val="nil"/>
              <w:left w:val="nil"/>
              <w:bottom w:val="single" w:sz="4" w:space="0" w:color="auto"/>
              <w:right w:val="double" w:sz="6" w:space="0" w:color="auto"/>
            </w:tcBorders>
            <w:shd w:val="clear" w:color="auto" w:fill="auto"/>
            <w:noWrap/>
            <w:vAlign w:val="center"/>
            <w:hideMark/>
          </w:tcPr>
          <w:p w14:paraId="57CA71B0" w14:textId="77777777" w:rsidR="000D545A" w:rsidRPr="000D545A" w:rsidRDefault="000D545A" w:rsidP="000D545A">
            <w:pPr>
              <w:ind w:left="0" w:right="0" w:firstLine="0"/>
              <w:jc w:val="right"/>
              <w:rPr>
                <w:rFonts w:ascii="Arial" w:hAnsi="Arial" w:cs="Arial"/>
                <w:sz w:val="20"/>
                <w:szCs w:val="20"/>
              </w:rPr>
            </w:pPr>
            <w:r w:rsidRPr="000D545A">
              <w:rPr>
                <w:rFonts w:ascii="Arial" w:hAnsi="Arial" w:cs="Arial"/>
                <w:sz w:val="20"/>
                <w:szCs w:val="20"/>
              </w:rPr>
              <w:t>62.661,30</w:t>
            </w:r>
          </w:p>
        </w:tc>
      </w:tr>
      <w:tr w:rsidR="000D545A" w:rsidRPr="000D545A" w14:paraId="3813919B" w14:textId="77777777" w:rsidTr="000D545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7CA7B8D1" w14:textId="77777777" w:rsidR="000D545A" w:rsidRPr="000D545A" w:rsidRDefault="000D545A" w:rsidP="000D545A">
            <w:pPr>
              <w:ind w:left="0" w:right="0" w:firstLine="0"/>
              <w:jc w:val="center"/>
              <w:rPr>
                <w:sz w:val="20"/>
                <w:szCs w:val="20"/>
              </w:rPr>
            </w:pPr>
            <w:r w:rsidRPr="000D545A">
              <w:rPr>
                <w:sz w:val="20"/>
                <w:szCs w:val="20"/>
              </w:rPr>
              <w:t>10</w:t>
            </w:r>
          </w:p>
        </w:tc>
        <w:tc>
          <w:tcPr>
            <w:tcW w:w="7376" w:type="dxa"/>
            <w:tcBorders>
              <w:top w:val="nil"/>
              <w:left w:val="nil"/>
              <w:bottom w:val="single" w:sz="4" w:space="0" w:color="auto"/>
              <w:right w:val="single" w:sz="4" w:space="0" w:color="auto"/>
            </w:tcBorders>
            <w:shd w:val="clear" w:color="auto" w:fill="auto"/>
            <w:vAlign w:val="bottom"/>
            <w:hideMark/>
          </w:tcPr>
          <w:p w14:paraId="496A1DEA" w14:textId="77777777" w:rsidR="000D545A" w:rsidRPr="000D545A" w:rsidRDefault="000D545A" w:rsidP="000D545A">
            <w:pPr>
              <w:ind w:left="0" w:right="0" w:firstLine="0"/>
              <w:jc w:val="left"/>
              <w:rPr>
                <w:sz w:val="20"/>
                <w:szCs w:val="20"/>
              </w:rPr>
            </w:pPr>
            <w:r w:rsidRPr="000D545A">
              <w:rPr>
                <w:sz w:val="20"/>
                <w:szCs w:val="20"/>
              </w:rPr>
              <w:t>Остали непоменути расходи - Територијална ватрогасна јединица</w:t>
            </w:r>
          </w:p>
        </w:tc>
        <w:tc>
          <w:tcPr>
            <w:tcW w:w="1843" w:type="dxa"/>
            <w:tcBorders>
              <w:top w:val="nil"/>
              <w:left w:val="nil"/>
              <w:bottom w:val="single" w:sz="4" w:space="0" w:color="auto"/>
              <w:right w:val="double" w:sz="6" w:space="0" w:color="auto"/>
            </w:tcBorders>
            <w:shd w:val="clear" w:color="auto" w:fill="auto"/>
            <w:noWrap/>
            <w:vAlign w:val="center"/>
            <w:hideMark/>
          </w:tcPr>
          <w:p w14:paraId="070A7ABE" w14:textId="77777777" w:rsidR="000D545A" w:rsidRPr="000D545A" w:rsidRDefault="000D545A" w:rsidP="000D545A">
            <w:pPr>
              <w:ind w:left="0" w:right="0" w:firstLine="0"/>
              <w:jc w:val="right"/>
              <w:rPr>
                <w:rFonts w:ascii="Arial" w:hAnsi="Arial" w:cs="Arial"/>
                <w:sz w:val="20"/>
                <w:szCs w:val="20"/>
              </w:rPr>
            </w:pPr>
            <w:r w:rsidRPr="000D545A">
              <w:rPr>
                <w:rFonts w:ascii="Arial" w:hAnsi="Arial" w:cs="Arial"/>
                <w:sz w:val="20"/>
                <w:szCs w:val="20"/>
              </w:rPr>
              <w:t>2.630,58</w:t>
            </w:r>
          </w:p>
        </w:tc>
      </w:tr>
      <w:tr w:rsidR="000D545A" w:rsidRPr="000D545A" w14:paraId="6A5A9C5D" w14:textId="77777777" w:rsidTr="000D545A">
        <w:trPr>
          <w:trHeight w:val="510"/>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61C5C531" w14:textId="77777777" w:rsidR="000D545A" w:rsidRPr="000D545A" w:rsidRDefault="000D545A" w:rsidP="000D545A">
            <w:pPr>
              <w:ind w:left="0" w:right="0" w:firstLine="0"/>
              <w:jc w:val="center"/>
              <w:rPr>
                <w:sz w:val="20"/>
                <w:szCs w:val="20"/>
              </w:rPr>
            </w:pPr>
            <w:r w:rsidRPr="000D545A">
              <w:rPr>
                <w:sz w:val="20"/>
                <w:szCs w:val="20"/>
              </w:rPr>
              <w:t>11</w:t>
            </w:r>
          </w:p>
        </w:tc>
        <w:tc>
          <w:tcPr>
            <w:tcW w:w="7376" w:type="dxa"/>
            <w:tcBorders>
              <w:top w:val="nil"/>
              <w:left w:val="nil"/>
              <w:bottom w:val="single" w:sz="4" w:space="0" w:color="auto"/>
              <w:right w:val="single" w:sz="4" w:space="0" w:color="auto"/>
            </w:tcBorders>
            <w:shd w:val="clear" w:color="auto" w:fill="auto"/>
            <w:vAlign w:val="bottom"/>
            <w:hideMark/>
          </w:tcPr>
          <w:p w14:paraId="7B2AD97D" w14:textId="77777777" w:rsidR="000D545A" w:rsidRPr="000D545A" w:rsidRDefault="000D545A" w:rsidP="000D545A">
            <w:pPr>
              <w:ind w:left="0" w:right="0" w:firstLine="0"/>
              <w:jc w:val="left"/>
              <w:rPr>
                <w:sz w:val="20"/>
                <w:szCs w:val="20"/>
              </w:rPr>
            </w:pPr>
            <w:r w:rsidRPr="000D545A">
              <w:rPr>
                <w:sz w:val="20"/>
                <w:szCs w:val="20"/>
              </w:rPr>
              <w:t xml:space="preserve">Средства за оперативно спровођење </w:t>
            </w:r>
            <w:proofErr w:type="spellStart"/>
            <w:r w:rsidRPr="000D545A">
              <w:rPr>
                <w:sz w:val="20"/>
                <w:szCs w:val="20"/>
              </w:rPr>
              <w:t>мјера</w:t>
            </w:r>
            <w:proofErr w:type="spellEnd"/>
            <w:r w:rsidRPr="000D545A">
              <w:rPr>
                <w:sz w:val="20"/>
                <w:szCs w:val="20"/>
              </w:rPr>
              <w:t xml:space="preserve"> и активности цивилне заштите у систему заштите и спасавања</w:t>
            </w:r>
          </w:p>
        </w:tc>
        <w:tc>
          <w:tcPr>
            <w:tcW w:w="1843" w:type="dxa"/>
            <w:tcBorders>
              <w:top w:val="nil"/>
              <w:left w:val="nil"/>
              <w:bottom w:val="single" w:sz="4" w:space="0" w:color="auto"/>
              <w:right w:val="double" w:sz="6" w:space="0" w:color="auto"/>
            </w:tcBorders>
            <w:shd w:val="clear" w:color="auto" w:fill="auto"/>
            <w:noWrap/>
            <w:vAlign w:val="center"/>
            <w:hideMark/>
          </w:tcPr>
          <w:p w14:paraId="35E697CE" w14:textId="77777777" w:rsidR="000D545A" w:rsidRPr="000D545A" w:rsidRDefault="000D545A" w:rsidP="000D545A">
            <w:pPr>
              <w:ind w:left="0" w:right="0" w:firstLine="0"/>
              <w:jc w:val="right"/>
              <w:rPr>
                <w:rFonts w:ascii="Arial" w:hAnsi="Arial" w:cs="Arial"/>
                <w:sz w:val="20"/>
                <w:szCs w:val="20"/>
              </w:rPr>
            </w:pPr>
            <w:r w:rsidRPr="000D545A">
              <w:rPr>
                <w:rFonts w:ascii="Arial" w:hAnsi="Arial" w:cs="Arial"/>
                <w:sz w:val="20"/>
                <w:szCs w:val="20"/>
              </w:rPr>
              <w:t>18.848,41</w:t>
            </w:r>
          </w:p>
        </w:tc>
      </w:tr>
      <w:tr w:rsidR="000D545A" w:rsidRPr="000D545A" w14:paraId="6AB310BD" w14:textId="77777777" w:rsidTr="000D545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312D9685" w14:textId="77777777" w:rsidR="000D545A" w:rsidRPr="000D545A" w:rsidRDefault="000D545A" w:rsidP="000D545A">
            <w:pPr>
              <w:ind w:left="0" w:right="0" w:firstLine="0"/>
              <w:jc w:val="center"/>
              <w:rPr>
                <w:sz w:val="20"/>
                <w:szCs w:val="20"/>
              </w:rPr>
            </w:pPr>
            <w:r w:rsidRPr="000D545A">
              <w:rPr>
                <w:sz w:val="20"/>
                <w:szCs w:val="20"/>
              </w:rPr>
              <w:t>12</w:t>
            </w:r>
          </w:p>
        </w:tc>
        <w:tc>
          <w:tcPr>
            <w:tcW w:w="7376" w:type="dxa"/>
            <w:tcBorders>
              <w:top w:val="nil"/>
              <w:left w:val="nil"/>
              <w:bottom w:val="single" w:sz="4" w:space="0" w:color="auto"/>
              <w:right w:val="single" w:sz="4" w:space="0" w:color="auto"/>
            </w:tcBorders>
            <w:shd w:val="clear" w:color="auto" w:fill="auto"/>
            <w:vAlign w:val="bottom"/>
            <w:hideMark/>
          </w:tcPr>
          <w:p w14:paraId="3CF43406" w14:textId="77777777" w:rsidR="000D545A" w:rsidRPr="000D545A" w:rsidRDefault="000D545A" w:rsidP="000D545A">
            <w:pPr>
              <w:ind w:left="0" w:right="0" w:firstLine="0"/>
              <w:jc w:val="left"/>
              <w:rPr>
                <w:sz w:val="20"/>
                <w:szCs w:val="20"/>
              </w:rPr>
            </w:pPr>
            <w:r w:rsidRPr="000D545A">
              <w:rPr>
                <w:sz w:val="20"/>
                <w:szCs w:val="20"/>
              </w:rPr>
              <w:t>Средства за боравак лица у локалном карантину</w:t>
            </w:r>
          </w:p>
        </w:tc>
        <w:tc>
          <w:tcPr>
            <w:tcW w:w="1843" w:type="dxa"/>
            <w:tcBorders>
              <w:top w:val="nil"/>
              <w:left w:val="nil"/>
              <w:bottom w:val="single" w:sz="4" w:space="0" w:color="auto"/>
              <w:right w:val="double" w:sz="6" w:space="0" w:color="auto"/>
            </w:tcBorders>
            <w:shd w:val="clear" w:color="auto" w:fill="auto"/>
            <w:noWrap/>
            <w:vAlign w:val="center"/>
            <w:hideMark/>
          </w:tcPr>
          <w:p w14:paraId="7F7C9D7F" w14:textId="77777777" w:rsidR="000D545A" w:rsidRPr="000D545A" w:rsidRDefault="000D545A" w:rsidP="000D545A">
            <w:pPr>
              <w:ind w:left="0" w:right="0" w:firstLine="0"/>
              <w:jc w:val="right"/>
              <w:rPr>
                <w:rFonts w:ascii="Arial" w:hAnsi="Arial" w:cs="Arial"/>
                <w:sz w:val="20"/>
                <w:szCs w:val="20"/>
              </w:rPr>
            </w:pPr>
            <w:r w:rsidRPr="000D545A">
              <w:rPr>
                <w:rFonts w:ascii="Arial" w:hAnsi="Arial" w:cs="Arial"/>
                <w:sz w:val="20"/>
                <w:szCs w:val="20"/>
              </w:rPr>
              <w:t>26.398,62</w:t>
            </w:r>
          </w:p>
        </w:tc>
      </w:tr>
      <w:tr w:rsidR="000D545A" w:rsidRPr="000D545A" w14:paraId="152ACCB9" w14:textId="77777777" w:rsidTr="000D545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72960962" w14:textId="77777777" w:rsidR="000D545A" w:rsidRPr="000D545A" w:rsidRDefault="000D545A" w:rsidP="000D545A">
            <w:pPr>
              <w:ind w:left="0" w:right="0" w:firstLine="0"/>
              <w:jc w:val="center"/>
              <w:rPr>
                <w:sz w:val="20"/>
                <w:szCs w:val="20"/>
              </w:rPr>
            </w:pPr>
            <w:r w:rsidRPr="000D545A">
              <w:rPr>
                <w:sz w:val="20"/>
                <w:szCs w:val="20"/>
              </w:rPr>
              <w:t>13</w:t>
            </w:r>
          </w:p>
        </w:tc>
        <w:tc>
          <w:tcPr>
            <w:tcW w:w="7376" w:type="dxa"/>
            <w:tcBorders>
              <w:top w:val="nil"/>
              <w:left w:val="nil"/>
              <w:bottom w:val="single" w:sz="4" w:space="0" w:color="auto"/>
              <w:right w:val="single" w:sz="4" w:space="0" w:color="auto"/>
            </w:tcBorders>
            <w:shd w:val="clear" w:color="auto" w:fill="auto"/>
            <w:vAlign w:val="bottom"/>
            <w:hideMark/>
          </w:tcPr>
          <w:p w14:paraId="00F2F5EF" w14:textId="77777777" w:rsidR="000D545A" w:rsidRPr="000D545A" w:rsidRDefault="000D545A" w:rsidP="000D545A">
            <w:pPr>
              <w:ind w:left="0" w:right="0" w:firstLine="0"/>
              <w:jc w:val="left"/>
              <w:rPr>
                <w:sz w:val="20"/>
                <w:szCs w:val="20"/>
              </w:rPr>
            </w:pPr>
            <w:r w:rsidRPr="000D545A">
              <w:rPr>
                <w:sz w:val="20"/>
                <w:szCs w:val="20"/>
              </w:rPr>
              <w:t xml:space="preserve">Трошкови </w:t>
            </w:r>
            <w:proofErr w:type="spellStart"/>
            <w:r w:rsidRPr="000D545A">
              <w:rPr>
                <w:sz w:val="20"/>
                <w:szCs w:val="20"/>
              </w:rPr>
              <w:t>вјенчања</w:t>
            </w:r>
            <w:proofErr w:type="spellEnd"/>
          </w:p>
        </w:tc>
        <w:tc>
          <w:tcPr>
            <w:tcW w:w="1843" w:type="dxa"/>
            <w:tcBorders>
              <w:top w:val="nil"/>
              <w:left w:val="nil"/>
              <w:bottom w:val="single" w:sz="4" w:space="0" w:color="auto"/>
              <w:right w:val="double" w:sz="6" w:space="0" w:color="auto"/>
            </w:tcBorders>
            <w:shd w:val="clear" w:color="auto" w:fill="auto"/>
            <w:noWrap/>
            <w:vAlign w:val="center"/>
            <w:hideMark/>
          </w:tcPr>
          <w:p w14:paraId="03D172B9" w14:textId="77777777" w:rsidR="000D545A" w:rsidRPr="000D545A" w:rsidRDefault="000D545A" w:rsidP="000D545A">
            <w:pPr>
              <w:ind w:left="0" w:right="0" w:firstLine="0"/>
              <w:jc w:val="right"/>
              <w:rPr>
                <w:rFonts w:ascii="Arial" w:hAnsi="Arial" w:cs="Arial"/>
                <w:sz w:val="20"/>
                <w:szCs w:val="20"/>
              </w:rPr>
            </w:pPr>
            <w:r w:rsidRPr="000D545A">
              <w:rPr>
                <w:rFonts w:ascii="Arial" w:hAnsi="Arial" w:cs="Arial"/>
                <w:sz w:val="20"/>
                <w:szCs w:val="20"/>
              </w:rPr>
              <w:t>10.774,46</w:t>
            </w:r>
          </w:p>
        </w:tc>
      </w:tr>
      <w:tr w:rsidR="000D545A" w:rsidRPr="000D545A" w14:paraId="21708931" w14:textId="77777777" w:rsidTr="000D545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25FC85F2" w14:textId="77777777" w:rsidR="000D545A" w:rsidRPr="000D545A" w:rsidRDefault="000D545A" w:rsidP="000D545A">
            <w:pPr>
              <w:ind w:left="0" w:right="0" w:firstLine="0"/>
              <w:jc w:val="center"/>
              <w:rPr>
                <w:sz w:val="20"/>
                <w:szCs w:val="20"/>
              </w:rPr>
            </w:pPr>
            <w:r w:rsidRPr="000D545A">
              <w:rPr>
                <w:sz w:val="20"/>
                <w:szCs w:val="20"/>
              </w:rPr>
              <w:t>14</w:t>
            </w:r>
          </w:p>
        </w:tc>
        <w:tc>
          <w:tcPr>
            <w:tcW w:w="7376" w:type="dxa"/>
            <w:tcBorders>
              <w:top w:val="nil"/>
              <w:left w:val="nil"/>
              <w:bottom w:val="single" w:sz="4" w:space="0" w:color="auto"/>
              <w:right w:val="single" w:sz="4" w:space="0" w:color="auto"/>
            </w:tcBorders>
            <w:shd w:val="clear" w:color="auto" w:fill="auto"/>
            <w:vAlign w:val="bottom"/>
            <w:hideMark/>
          </w:tcPr>
          <w:p w14:paraId="63AB59FA" w14:textId="77777777" w:rsidR="000D545A" w:rsidRPr="000D545A" w:rsidRDefault="000D545A" w:rsidP="000D545A">
            <w:pPr>
              <w:ind w:left="0" w:right="0" w:firstLine="0"/>
              <w:jc w:val="left"/>
              <w:rPr>
                <w:sz w:val="20"/>
                <w:szCs w:val="20"/>
              </w:rPr>
            </w:pPr>
            <w:r w:rsidRPr="000D545A">
              <w:rPr>
                <w:sz w:val="20"/>
                <w:szCs w:val="20"/>
              </w:rPr>
              <w:t xml:space="preserve">Трошкови </w:t>
            </w:r>
            <w:proofErr w:type="spellStart"/>
            <w:r w:rsidRPr="000D545A">
              <w:rPr>
                <w:sz w:val="20"/>
                <w:szCs w:val="20"/>
              </w:rPr>
              <w:t>обиљежавања</w:t>
            </w:r>
            <w:proofErr w:type="spellEnd"/>
            <w:r w:rsidRPr="000D545A">
              <w:rPr>
                <w:sz w:val="20"/>
                <w:szCs w:val="20"/>
              </w:rPr>
              <w:t xml:space="preserve"> значајних датума у </w:t>
            </w:r>
            <w:proofErr w:type="spellStart"/>
            <w:r w:rsidRPr="000D545A">
              <w:rPr>
                <w:sz w:val="20"/>
                <w:szCs w:val="20"/>
              </w:rPr>
              <w:t>мјесним</w:t>
            </w:r>
            <w:proofErr w:type="spellEnd"/>
            <w:r w:rsidRPr="000D545A">
              <w:rPr>
                <w:sz w:val="20"/>
                <w:szCs w:val="20"/>
              </w:rPr>
              <w:t xml:space="preserve"> заједницама</w:t>
            </w:r>
          </w:p>
        </w:tc>
        <w:tc>
          <w:tcPr>
            <w:tcW w:w="1843" w:type="dxa"/>
            <w:tcBorders>
              <w:top w:val="nil"/>
              <w:left w:val="nil"/>
              <w:bottom w:val="single" w:sz="4" w:space="0" w:color="auto"/>
              <w:right w:val="double" w:sz="6" w:space="0" w:color="auto"/>
            </w:tcBorders>
            <w:shd w:val="clear" w:color="auto" w:fill="auto"/>
            <w:noWrap/>
            <w:vAlign w:val="center"/>
            <w:hideMark/>
          </w:tcPr>
          <w:p w14:paraId="3FA7BFA9" w14:textId="77777777" w:rsidR="000D545A" w:rsidRPr="000D545A" w:rsidRDefault="000D545A" w:rsidP="000D545A">
            <w:pPr>
              <w:ind w:left="0" w:right="0" w:firstLine="0"/>
              <w:jc w:val="right"/>
              <w:rPr>
                <w:rFonts w:ascii="Arial" w:hAnsi="Arial" w:cs="Arial"/>
                <w:sz w:val="20"/>
                <w:szCs w:val="20"/>
              </w:rPr>
            </w:pPr>
            <w:r w:rsidRPr="000D545A">
              <w:rPr>
                <w:rFonts w:ascii="Arial" w:hAnsi="Arial" w:cs="Arial"/>
                <w:sz w:val="20"/>
                <w:szCs w:val="20"/>
              </w:rPr>
              <w:t>1.000,00</w:t>
            </w:r>
          </w:p>
        </w:tc>
      </w:tr>
      <w:tr w:rsidR="000D545A" w:rsidRPr="000D545A" w14:paraId="0DB5FEF2" w14:textId="77777777" w:rsidTr="000D545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754BEB9F" w14:textId="77777777" w:rsidR="000D545A" w:rsidRPr="000D545A" w:rsidRDefault="000D545A" w:rsidP="000D545A">
            <w:pPr>
              <w:ind w:left="0" w:right="0" w:firstLine="0"/>
              <w:jc w:val="center"/>
              <w:rPr>
                <w:sz w:val="20"/>
                <w:szCs w:val="20"/>
              </w:rPr>
            </w:pPr>
            <w:r w:rsidRPr="000D545A">
              <w:rPr>
                <w:sz w:val="20"/>
                <w:szCs w:val="20"/>
              </w:rPr>
              <w:t>15</w:t>
            </w:r>
          </w:p>
        </w:tc>
        <w:tc>
          <w:tcPr>
            <w:tcW w:w="7376" w:type="dxa"/>
            <w:tcBorders>
              <w:top w:val="nil"/>
              <w:left w:val="nil"/>
              <w:bottom w:val="single" w:sz="4" w:space="0" w:color="auto"/>
              <w:right w:val="single" w:sz="4" w:space="0" w:color="auto"/>
            </w:tcBorders>
            <w:shd w:val="clear" w:color="auto" w:fill="auto"/>
            <w:vAlign w:val="bottom"/>
            <w:hideMark/>
          </w:tcPr>
          <w:p w14:paraId="7C9B3642" w14:textId="77777777" w:rsidR="000D545A" w:rsidRPr="000D545A" w:rsidRDefault="000D545A" w:rsidP="000D545A">
            <w:pPr>
              <w:ind w:left="0" w:right="0" w:firstLine="0"/>
              <w:jc w:val="left"/>
              <w:rPr>
                <w:sz w:val="20"/>
                <w:szCs w:val="20"/>
              </w:rPr>
            </w:pPr>
            <w:r w:rsidRPr="000D545A">
              <w:rPr>
                <w:sz w:val="20"/>
                <w:szCs w:val="20"/>
              </w:rPr>
              <w:t>Расходи за стручно усавршавање запослених (ПЈ 140 + ПЈ 240)</w:t>
            </w:r>
          </w:p>
        </w:tc>
        <w:tc>
          <w:tcPr>
            <w:tcW w:w="1843" w:type="dxa"/>
            <w:tcBorders>
              <w:top w:val="nil"/>
              <w:left w:val="nil"/>
              <w:bottom w:val="single" w:sz="4" w:space="0" w:color="auto"/>
              <w:right w:val="double" w:sz="6" w:space="0" w:color="auto"/>
            </w:tcBorders>
            <w:shd w:val="clear" w:color="auto" w:fill="auto"/>
            <w:noWrap/>
            <w:vAlign w:val="center"/>
            <w:hideMark/>
          </w:tcPr>
          <w:p w14:paraId="697D79C9" w14:textId="77777777" w:rsidR="000D545A" w:rsidRPr="000D545A" w:rsidRDefault="000D545A" w:rsidP="000D545A">
            <w:pPr>
              <w:ind w:left="0" w:right="0" w:firstLine="0"/>
              <w:jc w:val="right"/>
              <w:rPr>
                <w:rFonts w:ascii="Arial" w:hAnsi="Arial" w:cs="Arial"/>
                <w:sz w:val="20"/>
                <w:szCs w:val="20"/>
              </w:rPr>
            </w:pPr>
            <w:r w:rsidRPr="000D545A">
              <w:rPr>
                <w:rFonts w:ascii="Arial" w:hAnsi="Arial" w:cs="Arial"/>
                <w:sz w:val="20"/>
                <w:szCs w:val="20"/>
              </w:rPr>
              <w:t>1.290,50</w:t>
            </w:r>
          </w:p>
        </w:tc>
      </w:tr>
      <w:tr w:rsidR="000D545A" w:rsidRPr="000D545A" w14:paraId="354ED370" w14:textId="77777777" w:rsidTr="000D545A">
        <w:trPr>
          <w:trHeight w:val="49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1A02451C" w14:textId="77777777" w:rsidR="000D545A" w:rsidRPr="000D545A" w:rsidRDefault="000D545A" w:rsidP="000D545A">
            <w:pPr>
              <w:ind w:left="0" w:right="0" w:firstLine="0"/>
              <w:jc w:val="center"/>
              <w:rPr>
                <w:sz w:val="20"/>
                <w:szCs w:val="20"/>
              </w:rPr>
            </w:pPr>
            <w:r w:rsidRPr="000D545A">
              <w:rPr>
                <w:sz w:val="20"/>
                <w:szCs w:val="20"/>
              </w:rPr>
              <w:t>16</w:t>
            </w:r>
          </w:p>
        </w:tc>
        <w:tc>
          <w:tcPr>
            <w:tcW w:w="7376" w:type="dxa"/>
            <w:tcBorders>
              <w:top w:val="nil"/>
              <w:left w:val="nil"/>
              <w:bottom w:val="single" w:sz="4" w:space="0" w:color="auto"/>
              <w:right w:val="single" w:sz="4" w:space="0" w:color="auto"/>
            </w:tcBorders>
            <w:shd w:val="clear" w:color="auto" w:fill="auto"/>
            <w:vAlign w:val="bottom"/>
            <w:hideMark/>
          </w:tcPr>
          <w:p w14:paraId="642209AD" w14:textId="77777777" w:rsidR="000D545A" w:rsidRPr="000D545A" w:rsidRDefault="000D545A" w:rsidP="000D545A">
            <w:pPr>
              <w:ind w:left="0" w:right="0" w:firstLine="0"/>
              <w:jc w:val="left"/>
              <w:rPr>
                <w:sz w:val="20"/>
                <w:szCs w:val="20"/>
              </w:rPr>
            </w:pPr>
            <w:r w:rsidRPr="000D545A">
              <w:rPr>
                <w:sz w:val="20"/>
                <w:szCs w:val="20"/>
              </w:rPr>
              <w:t xml:space="preserve">Трошкови комисије за преглед пројектне документације, технички пријем објеката и друге комисије </w:t>
            </w:r>
          </w:p>
        </w:tc>
        <w:tc>
          <w:tcPr>
            <w:tcW w:w="1843" w:type="dxa"/>
            <w:tcBorders>
              <w:top w:val="nil"/>
              <w:left w:val="nil"/>
              <w:bottom w:val="single" w:sz="4" w:space="0" w:color="auto"/>
              <w:right w:val="double" w:sz="6" w:space="0" w:color="auto"/>
            </w:tcBorders>
            <w:shd w:val="clear" w:color="auto" w:fill="auto"/>
            <w:noWrap/>
            <w:vAlign w:val="center"/>
            <w:hideMark/>
          </w:tcPr>
          <w:p w14:paraId="08DA2F22" w14:textId="77777777" w:rsidR="000D545A" w:rsidRPr="000D545A" w:rsidRDefault="000D545A" w:rsidP="000D545A">
            <w:pPr>
              <w:ind w:left="0" w:right="0" w:firstLine="0"/>
              <w:jc w:val="right"/>
              <w:rPr>
                <w:rFonts w:ascii="Arial" w:hAnsi="Arial" w:cs="Arial"/>
                <w:sz w:val="20"/>
                <w:szCs w:val="20"/>
              </w:rPr>
            </w:pPr>
            <w:r w:rsidRPr="000D545A">
              <w:rPr>
                <w:rFonts w:ascii="Arial" w:hAnsi="Arial" w:cs="Arial"/>
                <w:sz w:val="20"/>
                <w:szCs w:val="20"/>
              </w:rPr>
              <w:t>23.062,58</w:t>
            </w:r>
          </w:p>
        </w:tc>
      </w:tr>
      <w:tr w:rsidR="000D545A" w:rsidRPr="000D545A" w14:paraId="165FA5B1" w14:textId="77777777" w:rsidTr="000D545A">
        <w:trPr>
          <w:trHeight w:val="22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2C125059" w14:textId="77777777" w:rsidR="000D545A" w:rsidRPr="000D545A" w:rsidRDefault="000D545A" w:rsidP="000D545A">
            <w:pPr>
              <w:ind w:left="0" w:right="0" w:firstLine="0"/>
              <w:jc w:val="center"/>
              <w:rPr>
                <w:sz w:val="20"/>
                <w:szCs w:val="20"/>
              </w:rPr>
            </w:pPr>
            <w:r w:rsidRPr="000D545A">
              <w:rPr>
                <w:sz w:val="20"/>
                <w:szCs w:val="20"/>
              </w:rPr>
              <w:t>17</w:t>
            </w:r>
          </w:p>
        </w:tc>
        <w:tc>
          <w:tcPr>
            <w:tcW w:w="7376" w:type="dxa"/>
            <w:tcBorders>
              <w:top w:val="nil"/>
              <w:left w:val="nil"/>
              <w:bottom w:val="single" w:sz="4" w:space="0" w:color="auto"/>
              <w:right w:val="single" w:sz="4" w:space="0" w:color="auto"/>
            </w:tcBorders>
            <w:shd w:val="clear" w:color="auto" w:fill="auto"/>
            <w:vAlign w:val="center"/>
            <w:hideMark/>
          </w:tcPr>
          <w:p w14:paraId="55A125F2" w14:textId="77777777" w:rsidR="000D545A" w:rsidRPr="000D545A" w:rsidRDefault="000D545A" w:rsidP="000D545A">
            <w:pPr>
              <w:ind w:left="0" w:right="0" w:firstLine="0"/>
              <w:jc w:val="left"/>
              <w:rPr>
                <w:sz w:val="20"/>
                <w:szCs w:val="20"/>
              </w:rPr>
            </w:pPr>
            <w:r w:rsidRPr="000D545A">
              <w:rPr>
                <w:sz w:val="20"/>
                <w:szCs w:val="20"/>
              </w:rPr>
              <w:t>Трошкови услуга контроле и наплате комуналне таксе за паркирање возила</w:t>
            </w:r>
          </w:p>
        </w:tc>
        <w:tc>
          <w:tcPr>
            <w:tcW w:w="1843" w:type="dxa"/>
            <w:tcBorders>
              <w:top w:val="nil"/>
              <w:left w:val="nil"/>
              <w:bottom w:val="single" w:sz="4" w:space="0" w:color="auto"/>
              <w:right w:val="double" w:sz="6" w:space="0" w:color="auto"/>
            </w:tcBorders>
            <w:shd w:val="clear" w:color="auto" w:fill="auto"/>
            <w:noWrap/>
            <w:vAlign w:val="center"/>
            <w:hideMark/>
          </w:tcPr>
          <w:p w14:paraId="223996EC" w14:textId="77777777" w:rsidR="000D545A" w:rsidRPr="000D545A" w:rsidRDefault="000D545A" w:rsidP="000D545A">
            <w:pPr>
              <w:ind w:left="0" w:right="0" w:firstLine="0"/>
              <w:jc w:val="right"/>
              <w:rPr>
                <w:rFonts w:ascii="Arial" w:hAnsi="Arial" w:cs="Arial"/>
                <w:sz w:val="20"/>
                <w:szCs w:val="20"/>
              </w:rPr>
            </w:pPr>
            <w:r w:rsidRPr="000D545A">
              <w:rPr>
                <w:rFonts w:ascii="Arial" w:hAnsi="Arial" w:cs="Arial"/>
                <w:sz w:val="20"/>
                <w:szCs w:val="20"/>
              </w:rPr>
              <w:t>60.465,19</w:t>
            </w:r>
          </w:p>
        </w:tc>
      </w:tr>
      <w:tr w:rsidR="000D545A" w:rsidRPr="000D545A" w14:paraId="2D36365B" w14:textId="77777777" w:rsidTr="000D545A">
        <w:trPr>
          <w:trHeight w:val="300"/>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6E64357D" w14:textId="77777777" w:rsidR="000D545A" w:rsidRPr="000D545A" w:rsidRDefault="000D545A" w:rsidP="000D545A">
            <w:pPr>
              <w:ind w:left="0" w:right="0" w:firstLine="0"/>
              <w:jc w:val="center"/>
              <w:rPr>
                <w:sz w:val="20"/>
                <w:szCs w:val="20"/>
              </w:rPr>
            </w:pPr>
            <w:r w:rsidRPr="000D545A">
              <w:rPr>
                <w:sz w:val="20"/>
                <w:szCs w:val="20"/>
              </w:rPr>
              <w:t>18</w:t>
            </w:r>
          </w:p>
        </w:tc>
        <w:tc>
          <w:tcPr>
            <w:tcW w:w="7376" w:type="dxa"/>
            <w:tcBorders>
              <w:top w:val="nil"/>
              <w:left w:val="nil"/>
              <w:bottom w:val="single" w:sz="4" w:space="0" w:color="auto"/>
              <w:right w:val="single" w:sz="4" w:space="0" w:color="auto"/>
            </w:tcBorders>
            <w:shd w:val="clear" w:color="auto" w:fill="auto"/>
            <w:vAlign w:val="center"/>
            <w:hideMark/>
          </w:tcPr>
          <w:p w14:paraId="1564F379" w14:textId="77777777" w:rsidR="000D545A" w:rsidRPr="000D545A" w:rsidRDefault="000D545A" w:rsidP="000D545A">
            <w:pPr>
              <w:ind w:left="0" w:right="0" w:firstLine="0"/>
              <w:jc w:val="left"/>
              <w:rPr>
                <w:sz w:val="20"/>
                <w:szCs w:val="20"/>
              </w:rPr>
            </w:pPr>
            <w:r w:rsidRPr="000D545A">
              <w:rPr>
                <w:sz w:val="20"/>
                <w:szCs w:val="20"/>
              </w:rPr>
              <w:t xml:space="preserve">Трошкови хоризонталне и </w:t>
            </w:r>
            <w:proofErr w:type="spellStart"/>
            <w:r w:rsidRPr="000D545A">
              <w:rPr>
                <w:sz w:val="20"/>
                <w:szCs w:val="20"/>
              </w:rPr>
              <w:t>вертиклане</w:t>
            </w:r>
            <w:proofErr w:type="spellEnd"/>
            <w:r w:rsidRPr="000D545A">
              <w:rPr>
                <w:sz w:val="20"/>
                <w:szCs w:val="20"/>
              </w:rPr>
              <w:t xml:space="preserve"> сигнализације и одржавање семафора</w:t>
            </w:r>
          </w:p>
        </w:tc>
        <w:tc>
          <w:tcPr>
            <w:tcW w:w="1843" w:type="dxa"/>
            <w:tcBorders>
              <w:top w:val="nil"/>
              <w:left w:val="nil"/>
              <w:bottom w:val="single" w:sz="4" w:space="0" w:color="auto"/>
              <w:right w:val="double" w:sz="6" w:space="0" w:color="auto"/>
            </w:tcBorders>
            <w:shd w:val="clear" w:color="auto" w:fill="auto"/>
            <w:noWrap/>
            <w:vAlign w:val="center"/>
            <w:hideMark/>
          </w:tcPr>
          <w:p w14:paraId="5CDD348F" w14:textId="77777777" w:rsidR="000D545A" w:rsidRPr="000D545A" w:rsidRDefault="000D545A" w:rsidP="000D545A">
            <w:pPr>
              <w:ind w:left="0" w:right="0" w:firstLine="0"/>
              <w:jc w:val="right"/>
              <w:rPr>
                <w:rFonts w:ascii="Arial" w:hAnsi="Arial" w:cs="Arial"/>
                <w:sz w:val="20"/>
                <w:szCs w:val="20"/>
              </w:rPr>
            </w:pPr>
            <w:r w:rsidRPr="000D545A">
              <w:rPr>
                <w:rFonts w:ascii="Arial" w:hAnsi="Arial" w:cs="Arial"/>
                <w:sz w:val="20"/>
                <w:szCs w:val="20"/>
              </w:rPr>
              <w:t>18.461,44</w:t>
            </w:r>
          </w:p>
        </w:tc>
      </w:tr>
      <w:tr w:rsidR="000D545A" w:rsidRPr="000D545A" w14:paraId="4A02F3A4" w14:textId="77777777" w:rsidTr="000D545A">
        <w:trPr>
          <w:trHeight w:val="292"/>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13D003D3" w14:textId="77777777" w:rsidR="000D545A" w:rsidRPr="000D545A" w:rsidRDefault="000D545A" w:rsidP="000D545A">
            <w:pPr>
              <w:ind w:left="0" w:right="0" w:firstLine="0"/>
              <w:jc w:val="center"/>
              <w:rPr>
                <w:sz w:val="20"/>
                <w:szCs w:val="20"/>
              </w:rPr>
            </w:pPr>
            <w:r w:rsidRPr="000D545A">
              <w:rPr>
                <w:sz w:val="20"/>
                <w:szCs w:val="20"/>
              </w:rPr>
              <w:t>19</w:t>
            </w:r>
          </w:p>
        </w:tc>
        <w:tc>
          <w:tcPr>
            <w:tcW w:w="7376" w:type="dxa"/>
            <w:tcBorders>
              <w:top w:val="nil"/>
              <w:left w:val="nil"/>
              <w:bottom w:val="single" w:sz="4" w:space="0" w:color="auto"/>
              <w:right w:val="single" w:sz="4" w:space="0" w:color="auto"/>
            </w:tcBorders>
            <w:shd w:val="clear" w:color="auto" w:fill="auto"/>
            <w:vAlign w:val="center"/>
            <w:hideMark/>
          </w:tcPr>
          <w:p w14:paraId="2E2F630F" w14:textId="77777777" w:rsidR="000D545A" w:rsidRPr="000D545A" w:rsidRDefault="000D545A" w:rsidP="000D545A">
            <w:pPr>
              <w:ind w:left="0" w:right="0" w:firstLine="0"/>
              <w:jc w:val="left"/>
              <w:rPr>
                <w:sz w:val="20"/>
                <w:szCs w:val="20"/>
              </w:rPr>
            </w:pPr>
            <w:r w:rsidRPr="000D545A">
              <w:rPr>
                <w:sz w:val="20"/>
                <w:szCs w:val="20"/>
              </w:rPr>
              <w:t xml:space="preserve">Средства за трошкове рада првостепене </w:t>
            </w:r>
            <w:proofErr w:type="spellStart"/>
            <w:r w:rsidRPr="000D545A">
              <w:rPr>
                <w:sz w:val="20"/>
                <w:szCs w:val="20"/>
              </w:rPr>
              <w:t>љекарске</w:t>
            </w:r>
            <w:proofErr w:type="spellEnd"/>
            <w:r w:rsidRPr="000D545A">
              <w:rPr>
                <w:sz w:val="20"/>
                <w:szCs w:val="20"/>
              </w:rPr>
              <w:t xml:space="preserve"> комисије за </w:t>
            </w:r>
            <w:proofErr w:type="spellStart"/>
            <w:r w:rsidRPr="000D545A">
              <w:rPr>
                <w:sz w:val="20"/>
                <w:szCs w:val="20"/>
              </w:rPr>
              <w:t>оцјену</w:t>
            </w:r>
            <w:proofErr w:type="spellEnd"/>
            <w:r w:rsidRPr="000D545A">
              <w:rPr>
                <w:sz w:val="20"/>
                <w:szCs w:val="20"/>
              </w:rPr>
              <w:t xml:space="preserve"> инвалидности</w:t>
            </w:r>
          </w:p>
        </w:tc>
        <w:tc>
          <w:tcPr>
            <w:tcW w:w="1843" w:type="dxa"/>
            <w:tcBorders>
              <w:top w:val="nil"/>
              <w:left w:val="nil"/>
              <w:bottom w:val="single" w:sz="4" w:space="0" w:color="auto"/>
              <w:right w:val="double" w:sz="6" w:space="0" w:color="auto"/>
            </w:tcBorders>
            <w:shd w:val="clear" w:color="auto" w:fill="auto"/>
            <w:noWrap/>
            <w:vAlign w:val="center"/>
            <w:hideMark/>
          </w:tcPr>
          <w:p w14:paraId="6AF81322" w14:textId="77777777" w:rsidR="000D545A" w:rsidRPr="000D545A" w:rsidRDefault="000D545A" w:rsidP="000D545A">
            <w:pPr>
              <w:ind w:left="0" w:right="0" w:firstLine="0"/>
              <w:jc w:val="right"/>
              <w:rPr>
                <w:rFonts w:ascii="Arial" w:hAnsi="Arial" w:cs="Arial"/>
                <w:sz w:val="20"/>
                <w:szCs w:val="20"/>
              </w:rPr>
            </w:pPr>
            <w:r w:rsidRPr="000D545A">
              <w:rPr>
                <w:rFonts w:ascii="Arial" w:hAnsi="Arial" w:cs="Arial"/>
                <w:sz w:val="20"/>
                <w:szCs w:val="20"/>
              </w:rPr>
              <w:t>268,50</w:t>
            </w:r>
          </w:p>
        </w:tc>
      </w:tr>
      <w:tr w:rsidR="000D545A" w:rsidRPr="000D545A" w14:paraId="2C790FB3" w14:textId="77777777" w:rsidTr="000D545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6E49B0D1" w14:textId="77777777" w:rsidR="000D545A" w:rsidRPr="000D545A" w:rsidRDefault="000D545A" w:rsidP="000D545A">
            <w:pPr>
              <w:ind w:left="0" w:right="0" w:firstLine="0"/>
              <w:jc w:val="center"/>
              <w:rPr>
                <w:sz w:val="20"/>
                <w:szCs w:val="20"/>
              </w:rPr>
            </w:pPr>
            <w:r w:rsidRPr="000D545A">
              <w:rPr>
                <w:sz w:val="20"/>
                <w:szCs w:val="20"/>
              </w:rPr>
              <w:t>20</w:t>
            </w:r>
          </w:p>
        </w:tc>
        <w:tc>
          <w:tcPr>
            <w:tcW w:w="7376" w:type="dxa"/>
            <w:tcBorders>
              <w:top w:val="nil"/>
              <w:left w:val="nil"/>
              <w:bottom w:val="single" w:sz="4" w:space="0" w:color="auto"/>
              <w:right w:val="single" w:sz="4" w:space="0" w:color="auto"/>
            </w:tcBorders>
            <w:shd w:val="clear" w:color="auto" w:fill="auto"/>
            <w:vAlign w:val="bottom"/>
            <w:hideMark/>
          </w:tcPr>
          <w:p w14:paraId="1C1144C1" w14:textId="77777777" w:rsidR="000D545A" w:rsidRPr="000D545A" w:rsidRDefault="000D545A" w:rsidP="000D545A">
            <w:pPr>
              <w:ind w:left="0" w:right="0" w:firstLine="0"/>
              <w:jc w:val="left"/>
              <w:rPr>
                <w:sz w:val="20"/>
                <w:szCs w:val="20"/>
              </w:rPr>
            </w:pPr>
            <w:r w:rsidRPr="000D545A">
              <w:rPr>
                <w:sz w:val="20"/>
                <w:szCs w:val="20"/>
              </w:rPr>
              <w:t xml:space="preserve">Остали непоменути расходи - </w:t>
            </w:r>
            <w:proofErr w:type="spellStart"/>
            <w:r w:rsidRPr="000D545A">
              <w:rPr>
                <w:sz w:val="20"/>
                <w:szCs w:val="20"/>
              </w:rPr>
              <w:t>Одсјек</w:t>
            </w:r>
            <w:proofErr w:type="spellEnd"/>
            <w:r w:rsidRPr="000D545A">
              <w:rPr>
                <w:sz w:val="20"/>
                <w:szCs w:val="20"/>
              </w:rPr>
              <w:t xml:space="preserve"> за заједничке послове</w:t>
            </w:r>
          </w:p>
        </w:tc>
        <w:tc>
          <w:tcPr>
            <w:tcW w:w="1843" w:type="dxa"/>
            <w:tcBorders>
              <w:top w:val="nil"/>
              <w:left w:val="nil"/>
              <w:bottom w:val="single" w:sz="4" w:space="0" w:color="auto"/>
              <w:right w:val="double" w:sz="6" w:space="0" w:color="auto"/>
            </w:tcBorders>
            <w:shd w:val="clear" w:color="auto" w:fill="auto"/>
            <w:noWrap/>
            <w:vAlign w:val="center"/>
            <w:hideMark/>
          </w:tcPr>
          <w:p w14:paraId="5D875948" w14:textId="77777777" w:rsidR="000D545A" w:rsidRPr="000D545A" w:rsidRDefault="000D545A" w:rsidP="000D545A">
            <w:pPr>
              <w:ind w:left="0" w:right="0" w:firstLine="0"/>
              <w:jc w:val="right"/>
              <w:rPr>
                <w:rFonts w:ascii="Arial" w:hAnsi="Arial" w:cs="Arial"/>
                <w:sz w:val="20"/>
                <w:szCs w:val="20"/>
              </w:rPr>
            </w:pPr>
            <w:r w:rsidRPr="000D545A">
              <w:rPr>
                <w:rFonts w:ascii="Arial" w:hAnsi="Arial" w:cs="Arial"/>
                <w:sz w:val="20"/>
                <w:szCs w:val="20"/>
              </w:rPr>
              <w:t>26.538,96</w:t>
            </w:r>
          </w:p>
        </w:tc>
      </w:tr>
      <w:tr w:rsidR="000D545A" w:rsidRPr="000D545A" w14:paraId="7B0518AF" w14:textId="77777777" w:rsidTr="000D545A">
        <w:trPr>
          <w:trHeight w:val="510"/>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3B5C1920" w14:textId="77777777" w:rsidR="000D545A" w:rsidRPr="000D545A" w:rsidRDefault="000D545A" w:rsidP="000D545A">
            <w:pPr>
              <w:ind w:left="0" w:right="0" w:firstLine="0"/>
              <w:jc w:val="center"/>
              <w:rPr>
                <w:sz w:val="20"/>
                <w:szCs w:val="20"/>
              </w:rPr>
            </w:pPr>
            <w:r w:rsidRPr="000D545A">
              <w:rPr>
                <w:sz w:val="20"/>
                <w:szCs w:val="20"/>
              </w:rPr>
              <w:t>21</w:t>
            </w:r>
          </w:p>
        </w:tc>
        <w:tc>
          <w:tcPr>
            <w:tcW w:w="7376" w:type="dxa"/>
            <w:tcBorders>
              <w:top w:val="nil"/>
              <w:left w:val="nil"/>
              <w:bottom w:val="single" w:sz="4" w:space="0" w:color="auto"/>
              <w:right w:val="single" w:sz="4" w:space="0" w:color="auto"/>
            </w:tcBorders>
            <w:shd w:val="clear" w:color="auto" w:fill="auto"/>
            <w:vAlign w:val="bottom"/>
            <w:hideMark/>
          </w:tcPr>
          <w:p w14:paraId="573CA4F5" w14:textId="77777777" w:rsidR="000D545A" w:rsidRPr="000D545A" w:rsidRDefault="000D545A" w:rsidP="000D545A">
            <w:pPr>
              <w:ind w:left="0" w:right="0" w:firstLine="0"/>
              <w:jc w:val="left"/>
              <w:rPr>
                <w:sz w:val="20"/>
                <w:szCs w:val="20"/>
              </w:rPr>
            </w:pPr>
            <w:r w:rsidRPr="000D545A">
              <w:rPr>
                <w:sz w:val="20"/>
                <w:szCs w:val="20"/>
              </w:rPr>
              <w:t xml:space="preserve">Обавезе према осталим корисницима јавних прихода по основу записника ПУ РС по обрачуну и поравнању више и погрешно </w:t>
            </w:r>
            <w:proofErr w:type="spellStart"/>
            <w:r w:rsidRPr="000D545A">
              <w:rPr>
                <w:sz w:val="20"/>
                <w:szCs w:val="20"/>
              </w:rPr>
              <w:t>уплаћених</w:t>
            </w:r>
            <w:proofErr w:type="spellEnd"/>
            <w:r w:rsidRPr="000D545A">
              <w:rPr>
                <w:sz w:val="20"/>
                <w:szCs w:val="20"/>
              </w:rPr>
              <w:t xml:space="preserve"> јавних прихода</w:t>
            </w:r>
          </w:p>
        </w:tc>
        <w:tc>
          <w:tcPr>
            <w:tcW w:w="1843" w:type="dxa"/>
            <w:tcBorders>
              <w:top w:val="nil"/>
              <w:left w:val="nil"/>
              <w:bottom w:val="double" w:sz="6" w:space="0" w:color="auto"/>
              <w:right w:val="double" w:sz="6" w:space="0" w:color="auto"/>
            </w:tcBorders>
            <w:shd w:val="clear" w:color="auto" w:fill="auto"/>
            <w:noWrap/>
            <w:vAlign w:val="center"/>
            <w:hideMark/>
          </w:tcPr>
          <w:p w14:paraId="4C913E05" w14:textId="77777777" w:rsidR="000D545A" w:rsidRPr="000D545A" w:rsidRDefault="000D545A" w:rsidP="000D545A">
            <w:pPr>
              <w:ind w:left="0" w:right="0" w:firstLine="0"/>
              <w:jc w:val="right"/>
              <w:rPr>
                <w:rFonts w:ascii="Arial" w:hAnsi="Arial" w:cs="Arial"/>
                <w:sz w:val="20"/>
                <w:szCs w:val="20"/>
              </w:rPr>
            </w:pPr>
            <w:r w:rsidRPr="000D545A">
              <w:rPr>
                <w:rFonts w:ascii="Arial" w:hAnsi="Arial" w:cs="Arial"/>
                <w:sz w:val="20"/>
                <w:szCs w:val="20"/>
              </w:rPr>
              <w:t>51,87</w:t>
            </w:r>
          </w:p>
        </w:tc>
      </w:tr>
      <w:tr w:rsidR="000D545A" w:rsidRPr="000D545A" w14:paraId="02C3D6E6" w14:textId="77777777" w:rsidTr="000D545A">
        <w:trPr>
          <w:trHeight w:val="315"/>
        </w:trPr>
        <w:tc>
          <w:tcPr>
            <w:tcW w:w="7915" w:type="dxa"/>
            <w:gridSpan w:val="2"/>
            <w:tcBorders>
              <w:top w:val="double" w:sz="6" w:space="0" w:color="auto"/>
              <w:left w:val="double" w:sz="6" w:space="0" w:color="auto"/>
              <w:bottom w:val="double" w:sz="6" w:space="0" w:color="auto"/>
              <w:right w:val="single" w:sz="4" w:space="0" w:color="auto"/>
            </w:tcBorders>
            <w:shd w:val="clear" w:color="auto" w:fill="auto"/>
            <w:vAlign w:val="center"/>
            <w:hideMark/>
          </w:tcPr>
          <w:p w14:paraId="0D90EDBC" w14:textId="77777777" w:rsidR="000D545A" w:rsidRPr="000D545A" w:rsidRDefault="000D545A" w:rsidP="000D545A">
            <w:pPr>
              <w:ind w:left="0" w:right="0" w:firstLine="0"/>
              <w:jc w:val="center"/>
              <w:rPr>
                <w:b/>
                <w:bCs/>
                <w:sz w:val="20"/>
                <w:szCs w:val="20"/>
              </w:rPr>
            </w:pPr>
            <w:r w:rsidRPr="000D545A">
              <w:rPr>
                <w:b/>
                <w:bCs/>
                <w:sz w:val="20"/>
                <w:szCs w:val="20"/>
              </w:rPr>
              <w:t>У К У П Н О</w:t>
            </w:r>
          </w:p>
        </w:tc>
        <w:tc>
          <w:tcPr>
            <w:tcW w:w="1843" w:type="dxa"/>
            <w:tcBorders>
              <w:top w:val="nil"/>
              <w:left w:val="nil"/>
              <w:bottom w:val="double" w:sz="6" w:space="0" w:color="auto"/>
              <w:right w:val="double" w:sz="6" w:space="0" w:color="auto"/>
            </w:tcBorders>
            <w:shd w:val="clear" w:color="auto" w:fill="auto"/>
            <w:noWrap/>
            <w:vAlign w:val="center"/>
            <w:hideMark/>
          </w:tcPr>
          <w:p w14:paraId="0BFCF807" w14:textId="77777777" w:rsidR="000D545A" w:rsidRPr="000D545A" w:rsidRDefault="000D545A" w:rsidP="000D545A">
            <w:pPr>
              <w:ind w:left="0" w:right="0" w:firstLine="0"/>
              <w:jc w:val="right"/>
              <w:rPr>
                <w:rFonts w:ascii="Arial" w:hAnsi="Arial" w:cs="Arial"/>
                <w:b/>
                <w:bCs/>
                <w:sz w:val="20"/>
                <w:szCs w:val="20"/>
              </w:rPr>
            </w:pPr>
            <w:r w:rsidRPr="000D545A">
              <w:rPr>
                <w:rFonts w:ascii="Arial" w:hAnsi="Arial" w:cs="Arial"/>
                <w:b/>
                <w:bCs/>
                <w:sz w:val="20"/>
                <w:szCs w:val="20"/>
              </w:rPr>
              <w:t>645.306,37</w:t>
            </w:r>
          </w:p>
        </w:tc>
      </w:tr>
    </w:tbl>
    <w:p w14:paraId="2E17EB6E" w14:textId="77777777" w:rsidR="000D545A" w:rsidRDefault="000D545A" w:rsidP="0060157F">
      <w:pPr>
        <w:ind w:left="0" w:right="-792" w:firstLine="0"/>
      </w:pPr>
    </w:p>
    <w:p w14:paraId="66AFA571" w14:textId="77777777" w:rsidR="000D545A" w:rsidRPr="000D545A" w:rsidRDefault="000D545A" w:rsidP="006559FF">
      <w:pPr>
        <w:ind w:left="0" w:firstLine="720"/>
      </w:pPr>
      <w:r>
        <w:t>Као што се види из претходне табеле, највећи трошкови у оквиру ове групе расхода су накнаде одборника и чланова скупштинских комисија и средства утрошена за финансирање Општинске изборне комисије.</w:t>
      </w:r>
    </w:p>
    <w:p w14:paraId="7B6ABFA8" w14:textId="77777777" w:rsidR="000D545A" w:rsidRDefault="000D545A" w:rsidP="006559FF">
      <w:pPr>
        <w:ind w:left="0" w:firstLine="720"/>
        <w:rPr>
          <w:b/>
          <w:i/>
        </w:rPr>
      </w:pPr>
    </w:p>
    <w:p w14:paraId="4947878B" w14:textId="77777777" w:rsidR="006559FF" w:rsidRDefault="006559FF" w:rsidP="006559FF">
      <w:pPr>
        <w:ind w:left="0" w:firstLine="720"/>
      </w:pPr>
      <w:r w:rsidRPr="00937B51">
        <w:rPr>
          <w:b/>
          <w:i/>
        </w:rPr>
        <w:t>Средства за накнаде одборника и чланова скупштинских комисија</w:t>
      </w:r>
      <w:r w:rsidR="00DC1A3F">
        <w:rPr>
          <w:b/>
          <w:i/>
          <w:lang w:val="sr-Cyrl-RS"/>
        </w:rPr>
        <w:t xml:space="preserve"> </w:t>
      </w:r>
      <w:r>
        <w:t>(</w:t>
      </w:r>
      <w:proofErr w:type="spellStart"/>
      <w:r>
        <w:t>потр</w:t>
      </w:r>
      <w:proofErr w:type="spellEnd"/>
      <w:r>
        <w:t xml:space="preserve">. јединица 00750110) извршена су у износу од </w:t>
      </w:r>
      <w:r w:rsidR="000D545A">
        <w:t>224.747,62</w:t>
      </w:r>
      <w:r>
        <w:t xml:space="preserve"> КМ, што је </w:t>
      </w:r>
      <w:r w:rsidR="000D545A">
        <w:t>99,95</w:t>
      </w:r>
      <w:r>
        <w:t xml:space="preserve">% од плана. Средства за накнаде одборника утрошена су у износу од </w:t>
      </w:r>
      <w:r w:rsidR="000D545A">
        <w:t>217.307,20</w:t>
      </w:r>
      <w:r w:rsidRPr="00300CD0">
        <w:t xml:space="preserve"> КМ,</w:t>
      </w:r>
      <w:r>
        <w:t xml:space="preserve">  док се на средства за накнаде члановима скупштинских комисија </w:t>
      </w:r>
      <w:r w:rsidRPr="00300CD0">
        <w:t xml:space="preserve">односи </w:t>
      </w:r>
      <w:r w:rsidR="000D545A">
        <w:t>496,02</w:t>
      </w:r>
      <w:r w:rsidRPr="00300CD0">
        <w:t xml:space="preserve"> КМ, а на</w:t>
      </w:r>
      <w:r w:rsidR="00DC1A3F">
        <w:rPr>
          <w:lang w:val="sr-Cyrl-RS"/>
        </w:rPr>
        <w:t xml:space="preserve"> </w:t>
      </w:r>
      <w:r>
        <w:t xml:space="preserve">накнаде члановима Одбора за жалбе </w:t>
      </w:r>
      <w:r w:rsidR="000D545A">
        <w:t>6.944,40</w:t>
      </w:r>
      <w:r w:rsidRPr="00300CD0">
        <w:t xml:space="preserve"> </w:t>
      </w:r>
      <w:r w:rsidRPr="00300CD0">
        <w:lastRenderedPageBreak/>
        <w:t>КМ</w:t>
      </w:r>
      <w:r>
        <w:t>.</w:t>
      </w:r>
      <w:r w:rsidR="00DC1A3F">
        <w:rPr>
          <w:lang w:val="sr-Cyrl-RS"/>
        </w:rPr>
        <w:t xml:space="preserve"> </w:t>
      </w:r>
      <w:r>
        <w:t xml:space="preserve">Обрачун средстава за накнаде одборника и чланова скупштинских комисија вршен је на основу Одлуке о накнадама одборницима и члановима радних </w:t>
      </w:r>
      <w:proofErr w:type="spellStart"/>
      <w:r>
        <w:t>тијела</w:t>
      </w:r>
      <w:proofErr w:type="spellEnd"/>
      <w:r>
        <w:t xml:space="preserve"> Скупштине општине Прњавор („Службени гласник општине Прњавор“, бр. 13/14 и 31/16). </w:t>
      </w:r>
      <w:proofErr w:type="spellStart"/>
      <w:r>
        <w:t>Мјесечна</w:t>
      </w:r>
      <w:proofErr w:type="spellEnd"/>
      <w:r>
        <w:t xml:space="preserve"> одборничка накнада утврђена је у висини 50% </w:t>
      </w:r>
      <w:proofErr w:type="spellStart"/>
      <w:r>
        <w:t>просјечне</w:t>
      </w:r>
      <w:proofErr w:type="spellEnd"/>
      <w:r>
        <w:t xml:space="preserve"> нето плате исплаћене у Општинској управи у претходној години, не укључујући плате функционера, и у </w:t>
      </w:r>
      <w:proofErr w:type="spellStart"/>
      <w:r>
        <w:t>извјештајном</w:t>
      </w:r>
      <w:proofErr w:type="spellEnd"/>
      <w:r>
        <w:t xml:space="preserve"> периоду исплаћивана је у висини </w:t>
      </w:r>
      <w:r w:rsidR="00B30473">
        <w:t>404,41</w:t>
      </w:r>
      <w:r>
        <w:t xml:space="preserve"> КМ нето.</w:t>
      </w:r>
      <w:r w:rsidR="00E97428">
        <w:t xml:space="preserve"> </w:t>
      </w:r>
      <w:r>
        <w:t xml:space="preserve">У </w:t>
      </w:r>
      <w:r w:rsidR="00B30473">
        <w:t>2019</w:t>
      </w:r>
      <w:r>
        <w:t xml:space="preserve">. години </w:t>
      </w:r>
      <w:proofErr w:type="spellStart"/>
      <w:r>
        <w:t>мјесечна</w:t>
      </w:r>
      <w:proofErr w:type="spellEnd"/>
      <w:r>
        <w:t xml:space="preserve"> одборничка накнада износила је </w:t>
      </w:r>
      <w:r w:rsidR="00B30473">
        <w:t>397,20</w:t>
      </w:r>
      <w:r>
        <w:t xml:space="preserve"> КМ нето. Одборничку накнаду прима 27 одборника, јер </w:t>
      </w:r>
      <w:proofErr w:type="spellStart"/>
      <w:r>
        <w:t>предсједник</w:t>
      </w:r>
      <w:proofErr w:type="spellEnd"/>
      <w:r>
        <w:t xml:space="preserve"> и </w:t>
      </w:r>
      <w:proofErr w:type="spellStart"/>
      <w:r>
        <w:t>потпредсједник</w:t>
      </w:r>
      <w:proofErr w:type="spellEnd"/>
      <w:r>
        <w:t xml:space="preserve"> Скупштине немају право на одборничку накнаду. </w:t>
      </w:r>
    </w:p>
    <w:p w14:paraId="5827AE8B" w14:textId="77777777" w:rsidR="006559FF" w:rsidRDefault="006559FF" w:rsidP="006559FF">
      <w:pPr>
        <w:ind w:left="0" w:firstLine="720"/>
      </w:pPr>
      <w:r>
        <w:t xml:space="preserve">Везано за накнаде члановима скупштинских комисија, према Одлуци, чланови радних </w:t>
      </w:r>
      <w:proofErr w:type="spellStart"/>
      <w:r>
        <w:t>тијела</w:t>
      </w:r>
      <w:proofErr w:type="spellEnd"/>
      <w:r>
        <w:t xml:space="preserve"> Скупштине имају право на накнаду у висини дневнице, која износи 20,00 КМ, за долазак на сваку </w:t>
      </w:r>
      <w:proofErr w:type="spellStart"/>
      <w:r>
        <w:t>сједницу</w:t>
      </w:r>
      <w:proofErr w:type="spellEnd"/>
      <w:r>
        <w:t xml:space="preserve"> радног </w:t>
      </w:r>
      <w:proofErr w:type="spellStart"/>
      <w:r>
        <w:t>тијела</w:t>
      </w:r>
      <w:proofErr w:type="spellEnd"/>
      <w:r>
        <w:t xml:space="preserve">. Право на новчану накнаду немају чланови радних </w:t>
      </w:r>
      <w:proofErr w:type="spellStart"/>
      <w:r>
        <w:t>тијела</w:t>
      </w:r>
      <w:proofErr w:type="spellEnd"/>
      <w:r>
        <w:t xml:space="preserve"> из реда одборника Скупштине и чланови радних </w:t>
      </w:r>
      <w:proofErr w:type="spellStart"/>
      <w:r>
        <w:t>тијела</w:t>
      </w:r>
      <w:proofErr w:type="spellEnd"/>
      <w:r>
        <w:t xml:space="preserve"> који су у радном односу у Општинској управи, јавним установама и предузећима чији</w:t>
      </w:r>
      <w:r w:rsidR="000D545A">
        <w:t xml:space="preserve"> је осни</w:t>
      </w:r>
      <w:r>
        <w:t xml:space="preserve">вач Скупштина општине. </w:t>
      </w:r>
    </w:p>
    <w:p w14:paraId="055FFC8A" w14:textId="77777777" w:rsidR="006559FF" w:rsidRDefault="006559FF" w:rsidP="006559FF">
      <w:pPr>
        <w:ind w:left="0" w:firstLine="720"/>
      </w:pPr>
      <w:r>
        <w:t xml:space="preserve">Накнада члановима </w:t>
      </w:r>
      <w:proofErr w:type="spellStart"/>
      <w:r>
        <w:t>Одбораза</w:t>
      </w:r>
      <w:proofErr w:type="spellEnd"/>
      <w:r>
        <w:t xml:space="preserve"> жалбе исплаћује се у складу са Одлуком о оснивању Одбора за жалбе општине Прњавор</w:t>
      </w:r>
      <w:r w:rsidR="00DC1A3F">
        <w:rPr>
          <w:lang w:val="sr-Cyrl-RS"/>
        </w:rPr>
        <w:t xml:space="preserve"> </w:t>
      </w:r>
      <w:r>
        <w:t xml:space="preserve">(„Службени гласник општине Прњавор“, бр. 6/18). Висина </w:t>
      </w:r>
      <w:proofErr w:type="spellStart"/>
      <w:r>
        <w:t>мјесечне</w:t>
      </w:r>
      <w:proofErr w:type="spellEnd"/>
      <w:r>
        <w:t xml:space="preserve"> накнаде за </w:t>
      </w:r>
      <w:proofErr w:type="spellStart"/>
      <w:r>
        <w:t>предсједника</w:t>
      </w:r>
      <w:proofErr w:type="spellEnd"/>
      <w:r>
        <w:t xml:space="preserve"> Одбора износи 150,00 КМ, а за чланове Одбора по</w:t>
      </w:r>
      <w:r w:rsidR="004468FB">
        <w:rPr>
          <w:lang w:val="sr-Cyrl-RS"/>
        </w:rPr>
        <w:t xml:space="preserve">        </w:t>
      </w:r>
      <w:r>
        <w:t xml:space="preserve"> 100,00 КМ.</w:t>
      </w:r>
    </w:p>
    <w:p w14:paraId="4E67FF24" w14:textId="77777777" w:rsidR="0080516D" w:rsidRDefault="0080516D" w:rsidP="004E65AF">
      <w:pPr>
        <w:ind w:left="0" w:right="-792" w:firstLine="0"/>
      </w:pPr>
    </w:p>
    <w:p w14:paraId="06B3ED16" w14:textId="77777777" w:rsidR="000D545A" w:rsidRDefault="000D545A" w:rsidP="000D545A">
      <w:pPr>
        <w:ind w:left="0" w:right="-792" w:firstLine="720"/>
      </w:pPr>
      <w:r w:rsidRPr="0080516D">
        <w:rPr>
          <w:b/>
          <w:i/>
        </w:rPr>
        <w:t xml:space="preserve">Средства за финансирање Општинске изборне комисије </w:t>
      </w:r>
      <w:r w:rsidRPr="0080516D">
        <w:t>(</w:t>
      </w:r>
      <w:proofErr w:type="spellStart"/>
      <w:r w:rsidRPr="0080516D">
        <w:t>потр</w:t>
      </w:r>
      <w:proofErr w:type="spellEnd"/>
      <w:r w:rsidRPr="0080516D">
        <w:t>. јединица 00750110)</w:t>
      </w:r>
      <w:r w:rsidR="00E97428">
        <w:rPr>
          <w:lang w:val="sr-Cyrl-BA"/>
        </w:rPr>
        <w:t xml:space="preserve"> </w:t>
      </w:r>
      <w:r w:rsidRPr="0080516D">
        <w:rPr>
          <w:lang w:val="sr-Cyrl-BA"/>
        </w:rPr>
        <w:t xml:space="preserve">су у извјештајном периоду </w:t>
      </w:r>
      <w:r w:rsidRPr="0080516D">
        <w:t>реализована</w:t>
      </w:r>
      <w:r w:rsidR="00E97428">
        <w:rPr>
          <w:lang w:val="sr-Cyrl-BA"/>
        </w:rPr>
        <w:t xml:space="preserve"> </w:t>
      </w:r>
      <w:r w:rsidRPr="0080516D">
        <w:t>у</w:t>
      </w:r>
      <w:r w:rsidR="00E97428">
        <w:rPr>
          <w:lang w:val="sr-Cyrl-BA"/>
        </w:rPr>
        <w:t xml:space="preserve"> </w:t>
      </w:r>
      <w:r w:rsidRPr="0080516D">
        <w:t xml:space="preserve">износу од </w:t>
      </w:r>
      <w:r>
        <w:t>122.410,52</w:t>
      </w:r>
      <w:r w:rsidRPr="0080516D">
        <w:t xml:space="preserve"> КМ, што је </w:t>
      </w:r>
      <w:r>
        <w:t>95,63</w:t>
      </w:r>
      <w:r w:rsidRPr="0080516D">
        <w:t xml:space="preserve">% од </w:t>
      </w:r>
      <w:r>
        <w:t>плана за 2020. годину</w:t>
      </w:r>
      <w:r w:rsidRPr="0080516D">
        <w:rPr>
          <w:lang w:val="sr-Cyrl-BA"/>
        </w:rPr>
        <w:t>.</w:t>
      </w:r>
      <w:r w:rsidR="00E97428">
        <w:rPr>
          <w:lang w:val="sr-Cyrl-BA"/>
        </w:rPr>
        <w:t xml:space="preserve"> </w:t>
      </w:r>
      <w:r w:rsidR="004C1DA1">
        <w:t xml:space="preserve">Средства за финансирање Општинске изборне комисије у 2020. години знатно су већа у односу на реализована средства у 2019. години (11.973,65 КМ), јер су средства реализована </w:t>
      </w:r>
      <w:r w:rsidR="00964C3C">
        <w:t>у 2019. години обухвати</w:t>
      </w:r>
      <w:r w:rsidR="004C1DA1">
        <w:t xml:space="preserve">ла само </w:t>
      </w:r>
      <w:r w:rsidR="00964C3C">
        <w:t xml:space="preserve">исплаћене </w:t>
      </w:r>
      <w:r w:rsidR="004C1DA1">
        <w:t>накнаде члановима Општинске изборне комисије, а у 2020. години на терет ове позиције падају и трошкови одржавања локалних избора. Поред тога, у години када се одржавају избори, ч</w:t>
      </w:r>
      <w:r>
        <w:t>ланови</w:t>
      </w:r>
      <w:r w:rsidRPr="0080516D">
        <w:t xml:space="preserve"> Општинске изборне комисије </w:t>
      </w:r>
      <w:r>
        <w:t xml:space="preserve">имају право на </w:t>
      </w:r>
      <w:r w:rsidR="004C1DA1">
        <w:t>увећану накнаду</w:t>
      </w:r>
      <w:r w:rsidR="00C879AF">
        <w:t xml:space="preserve"> за свој рад</w:t>
      </w:r>
      <w:r w:rsidR="004C1DA1">
        <w:t xml:space="preserve"> за </w:t>
      </w:r>
      <w:proofErr w:type="spellStart"/>
      <w:r w:rsidR="004C1DA1">
        <w:t>вријеме</w:t>
      </w:r>
      <w:proofErr w:type="spellEnd"/>
      <w:r w:rsidR="004C1DA1">
        <w:t xml:space="preserve"> трајања изборног периода, у висини одборничке накнаде, док се у преосталом периоду члановима Општинске изборне комисије исплаћује стална </w:t>
      </w:r>
      <w:proofErr w:type="spellStart"/>
      <w:r w:rsidR="004C1DA1">
        <w:t>мјесечна</w:t>
      </w:r>
      <w:proofErr w:type="spellEnd"/>
      <w:r w:rsidR="004C1DA1">
        <w:t xml:space="preserve"> накнада</w:t>
      </w:r>
      <w:r>
        <w:t xml:space="preserve"> у ви</w:t>
      </w:r>
      <w:r w:rsidR="00C879AF">
        <w:t xml:space="preserve">сини 30% од одборничке накнаде. </w:t>
      </w:r>
      <w:r w:rsidR="004C1DA1">
        <w:rPr>
          <w:lang w:val="sr-Cyrl-BA"/>
        </w:rPr>
        <w:t>Изборни период наступио је 07.05.2020</w:t>
      </w:r>
      <w:r w:rsidR="004C1DA1" w:rsidRPr="000D545A">
        <w:rPr>
          <w:lang w:val="sr-Cyrl-BA"/>
        </w:rPr>
        <w:t xml:space="preserve">. године, када је Централна изборна комисија БиХ донијела Одлуку о расписивању </w:t>
      </w:r>
      <w:r w:rsidR="004C1DA1">
        <w:rPr>
          <w:lang w:val="sr-Cyrl-BA"/>
        </w:rPr>
        <w:t>и одржавању локалних избора 2020</w:t>
      </w:r>
      <w:r w:rsidR="004C1DA1" w:rsidRPr="000D545A">
        <w:rPr>
          <w:lang w:val="sr-Cyrl-BA"/>
        </w:rPr>
        <w:t xml:space="preserve">. године, и трајао је до дана потврђивања резултата </w:t>
      </w:r>
      <w:r w:rsidR="004C1DA1" w:rsidRPr="000D545A">
        <w:t>л</w:t>
      </w:r>
      <w:proofErr w:type="spellStart"/>
      <w:r w:rsidR="004C1DA1">
        <w:rPr>
          <w:lang w:val="sr-Cyrl-BA"/>
        </w:rPr>
        <w:t>окалних</w:t>
      </w:r>
      <w:proofErr w:type="spellEnd"/>
      <w:r w:rsidR="004C1DA1">
        <w:rPr>
          <w:lang w:val="sr-Cyrl-BA"/>
        </w:rPr>
        <w:t xml:space="preserve"> избора</w:t>
      </w:r>
      <w:r w:rsidR="004C1DA1" w:rsidRPr="000D545A">
        <w:rPr>
          <w:lang w:val="sr-Cyrl-BA"/>
        </w:rPr>
        <w:t xml:space="preserve">, одн. до </w:t>
      </w:r>
      <w:r w:rsidR="004C1DA1">
        <w:rPr>
          <w:lang w:val="sr-Cyrl-BA"/>
        </w:rPr>
        <w:t>15.12.2020</w:t>
      </w:r>
      <w:r w:rsidR="004C1DA1" w:rsidRPr="000D545A">
        <w:rPr>
          <w:lang w:val="sr-Cyrl-BA"/>
        </w:rPr>
        <w:t>. године.</w:t>
      </w:r>
      <w:r w:rsidR="004468FB">
        <w:rPr>
          <w:lang w:val="sr-Cyrl-BA"/>
        </w:rPr>
        <w:t xml:space="preserve"> </w:t>
      </w:r>
      <w:r>
        <w:t xml:space="preserve">За финансирање бруто </w:t>
      </w:r>
      <w:proofErr w:type="spellStart"/>
      <w:r>
        <w:t>мјесечних</w:t>
      </w:r>
      <w:proofErr w:type="spellEnd"/>
      <w:r>
        <w:t xml:space="preserve"> накнада члановима Општи</w:t>
      </w:r>
      <w:r w:rsidR="00C879AF">
        <w:t>нске изборне комисије током 2020</w:t>
      </w:r>
      <w:r>
        <w:t xml:space="preserve">. године </w:t>
      </w:r>
      <w:r w:rsidR="00C879AF">
        <w:t>издвојена</w:t>
      </w:r>
      <w:r>
        <w:t xml:space="preserve"> су средства у износу од </w:t>
      </w:r>
      <w:r w:rsidR="00C879AF">
        <w:t xml:space="preserve">29.097,35 КМ, док трошкови провођења локалних избора износе 93.313,17 КМ, а односе се </w:t>
      </w:r>
      <w:proofErr w:type="spellStart"/>
      <w:r>
        <w:t>се</w:t>
      </w:r>
      <w:proofErr w:type="spellEnd"/>
      <w:r>
        <w:t xml:space="preserve"> на </w:t>
      </w:r>
      <w:r w:rsidR="00C879AF">
        <w:rPr>
          <w:bCs/>
          <w:iCs/>
        </w:rPr>
        <w:t>накнаде и материјалне трошкове</w:t>
      </w:r>
      <w:r w:rsidR="00DC1A3F">
        <w:rPr>
          <w:bCs/>
          <w:iCs/>
          <w:lang w:val="sr-Cyrl-RS"/>
        </w:rPr>
        <w:t xml:space="preserve"> </w:t>
      </w:r>
      <w:r w:rsidR="00C879AF">
        <w:rPr>
          <w:bCs/>
          <w:iCs/>
        </w:rPr>
        <w:t>чланова бирачких одбора, трошкове ангажовања лица у раду ОИК-а,</w:t>
      </w:r>
      <w:r w:rsidR="004468FB">
        <w:rPr>
          <w:bCs/>
          <w:iCs/>
          <w:lang w:val="sr-Cyrl-RS"/>
        </w:rPr>
        <w:t xml:space="preserve"> </w:t>
      </w:r>
      <w:r w:rsidR="00C879AF">
        <w:rPr>
          <w:bCs/>
          <w:iCs/>
        </w:rPr>
        <w:t>трошкове набавке дезинфекционих средстава и заштитне опреме, трошкове</w:t>
      </w:r>
      <w:r w:rsidR="00C879AF" w:rsidRPr="000D545A">
        <w:rPr>
          <w:bCs/>
          <w:iCs/>
        </w:rPr>
        <w:t xml:space="preserve"> горива и транспорта изборног материјала, </w:t>
      </w:r>
      <w:r w:rsidR="00C879AF">
        <w:rPr>
          <w:bCs/>
          <w:iCs/>
        </w:rPr>
        <w:t xml:space="preserve">трошкове </w:t>
      </w:r>
      <w:r w:rsidR="00C879AF" w:rsidRPr="000D545A">
        <w:rPr>
          <w:bCs/>
          <w:iCs/>
        </w:rPr>
        <w:t>закуп</w:t>
      </w:r>
      <w:r w:rsidR="00C879AF">
        <w:rPr>
          <w:bCs/>
          <w:iCs/>
        </w:rPr>
        <w:t>а приватних простора, трошкове</w:t>
      </w:r>
      <w:r w:rsidR="00C879AF" w:rsidRPr="000D545A">
        <w:rPr>
          <w:bCs/>
          <w:iCs/>
        </w:rPr>
        <w:t xml:space="preserve"> обуке чланова бирачких одбора и др</w:t>
      </w:r>
      <w:r w:rsidR="00C879AF">
        <w:rPr>
          <w:bCs/>
          <w:iCs/>
        </w:rPr>
        <w:t>.</w:t>
      </w:r>
    </w:p>
    <w:p w14:paraId="3F9B12C6" w14:textId="77777777" w:rsidR="000D545A" w:rsidRDefault="000D545A" w:rsidP="004E65AF">
      <w:pPr>
        <w:ind w:left="0" w:right="-792" w:firstLine="0"/>
      </w:pPr>
    </w:p>
    <w:p w14:paraId="3B2C0F18" w14:textId="77777777" w:rsidR="007C06AE" w:rsidRPr="00383D4F" w:rsidRDefault="007C06AE" w:rsidP="00853348">
      <w:pPr>
        <w:pStyle w:val="Podnaslov3"/>
        <w:spacing w:before="120"/>
        <w:ind w:right="-794"/>
        <w:rPr>
          <w:sz w:val="24"/>
          <w:szCs w:val="24"/>
        </w:rPr>
      </w:pPr>
      <w:r w:rsidRPr="00383D4F">
        <w:rPr>
          <w:sz w:val="24"/>
          <w:szCs w:val="24"/>
        </w:rPr>
        <w:tab/>
      </w:r>
      <w:bookmarkStart w:id="50" w:name="_Toc491329731"/>
      <w:bookmarkStart w:id="51" w:name="_Toc530745879"/>
      <w:bookmarkStart w:id="52" w:name="_Toc50641199"/>
      <w:r w:rsidR="00E63627" w:rsidRPr="00383D4F">
        <w:rPr>
          <w:sz w:val="24"/>
          <w:szCs w:val="24"/>
        </w:rPr>
        <w:t>Б.3</w:t>
      </w:r>
      <w:r w:rsidRPr="00383D4F">
        <w:rPr>
          <w:sz w:val="24"/>
          <w:szCs w:val="24"/>
        </w:rPr>
        <w:t>. Расходи финансирања и други финансијски трошкови</w:t>
      </w:r>
      <w:bookmarkEnd w:id="50"/>
      <w:bookmarkEnd w:id="51"/>
      <w:bookmarkEnd w:id="52"/>
    </w:p>
    <w:p w14:paraId="244BEB67" w14:textId="77777777" w:rsidR="007C06AE" w:rsidRDefault="007C06AE" w:rsidP="007C06AE">
      <w:pPr>
        <w:ind w:left="0" w:right="-792" w:firstLine="360"/>
        <w:rPr>
          <w:b/>
        </w:rPr>
      </w:pPr>
    </w:p>
    <w:p w14:paraId="0F92A689" w14:textId="77777777" w:rsidR="007C06AE" w:rsidRDefault="007C06AE" w:rsidP="00853348">
      <w:pPr>
        <w:ind w:left="0" w:right="-794" w:firstLine="720"/>
      </w:pPr>
      <w:r w:rsidRPr="005700F3">
        <w:rPr>
          <w:b/>
          <w:i/>
        </w:rPr>
        <w:t xml:space="preserve">Расходи </w:t>
      </w:r>
      <w:r>
        <w:rPr>
          <w:b/>
          <w:i/>
        </w:rPr>
        <w:t xml:space="preserve">финансирања и други финансијски трошкови </w:t>
      </w:r>
      <w:r>
        <w:t xml:space="preserve">извршени су у износу од </w:t>
      </w:r>
      <w:r w:rsidR="00675C5A">
        <w:t>200.315,89</w:t>
      </w:r>
      <w:r>
        <w:t xml:space="preserve"> КМ, што је </w:t>
      </w:r>
      <w:r w:rsidR="00675C5A">
        <w:t>98</w:t>
      </w:r>
      <w:r>
        <w:t xml:space="preserve">% од планираних средстава, </w:t>
      </w:r>
      <w:r w:rsidR="002D10EA" w:rsidRPr="00FF7418">
        <w:t xml:space="preserve">а односе се на расходе по основу камата на домаћи кредит од 7 </w:t>
      </w:r>
      <w:proofErr w:type="spellStart"/>
      <w:r w:rsidR="002D10EA" w:rsidRPr="00FF7418">
        <w:t>мил</w:t>
      </w:r>
      <w:proofErr w:type="spellEnd"/>
      <w:r w:rsidR="002D10EA" w:rsidRPr="00FF7418">
        <w:t>. КМ, који ј</w:t>
      </w:r>
      <w:r w:rsidR="002D10EA">
        <w:t>е једини преостали кредит који о</w:t>
      </w:r>
      <w:r w:rsidR="002D10EA" w:rsidRPr="00FF7418">
        <w:t xml:space="preserve">пштина Прњавор отплаћује након завршетка отплате кредита од 5 </w:t>
      </w:r>
      <w:proofErr w:type="spellStart"/>
      <w:r w:rsidR="002D10EA" w:rsidRPr="00FF7418">
        <w:t>мил</w:t>
      </w:r>
      <w:proofErr w:type="spellEnd"/>
      <w:r w:rsidR="002D10EA" w:rsidRPr="00FF7418">
        <w:t>. КМ</w:t>
      </w:r>
      <w:r w:rsidR="002D10EA">
        <w:t xml:space="preserve"> са децембром 2019. године.</w:t>
      </w:r>
    </w:p>
    <w:p w14:paraId="080BA0A0" w14:textId="77777777" w:rsidR="00B41AF4" w:rsidRDefault="00B41AF4" w:rsidP="007C06AE">
      <w:pPr>
        <w:ind w:left="0" w:right="-792" w:firstLine="720"/>
      </w:pPr>
    </w:p>
    <w:p w14:paraId="411DDF36" w14:textId="77777777" w:rsidR="00B41AF4" w:rsidRPr="00383D4F" w:rsidRDefault="00E63627" w:rsidP="00853348">
      <w:pPr>
        <w:pStyle w:val="Podnaslov3"/>
        <w:spacing w:before="120"/>
        <w:ind w:right="-794" w:firstLine="720"/>
        <w:rPr>
          <w:sz w:val="24"/>
          <w:szCs w:val="24"/>
        </w:rPr>
      </w:pPr>
      <w:bookmarkStart w:id="53" w:name="_Toc491329732"/>
      <w:bookmarkStart w:id="54" w:name="_Toc530745880"/>
      <w:bookmarkStart w:id="55" w:name="_Toc50641200"/>
      <w:r w:rsidRPr="00383D4F">
        <w:rPr>
          <w:sz w:val="24"/>
          <w:szCs w:val="24"/>
        </w:rPr>
        <w:t>Б.4</w:t>
      </w:r>
      <w:r w:rsidR="00B41AF4" w:rsidRPr="00383D4F">
        <w:rPr>
          <w:sz w:val="24"/>
          <w:szCs w:val="24"/>
        </w:rPr>
        <w:t>. Субвенције</w:t>
      </w:r>
      <w:bookmarkEnd w:id="53"/>
      <w:bookmarkEnd w:id="54"/>
      <w:bookmarkEnd w:id="55"/>
    </w:p>
    <w:p w14:paraId="3208E03A" w14:textId="77777777" w:rsidR="00B41AF4" w:rsidRDefault="00B41AF4" w:rsidP="00B41AF4">
      <w:pPr>
        <w:ind w:left="0" w:right="-792" w:firstLine="360"/>
        <w:rPr>
          <w:b/>
          <w:i/>
        </w:rPr>
      </w:pPr>
    </w:p>
    <w:p w14:paraId="198EE119" w14:textId="77777777" w:rsidR="003A4322" w:rsidRDefault="002C6D65" w:rsidP="002C6D65">
      <w:pPr>
        <w:ind w:left="0" w:firstLine="720"/>
      </w:pPr>
      <w:r w:rsidRPr="00FF7418">
        <w:rPr>
          <w:b/>
          <w:i/>
        </w:rPr>
        <w:t xml:space="preserve">Субвенције </w:t>
      </w:r>
      <w:r w:rsidRPr="00FF7418">
        <w:t xml:space="preserve">су у </w:t>
      </w:r>
      <w:proofErr w:type="spellStart"/>
      <w:r w:rsidRPr="00FF7418">
        <w:t>извјештајном</w:t>
      </w:r>
      <w:proofErr w:type="spellEnd"/>
      <w:r w:rsidRPr="00FF7418">
        <w:t xml:space="preserve"> периоду извршене у износу од </w:t>
      </w:r>
      <w:r w:rsidR="00675C5A">
        <w:t>599.633,36</w:t>
      </w:r>
      <w:r w:rsidRPr="00FF7418">
        <w:t xml:space="preserve"> КМ, што је </w:t>
      </w:r>
      <w:r w:rsidR="00675C5A">
        <w:t>98,57</w:t>
      </w:r>
      <w:r w:rsidRPr="00FF7418">
        <w:t xml:space="preserve">% од планираних средстава. Реализоване субвенције у </w:t>
      </w:r>
      <w:proofErr w:type="spellStart"/>
      <w:r w:rsidRPr="00FF7418">
        <w:t>извјештајном</w:t>
      </w:r>
      <w:proofErr w:type="spellEnd"/>
      <w:r w:rsidRPr="00FF7418">
        <w:t xml:space="preserve"> периоду односе се на </w:t>
      </w:r>
      <w:r w:rsidRPr="00FF7418">
        <w:lastRenderedPageBreak/>
        <w:t xml:space="preserve">субвенционисање трошкова комуналних </w:t>
      </w:r>
      <w:proofErr w:type="spellStart"/>
      <w:r w:rsidRPr="00FF7418">
        <w:t>водних</w:t>
      </w:r>
      <w:proofErr w:type="spellEnd"/>
      <w:r w:rsidRPr="00FF7418">
        <w:t xml:space="preserve"> услуга социјално угроженим корисницима на подручју општине Прњавор у износу од </w:t>
      </w:r>
      <w:r w:rsidR="00306877">
        <w:t>604,80</w:t>
      </w:r>
      <w:r w:rsidRPr="00FF7418">
        <w:t xml:space="preserve"> КМ</w:t>
      </w:r>
      <w:r w:rsidR="009F42D9">
        <w:t xml:space="preserve">, </w:t>
      </w:r>
      <w:r w:rsidR="00306877">
        <w:t>субвенционисање комуналних такса за истицање пословног имена у износу од 40.945,35 КМ,</w:t>
      </w:r>
      <w:r w:rsidR="00DC1A3F">
        <w:rPr>
          <w:lang w:val="sr-Cyrl-RS"/>
        </w:rPr>
        <w:t xml:space="preserve"> </w:t>
      </w:r>
      <w:r w:rsidRPr="00FF7418">
        <w:t>подстицаје за запошљавање у привреди – МЕГ пр</w:t>
      </w:r>
      <w:r>
        <w:t xml:space="preserve">ојекат у износу од 11.169,00 КМ, </w:t>
      </w:r>
      <w:r w:rsidR="009F42D9">
        <w:t xml:space="preserve">подстицаје за набавку машина и опреме – МЕГ пројекат у износу од </w:t>
      </w:r>
      <w:r w:rsidR="00306877">
        <w:t>75.000</w:t>
      </w:r>
      <w:r w:rsidR="009F42D9">
        <w:t xml:space="preserve">,00 КМ, </w:t>
      </w:r>
      <w:r w:rsidR="00250BD5">
        <w:t xml:space="preserve">субвенције за легализацију бесправно изграђених објеката у износу од 10.792,15 КМ, </w:t>
      </w:r>
      <w:r w:rsidR="009F42D9">
        <w:t>с</w:t>
      </w:r>
      <w:r w:rsidR="009F42D9" w:rsidRPr="009F42D9">
        <w:t xml:space="preserve">убвенције закупнине стамбених јединица социјалног становања </w:t>
      </w:r>
      <w:r w:rsidR="003F1DBF">
        <w:t xml:space="preserve">у износу од 143,22 КМ, </w:t>
      </w:r>
      <w:r>
        <w:t xml:space="preserve">подстицаје пољопривредним произвођачима у износу од </w:t>
      </w:r>
      <w:r w:rsidR="00250BD5">
        <w:t>405.978,84</w:t>
      </w:r>
      <w:r>
        <w:t xml:space="preserve"> КМ</w:t>
      </w:r>
      <w:r w:rsidR="003A4322">
        <w:t xml:space="preserve"> и подршку раз</w:t>
      </w:r>
      <w:r w:rsidR="003F1DBF">
        <w:t xml:space="preserve">воју задругарства у износу од </w:t>
      </w:r>
      <w:r w:rsidR="00250BD5">
        <w:t>5</w:t>
      </w:r>
      <w:r w:rsidR="003F1DBF">
        <w:t>5</w:t>
      </w:r>
      <w:r w:rsidR="003A4322">
        <w:t>.000,00 КМ.</w:t>
      </w:r>
    </w:p>
    <w:p w14:paraId="195E2F43" w14:textId="77777777" w:rsidR="00306877" w:rsidRDefault="00306877" w:rsidP="00E520FB">
      <w:pPr>
        <w:ind w:left="0" w:firstLine="720"/>
      </w:pPr>
      <w:r>
        <w:t xml:space="preserve">Скупштина општине Прњавор је, као </w:t>
      </w:r>
      <w:proofErr w:type="spellStart"/>
      <w:r>
        <w:t>мјеру</w:t>
      </w:r>
      <w:proofErr w:type="spellEnd"/>
      <w:r>
        <w:t xml:space="preserve"> помоћи пословним субјектима за ублажавање економских посљедица насталих </w:t>
      </w:r>
      <w:proofErr w:type="spellStart"/>
      <w:r>
        <w:t>усљед</w:t>
      </w:r>
      <w:proofErr w:type="spellEnd"/>
      <w:r>
        <w:t xml:space="preserve"> </w:t>
      </w:r>
      <w:proofErr w:type="spellStart"/>
      <w:r>
        <w:t>дјеловања</w:t>
      </w:r>
      <w:proofErr w:type="spellEnd"/>
      <w:r>
        <w:t xml:space="preserve"> корона вируса, усвојила Одлуку о субвенцији комуналне таксе за истицање пословног имена („Службени гласник општине Прњавор“, број 32/20). Одлуком је дефинисано да ће општина Прњавор на основу расписаног јавног позива обвезницима комуналне таксе за истицање пословног имена којима је био ограничен или забрањен рад актима Републичког штаба за ванредне ситуације и Општинског штаба за ванредне ситуације, одобрити субвенцију комуналне таксе за истицање пословног имена. На основу донесене одлуке и резултата расписаног јавног позива, субвенција комуналне таксе на фирму одобрена је за укупно 279 привредних субјеката у укупном износу од </w:t>
      </w:r>
      <w:r w:rsidR="004468FB">
        <w:rPr>
          <w:lang w:val="sr-Cyrl-RS"/>
        </w:rPr>
        <w:t xml:space="preserve">  </w:t>
      </w:r>
      <w:r>
        <w:t xml:space="preserve">40.945,35 КМ, од чега је за 230 привредних субјеката одобрена субвенција у висини годишњег задужења у укупном износу од 30.044,17 КМ, док је </w:t>
      </w:r>
      <w:r w:rsidR="00E520FB">
        <w:t xml:space="preserve">за </w:t>
      </w:r>
      <w:r>
        <w:t>49 привредних субјеката одобрена субвенција у износу мањем од износа годишњег задужења у укупном износу од 10.901,18 КМ.</w:t>
      </w:r>
    </w:p>
    <w:p w14:paraId="4D47D323" w14:textId="77777777" w:rsidR="002C6D65" w:rsidRDefault="002C6D65" w:rsidP="002C6D65">
      <w:pPr>
        <w:ind w:left="0" w:firstLine="720"/>
        <w:rPr>
          <w:bCs/>
          <w:iCs/>
        </w:rPr>
      </w:pPr>
      <w:r w:rsidRPr="00FF7418">
        <w:rPr>
          <w:bCs/>
          <w:iCs/>
          <w:lang w:val="sr-Cyrl-BA"/>
        </w:rPr>
        <w:t xml:space="preserve">Подстицаји за запошљавање у привреди се односе на пројекат који </w:t>
      </w:r>
      <w:r w:rsidRPr="00FF7418">
        <w:rPr>
          <w:bCs/>
          <w:iCs/>
        </w:rPr>
        <w:t xml:space="preserve">је трајао годину дана у сарадњи са </w:t>
      </w:r>
      <w:r w:rsidRPr="00FF7418">
        <w:rPr>
          <w:bCs/>
          <w:iCs/>
          <w:lang w:val="sr-Cyrl-BA"/>
        </w:rPr>
        <w:t>МЕГ</w:t>
      </w:r>
      <w:r w:rsidR="003F1DBF">
        <w:rPr>
          <w:bCs/>
          <w:iCs/>
          <w:lang w:val="sr-Cyrl-BA"/>
        </w:rPr>
        <w:t>/УНДП</w:t>
      </w:r>
      <w:r w:rsidRPr="00FF7418">
        <w:rPr>
          <w:bCs/>
          <w:iCs/>
        </w:rPr>
        <w:t xml:space="preserve">, и највећим </w:t>
      </w:r>
      <w:proofErr w:type="spellStart"/>
      <w:r w:rsidRPr="00FF7418">
        <w:rPr>
          <w:bCs/>
          <w:iCs/>
        </w:rPr>
        <w:t>дијелом</w:t>
      </w:r>
      <w:proofErr w:type="spellEnd"/>
      <w:r w:rsidRPr="00FF7418">
        <w:rPr>
          <w:bCs/>
          <w:iCs/>
        </w:rPr>
        <w:t xml:space="preserve"> је реализован у 2019. години. Из пројекта је финансиран износ најниже плате у Републици Српској са припадајућим порезима и доприносима (657,00 КМ бруто) за 17 </w:t>
      </w:r>
      <w:proofErr w:type="spellStart"/>
      <w:r w:rsidRPr="00FF7418">
        <w:rPr>
          <w:bCs/>
          <w:iCs/>
        </w:rPr>
        <w:t>новозапослених</w:t>
      </w:r>
      <w:proofErr w:type="spellEnd"/>
      <w:r w:rsidRPr="00FF7418">
        <w:rPr>
          <w:bCs/>
          <w:iCs/>
        </w:rPr>
        <w:t xml:space="preserve"> радника за период од шест </w:t>
      </w:r>
      <w:proofErr w:type="spellStart"/>
      <w:r w:rsidRPr="00FF7418">
        <w:rPr>
          <w:bCs/>
          <w:iCs/>
        </w:rPr>
        <w:t>мјесеци</w:t>
      </w:r>
      <w:proofErr w:type="spellEnd"/>
      <w:r>
        <w:rPr>
          <w:bCs/>
          <w:iCs/>
        </w:rPr>
        <w:t xml:space="preserve"> (по три </w:t>
      </w:r>
      <w:proofErr w:type="spellStart"/>
      <w:r>
        <w:rPr>
          <w:bCs/>
          <w:iCs/>
        </w:rPr>
        <w:t>мјесеца</w:t>
      </w:r>
      <w:proofErr w:type="spellEnd"/>
      <w:r>
        <w:rPr>
          <w:bCs/>
          <w:iCs/>
        </w:rPr>
        <w:t xml:space="preserve"> из буџета општине и из средстава МЕГ пројекта)</w:t>
      </w:r>
      <w:r w:rsidRPr="00FF7418">
        <w:rPr>
          <w:bCs/>
          <w:iCs/>
          <w:lang w:val="sr-Cyrl-BA"/>
        </w:rPr>
        <w:t xml:space="preserve">. У 2020. години извршена је </w:t>
      </w:r>
      <w:r w:rsidRPr="00FF7418">
        <w:rPr>
          <w:bCs/>
          <w:iCs/>
        </w:rPr>
        <w:t xml:space="preserve">рефундација плата за један </w:t>
      </w:r>
      <w:proofErr w:type="spellStart"/>
      <w:r w:rsidRPr="00FF7418">
        <w:rPr>
          <w:bCs/>
          <w:iCs/>
        </w:rPr>
        <w:t>мјесец</w:t>
      </w:r>
      <w:proofErr w:type="spellEnd"/>
      <w:r w:rsidRPr="00FF7418">
        <w:rPr>
          <w:bCs/>
          <w:iCs/>
        </w:rPr>
        <w:t xml:space="preserve"> из средстава општине, док су средства МЕГ пројекта у </w:t>
      </w:r>
      <w:proofErr w:type="spellStart"/>
      <w:r w:rsidRPr="00FF7418">
        <w:rPr>
          <w:bCs/>
          <w:iCs/>
        </w:rPr>
        <w:t>цијелости</w:t>
      </w:r>
      <w:proofErr w:type="spellEnd"/>
      <w:r w:rsidRPr="00FF7418">
        <w:rPr>
          <w:bCs/>
          <w:iCs/>
        </w:rPr>
        <w:t xml:space="preserve"> реализована у 2019. години.</w:t>
      </w:r>
    </w:p>
    <w:p w14:paraId="577BCF96" w14:textId="77777777" w:rsidR="00AC7AFA" w:rsidRDefault="00AC7AFA" w:rsidP="002C6D65">
      <w:pPr>
        <w:ind w:left="0" w:firstLine="720"/>
        <w:rPr>
          <w:bCs/>
          <w:iCs/>
        </w:rPr>
      </w:pPr>
      <w:r>
        <w:rPr>
          <w:bCs/>
          <w:iCs/>
        </w:rPr>
        <w:t xml:space="preserve">У сарадњи са УНДП-ом, за реализацију пројекта „Подстицаји за запошљавање повећањем производних капацитета предузећа регистрованих на подручју општине Прњавор“ </w:t>
      </w:r>
      <w:proofErr w:type="spellStart"/>
      <w:r>
        <w:rPr>
          <w:bCs/>
          <w:iCs/>
        </w:rPr>
        <w:t>обезбијеђена</w:t>
      </w:r>
      <w:proofErr w:type="spellEnd"/>
      <w:r>
        <w:rPr>
          <w:bCs/>
          <w:iCs/>
        </w:rPr>
        <w:t xml:space="preserve"> су средства у укупном износу од 75.000,00 КМ, а </w:t>
      </w:r>
      <w:proofErr w:type="spellStart"/>
      <w:r>
        <w:rPr>
          <w:bCs/>
          <w:iCs/>
        </w:rPr>
        <w:t>намијењена</w:t>
      </w:r>
      <w:proofErr w:type="spellEnd"/>
      <w:r>
        <w:rPr>
          <w:bCs/>
          <w:iCs/>
        </w:rPr>
        <w:t xml:space="preserve"> су за набавку машина и опреме привредним субјектима који се обавежу да запосле најмање једног радника са евиденције Завода за запошљавање. У финансирању пројекта општина и УНДП су учествовали са по 50%. На основу расписаног јавног позива, у складу са Правилником о </w:t>
      </w:r>
      <w:proofErr w:type="spellStart"/>
      <w:r>
        <w:rPr>
          <w:bCs/>
          <w:iCs/>
        </w:rPr>
        <w:t>додјели</w:t>
      </w:r>
      <w:proofErr w:type="spellEnd"/>
      <w:r>
        <w:rPr>
          <w:bCs/>
          <w:iCs/>
        </w:rPr>
        <w:t xml:space="preserve"> подстицаја за запошљавање повећањем производних капацитета предузећа регистрованих на подручју општине Прњавор („Службени гласник општине Прњавор“, број 4/20), средства су одобрена за пет привредних субјеката у износима од по 15.000,00 КМ.</w:t>
      </w:r>
    </w:p>
    <w:p w14:paraId="43D7A095" w14:textId="77777777" w:rsidR="00AC7AFA" w:rsidRDefault="00AC7AFA" w:rsidP="00AC7AFA">
      <w:pPr>
        <w:ind w:left="0" w:firstLine="720"/>
        <w:rPr>
          <w:bCs/>
          <w:iCs/>
        </w:rPr>
      </w:pPr>
      <w:r>
        <w:rPr>
          <w:bCs/>
          <w:iCs/>
        </w:rPr>
        <w:t xml:space="preserve">Субвенције за легализацију бесправно изграђених објеката одобраване су на основу Одлуке о субвенцији трошкова одређеним категоријама грађана у поступку легализације бесправно изграђених објеката на територији општине Прњавор („Службени гласник општине Прњавор“, број 22/18). Овом одлуком дефинисани су износи субвенције у односу на редовне трошкове накнаде за уређење градског грађевинског земљишта, ренте и накнаде за легализацију за одређене инвеститоре или </w:t>
      </w:r>
      <w:proofErr w:type="spellStart"/>
      <w:r>
        <w:rPr>
          <w:bCs/>
          <w:iCs/>
        </w:rPr>
        <w:t>власникe</w:t>
      </w:r>
      <w:proofErr w:type="spellEnd"/>
      <w:r>
        <w:rPr>
          <w:bCs/>
          <w:iCs/>
        </w:rPr>
        <w:t xml:space="preserve"> објеката из категорије породица погинулих бораца, ратних војних инвалида и лица која се налазе у стању социјалне потребе.</w:t>
      </w:r>
      <w:r w:rsidR="00DB0CE1">
        <w:rPr>
          <w:bCs/>
          <w:iCs/>
        </w:rPr>
        <w:t xml:space="preserve"> Током 2020. године донесена су три закључка о субвенционисању трошкова у поступку легализације бесправно изграђених објеката </w:t>
      </w:r>
      <w:r w:rsidR="00713E9A">
        <w:rPr>
          <w:bCs/>
          <w:iCs/>
        </w:rPr>
        <w:t xml:space="preserve"> на укупан износ од 10.792,15 КМ, од чега је износ субвенције накнаде за ренту 4.576,53 КМ, накнаде за уређење 5.408,80 КМ и накнаде за легализацију 806,82 КМ.</w:t>
      </w:r>
    </w:p>
    <w:p w14:paraId="42384DF8" w14:textId="77777777" w:rsidR="00882C69" w:rsidRPr="00DC5B68" w:rsidRDefault="00882C69" w:rsidP="00882C69">
      <w:pPr>
        <w:ind w:left="0" w:firstLine="720"/>
      </w:pPr>
      <w:r>
        <w:t xml:space="preserve">Од укупно извршених средстава за субвенције у 2020. години (599.633,36 КМ), највећи </w:t>
      </w:r>
      <w:proofErr w:type="spellStart"/>
      <w:r>
        <w:t>дио</w:t>
      </w:r>
      <w:proofErr w:type="spellEnd"/>
      <w:r>
        <w:t xml:space="preserve"> одн. 405.978,84 КМ односи се на подстицаје индивидуалним пољопривредним произвођачима који се реализују на основу Програма коришћења средстава за унапређење </w:t>
      </w:r>
      <w:r>
        <w:lastRenderedPageBreak/>
        <w:t xml:space="preserve">пољопривредне производње, који на годишњем нивоу усваја Скупштина општине, и о чијој реализацији се Скупштина општине информише кроз </w:t>
      </w:r>
      <w:proofErr w:type="spellStart"/>
      <w:r>
        <w:t>извјештај</w:t>
      </w:r>
      <w:proofErr w:type="spellEnd"/>
      <w:r>
        <w:t xml:space="preserve"> о реализацији овог програма.</w:t>
      </w:r>
    </w:p>
    <w:p w14:paraId="0513F4C5" w14:textId="77777777" w:rsidR="00AC7AFA" w:rsidRPr="00C424BD" w:rsidRDefault="00C424BD" w:rsidP="002C6D65">
      <w:pPr>
        <w:ind w:left="0" w:firstLine="720"/>
        <w:rPr>
          <w:bCs/>
          <w:iCs/>
        </w:rPr>
      </w:pPr>
      <w:r>
        <w:rPr>
          <w:bCs/>
          <w:iCs/>
        </w:rPr>
        <w:t>Средства реализована као подршка развоју задругарства у износу од 55.000,00 КМ дозначена су пољопривредној задрузи „</w:t>
      </w:r>
      <w:proofErr w:type="spellStart"/>
      <w:r>
        <w:rPr>
          <w:bCs/>
          <w:iCs/>
        </w:rPr>
        <w:t>Глаж</w:t>
      </w:r>
      <w:proofErr w:type="spellEnd"/>
      <w:r>
        <w:rPr>
          <w:bCs/>
          <w:iCs/>
        </w:rPr>
        <w:t xml:space="preserve">“ </w:t>
      </w:r>
      <w:proofErr w:type="spellStart"/>
      <w:r>
        <w:rPr>
          <w:bCs/>
          <w:iCs/>
        </w:rPr>
        <w:t>п.о</w:t>
      </w:r>
      <w:proofErr w:type="spellEnd"/>
      <w:r>
        <w:rPr>
          <w:bCs/>
          <w:iCs/>
        </w:rPr>
        <w:t xml:space="preserve">. Прњавор на име суфинансирања трошкова закупа пословног простора – објекта хладњаче са пратећом опремом у хладњачи. </w:t>
      </w:r>
    </w:p>
    <w:p w14:paraId="69A1DC97" w14:textId="77777777" w:rsidR="00D7339A" w:rsidRPr="00963D4C" w:rsidRDefault="00D7339A" w:rsidP="00B41AF4">
      <w:pPr>
        <w:ind w:left="0" w:right="-792" w:firstLine="0"/>
      </w:pPr>
    </w:p>
    <w:p w14:paraId="01988173" w14:textId="77777777" w:rsidR="007C06AE" w:rsidRPr="00383D4F" w:rsidRDefault="007C06AE" w:rsidP="00853348">
      <w:pPr>
        <w:pStyle w:val="Podnaslov3"/>
        <w:spacing w:before="120"/>
        <w:ind w:right="-794"/>
        <w:rPr>
          <w:sz w:val="24"/>
          <w:szCs w:val="24"/>
        </w:rPr>
      </w:pPr>
      <w:r w:rsidRPr="00383D4F">
        <w:rPr>
          <w:sz w:val="24"/>
          <w:szCs w:val="24"/>
        </w:rPr>
        <w:tab/>
      </w:r>
      <w:bookmarkStart w:id="56" w:name="_Toc491329733"/>
      <w:bookmarkStart w:id="57" w:name="_Toc530745881"/>
      <w:bookmarkStart w:id="58" w:name="_Toc50641201"/>
      <w:r w:rsidR="00E63627" w:rsidRPr="00383D4F">
        <w:rPr>
          <w:sz w:val="24"/>
          <w:szCs w:val="24"/>
        </w:rPr>
        <w:t>Б.5</w:t>
      </w:r>
      <w:r w:rsidRPr="00383D4F">
        <w:rPr>
          <w:sz w:val="24"/>
          <w:szCs w:val="24"/>
        </w:rPr>
        <w:t>. Грантови</w:t>
      </w:r>
      <w:bookmarkEnd w:id="56"/>
      <w:bookmarkEnd w:id="57"/>
      <w:bookmarkEnd w:id="58"/>
    </w:p>
    <w:p w14:paraId="52AABE2A" w14:textId="77777777" w:rsidR="007C06AE" w:rsidRDefault="007C06AE" w:rsidP="007C06AE">
      <w:pPr>
        <w:ind w:left="0" w:firstLine="0"/>
      </w:pPr>
    </w:p>
    <w:p w14:paraId="7B4E4399" w14:textId="77777777" w:rsidR="00821838" w:rsidRDefault="007C06AE" w:rsidP="00821838">
      <w:pPr>
        <w:ind w:left="0" w:firstLine="0"/>
      </w:pPr>
      <w:r>
        <w:tab/>
      </w:r>
      <w:r w:rsidRPr="00A07243">
        <w:rPr>
          <w:b/>
          <w:i/>
        </w:rPr>
        <w:t>Средства за</w:t>
      </w:r>
      <w:r w:rsidR="00E97428">
        <w:rPr>
          <w:b/>
          <w:i/>
          <w:lang w:val="sr-Cyrl-BA"/>
        </w:rPr>
        <w:t xml:space="preserve"> </w:t>
      </w:r>
      <w:r>
        <w:rPr>
          <w:b/>
          <w:i/>
        </w:rPr>
        <w:t>грантове</w:t>
      </w:r>
      <w:r w:rsidR="00E97428">
        <w:rPr>
          <w:b/>
          <w:i/>
          <w:lang w:val="sr-Cyrl-BA"/>
        </w:rPr>
        <w:t xml:space="preserve"> </w:t>
      </w:r>
      <w:r>
        <w:t xml:space="preserve">су у </w:t>
      </w:r>
      <w:proofErr w:type="spellStart"/>
      <w:r w:rsidR="00CE1E53">
        <w:t>извјештајном</w:t>
      </w:r>
      <w:proofErr w:type="spellEnd"/>
      <w:r w:rsidR="00CE1E53">
        <w:t xml:space="preserve"> периоду</w:t>
      </w:r>
      <w:r>
        <w:t xml:space="preserve"> извршена у износу од </w:t>
      </w:r>
      <w:r w:rsidR="004468FB">
        <w:rPr>
          <w:lang w:val="sr-Cyrl-RS"/>
        </w:rPr>
        <w:t xml:space="preserve">       </w:t>
      </w:r>
      <w:r w:rsidR="00141D7A">
        <w:t>1.327.712,51</w:t>
      </w:r>
      <w:r>
        <w:t xml:space="preserve"> КМ, што је </w:t>
      </w:r>
      <w:r w:rsidR="00141D7A">
        <w:t>76,01</w:t>
      </w:r>
      <w:r w:rsidR="007B0CE6">
        <w:t xml:space="preserve">% од планираних средстава. </w:t>
      </w:r>
      <w:r>
        <w:t xml:space="preserve">Грант представља бесповратну дознаку која има за циљ да помогне у обављању редовних активности или специфичне групе активности (пројекта) примаоца </w:t>
      </w:r>
      <w:proofErr w:type="spellStart"/>
      <w:r>
        <w:t>гранта</w:t>
      </w:r>
      <w:proofErr w:type="spellEnd"/>
      <w:r>
        <w:t xml:space="preserve">. </w:t>
      </w:r>
      <w:r w:rsidR="00C562F5">
        <w:t>У складу са чланом 10</w:t>
      </w:r>
      <w:r w:rsidR="00821838" w:rsidRPr="00DF5760">
        <w:t>. Одлуке о извршењ</w:t>
      </w:r>
      <w:r w:rsidR="00821838">
        <w:t>у буџета оп</w:t>
      </w:r>
      <w:r w:rsidR="00260FCE">
        <w:t>штине Прњавор за 2020</w:t>
      </w:r>
      <w:r w:rsidR="00821838" w:rsidRPr="00DF5760">
        <w:t xml:space="preserve">. годину </w:t>
      </w:r>
      <w:r w:rsidR="00821838" w:rsidRPr="006D723D">
        <w:rPr>
          <w:rFonts w:eastAsia="TimesNewRomanPSMT"/>
        </w:rPr>
        <w:t>(„Службени г</w:t>
      </w:r>
      <w:r w:rsidR="00821838">
        <w:rPr>
          <w:rFonts w:eastAsia="TimesNewRomanPSMT"/>
        </w:rPr>
        <w:t xml:space="preserve">ласник општине Прњавор“, број </w:t>
      </w:r>
      <w:r w:rsidR="00260FCE">
        <w:rPr>
          <w:rFonts w:eastAsia="TimesNewRomanPSMT"/>
        </w:rPr>
        <w:t>19/19</w:t>
      </w:r>
      <w:r w:rsidR="00141D7A">
        <w:rPr>
          <w:rFonts w:eastAsia="TimesNewRomanPSMT"/>
        </w:rPr>
        <w:t xml:space="preserve"> и 51/20</w:t>
      </w:r>
      <w:r w:rsidR="00821838" w:rsidRPr="006D723D">
        <w:rPr>
          <w:rFonts w:eastAsia="TimesNewRomanPSMT"/>
        </w:rPr>
        <w:t>)</w:t>
      </w:r>
      <w:r w:rsidR="00821838" w:rsidRPr="00DF5760">
        <w:t>, одобравање средстава за грантове врши се на основу к</w:t>
      </w:r>
      <w:r w:rsidR="00821838">
        <w:t>ритеријума утврђених од стране н</w:t>
      </w:r>
      <w:r w:rsidR="00821838" w:rsidRPr="00DF5760">
        <w:t xml:space="preserve">ачелника општине, а надлежно </w:t>
      </w:r>
      <w:proofErr w:type="spellStart"/>
      <w:r w:rsidR="00821838" w:rsidRPr="00DF5760">
        <w:t>одјељење</w:t>
      </w:r>
      <w:proofErr w:type="spellEnd"/>
      <w:r w:rsidR="00821838" w:rsidRPr="00DF5760">
        <w:t xml:space="preserve"> </w:t>
      </w:r>
      <w:r w:rsidR="00821838">
        <w:t>Општинске управе</w:t>
      </w:r>
      <w:r w:rsidR="00821838" w:rsidRPr="00DF5760">
        <w:t xml:space="preserve"> прати рад корисника средстава и </w:t>
      </w:r>
      <w:proofErr w:type="spellStart"/>
      <w:r w:rsidR="00821838" w:rsidRPr="00DF5760">
        <w:t>оцјењује</w:t>
      </w:r>
      <w:proofErr w:type="spellEnd"/>
      <w:r w:rsidR="00821838" w:rsidRPr="00DF5760">
        <w:t xml:space="preserve"> оправданост коришћења средстава. Корисници средстава грантова дужни су </w:t>
      </w:r>
      <w:proofErr w:type="spellStart"/>
      <w:r w:rsidR="00821838" w:rsidRPr="00DF5760">
        <w:t>поднијети</w:t>
      </w:r>
      <w:proofErr w:type="spellEnd"/>
      <w:r w:rsidR="00821838" w:rsidRPr="00DF5760">
        <w:t xml:space="preserve"> </w:t>
      </w:r>
      <w:proofErr w:type="spellStart"/>
      <w:r w:rsidR="00821838" w:rsidRPr="00DF5760">
        <w:t>извјештај</w:t>
      </w:r>
      <w:proofErr w:type="spellEnd"/>
      <w:r w:rsidR="00821838" w:rsidRPr="00DF5760">
        <w:t xml:space="preserve"> о утрошку примљених сре</w:t>
      </w:r>
      <w:r w:rsidR="00821838">
        <w:t xml:space="preserve">дстава надлежном </w:t>
      </w:r>
      <w:proofErr w:type="spellStart"/>
      <w:r w:rsidR="00821838">
        <w:t>одјељењу</w:t>
      </w:r>
      <w:proofErr w:type="spellEnd"/>
      <w:r w:rsidR="00821838">
        <w:t>, 30</w:t>
      </w:r>
      <w:r w:rsidR="00821838" w:rsidRPr="00DF5760">
        <w:t xml:space="preserve"> дана по истеку фискалне године</w:t>
      </w:r>
      <w:r w:rsidR="00821838" w:rsidRPr="00DF5760">
        <w:rPr>
          <w:lang w:val="sr-Cyrl-BA"/>
        </w:rPr>
        <w:t>.</w:t>
      </w:r>
      <w:r w:rsidR="004468FB">
        <w:rPr>
          <w:lang w:val="sr-Cyrl-BA"/>
        </w:rPr>
        <w:t xml:space="preserve"> </w:t>
      </w:r>
      <w:r w:rsidR="00141D7A">
        <w:t xml:space="preserve">Због ситуације изазване </w:t>
      </w:r>
      <w:proofErr w:type="spellStart"/>
      <w:r w:rsidR="00141D7A">
        <w:t>дјеловањем</w:t>
      </w:r>
      <w:proofErr w:type="spellEnd"/>
      <w:r w:rsidR="00141D7A">
        <w:t xml:space="preserve"> вируса корона у 2020. години, већина буџетских позиција које се односе на грантове извршена је у мањем обиму у односу на план. </w:t>
      </w:r>
    </w:p>
    <w:p w14:paraId="048430EF" w14:textId="77777777" w:rsidR="00141D7A" w:rsidRDefault="00141D7A" w:rsidP="00141D7A">
      <w:pPr>
        <w:ind w:left="0" w:firstLine="720"/>
      </w:pPr>
      <w:r>
        <w:t xml:space="preserve">У наредној табели дат је преглед буџетских позиција које се односе на реализацију средстава </w:t>
      </w:r>
      <w:proofErr w:type="spellStart"/>
      <w:r>
        <w:t>гранта</w:t>
      </w:r>
      <w:proofErr w:type="spellEnd"/>
      <w:r>
        <w:t xml:space="preserve"> у периоду 01.01-31.12.2020. године.</w:t>
      </w:r>
    </w:p>
    <w:p w14:paraId="5E55E71C" w14:textId="77777777" w:rsidR="00E312F9" w:rsidRDefault="00E312F9" w:rsidP="00141D7A">
      <w:pPr>
        <w:ind w:left="0" w:firstLine="720"/>
      </w:pPr>
    </w:p>
    <w:p w14:paraId="20901668" w14:textId="77777777" w:rsidR="00E312F9" w:rsidRDefault="00E312F9" w:rsidP="00141D7A">
      <w:pPr>
        <w:ind w:left="0" w:firstLine="720"/>
      </w:pPr>
    </w:p>
    <w:p w14:paraId="52B86993" w14:textId="77777777" w:rsidR="00E312F9" w:rsidRPr="00D1067C" w:rsidRDefault="00E312F9" w:rsidP="00141D7A">
      <w:pPr>
        <w:ind w:left="0" w:firstLine="720"/>
      </w:pPr>
    </w:p>
    <w:p w14:paraId="07B7056C" w14:textId="77777777" w:rsidR="00141D7A" w:rsidRDefault="00141D7A" w:rsidP="00821838">
      <w:pPr>
        <w:ind w:left="0" w:firstLine="0"/>
      </w:pPr>
    </w:p>
    <w:p w14:paraId="1357AB9F" w14:textId="77777777" w:rsidR="00141D7A" w:rsidRDefault="00141D7A" w:rsidP="00141D7A">
      <w:pPr>
        <w:spacing w:before="120"/>
        <w:ind w:left="0" w:firstLine="0"/>
        <w:jc w:val="center"/>
        <w:rPr>
          <w:lang w:val="sr-Cyrl-BA"/>
        </w:rPr>
      </w:pPr>
      <w:r w:rsidRPr="00DF5760">
        <w:t>Табела бр.</w:t>
      </w:r>
      <w:r>
        <w:t xml:space="preserve"> 6.</w:t>
      </w:r>
      <w:r w:rsidRPr="00DF5760">
        <w:rPr>
          <w:lang w:val="sr-Cyrl-BA"/>
        </w:rPr>
        <w:t xml:space="preserve"> </w:t>
      </w:r>
      <w:proofErr w:type="spellStart"/>
      <w:r w:rsidRPr="00DF5760">
        <w:rPr>
          <w:lang w:val="sr-Cyrl-BA"/>
        </w:rPr>
        <w:t>Преглед</w:t>
      </w:r>
      <w:proofErr w:type="spellEnd"/>
      <w:r w:rsidRPr="00DF5760">
        <w:rPr>
          <w:lang w:val="sr-Cyrl-BA"/>
        </w:rPr>
        <w:t xml:space="preserve"> извршења позиција</w:t>
      </w:r>
      <w:r>
        <w:rPr>
          <w:lang w:val="sr-Cyrl-BA"/>
        </w:rPr>
        <w:t xml:space="preserve"> грантова у периоду 01.01–31.12.2020</w:t>
      </w:r>
      <w:r w:rsidRPr="00DF5760">
        <w:rPr>
          <w:lang w:val="sr-Cyrl-BA"/>
        </w:rPr>
        <w:t>. године</w:t>
      </w:r>
    </w:p>
    <w:tbl>
      <w:tblPr>
        <w:tblW w:w="9900" w:type="dxa"/>
        <w:tblLook w:val="04A0" w:firstRow="1" w:lastRow="0" w:firstColumn="1" w:lastColumn="0" w:noHBand="0" w:noVBand="1"/>
      </w:tblPr>
      <w:tblGrid>
        <w:gridCol w:w="539"/>
        <w:gridCol w:w="7660"/>
        <w:gridCol w:w="1701"/>
      </w:tblGrid>
      <w:tr w:rsidR="00141D7A" w:rsidRPr="00141D7A" w14:paraId="4A21646F" w14:textId="77777777" w:rsidTr="00141D7A">
        <w:trPr>
          <w:trHeight w:val="439"/>
          <w:tblHeader/>
        </w:trPr>
        <w:tc>
          <w:tcPr>
            <w:tcW w:w="539" w:type="dxa"/>
            <w:tcBorders>
              <w:top w:val="double" w:sz="6" w:space="0" w:color="auto"/>
              <w:left w:val="double" w:sz="6" w:space="0" w:color="auto"/>
              <w:bottom w:val="double" w:sz="6" w:space="0" w:color="auto"/>
              <w:right w:val="single" w:sz="4" w:space="0" w:color="auto"/>
            </w:tcBorders>
            <w:shd w:val="clear" w:color="auto" w:fill="auto"/>
            <w:vAlign w:val="center"/>
            <w:hideMark/>
          </w:tcPr>
          <w:p w14:paraId="255FACC2" w14:textId="77777777" w:rsidR="00141D7A" w:rsidRPr="00141D7A" w:rsidRDefault="00141D7A" w:rsidP="00141D7A">
            <w:pPr>
              <w:ind w:left="0" w:right="0" w:firstLine="0"/>
              <w:jc w:val="center"/>
              <w:rPr>
                <w:b/>
                <w:bCs/>
                <w:sz w:val="20"/>
                <w:szCs w:val="20"/>
              </w:rPr>
            </w:pPr>
            <w:proofErr w:type="spellStart"/>
            <w:r w:rsidRPr="00141D7A">
              <w:rPr>
                <w:b/>
                <w:bCs/>
                <w:sz w:val="20"/>
                <w:szCs w:val="20"/>
              </w:rPr>
              <w:t>Р.б</w:t>
            </w:r>
            <w:proofErr w:type="spellEnd"/>
            <w:r w:rsidRPr="00141D7A">
              <w:rPr>
                <w:b/>
                <w:bCs/>
                <w:sz w:val="20"/>
                <w:szCs w:val="20"/>
              </w:rPr>
              <w:t>.</w:t>
            </w:r>
          </w:p>
        </w:tc>
        <w:tc>
          <w:tcPr>
            <w:tcW w:w="7660" w:type="dxa"/>
            <w:tcBorders>
              <w:top w:val="double" w:sz="6" w:space="0" w:color="auto"/>
              <w:left w:val="nil"/>
              <w:bottom w:val="double" w:sz="6" w:space="0" w:color="auto"/>
              <w:right w:val="single" w:sz="4" w:space="0" w:color="auto"/>
            </w:tcBorders>
            <w:shd w:val="clear" w:color="auto" w:fill="auto"/>
            <w:vAlign w:val="center"/>
            <w:hideMark/>
          </w:tcPr>
          <w:p w14:paraId="62735894" w14:textId="77777777" w:rsidR="00141D7A" w:rsidRPr="00141D7A" w:rsidRDefault="00141D7A" w:rsidP="00141D7A">
            <w:pPr>
              <w:ind w:left="0" w:right="0" w:firstLine="0"/>
              <w:jc w:val="center"/>
              <w:rPr>
                <w:b/>
                <w:bCs/>
                <w:sz w:val="20"/>
                <w:szCs w:val="20"/>
              </w:rPr>
            </w:pPr>
            <w:r w:rsidRPr="00141D7A">
              <w:rPr>
                <w:b/>
                <w:bCs/>
                <w:sz w:val="20"/>
                <w:szCs w:val="20"/>
              </w:rPr>
              <w:t>Н а з и в    п о з и ц и ј е</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14:paraId="7E1A1841" w14:textId="77777777" w:rsidR="00141D7A" w:rsidRPr="00141D7A" w:rsidRDefault="00141D7A" w:rsidP="00141D7A">
            <w:pPr>
              <w:ind w:left="0" w:right="0" w:firstLine="0"/>
              <w:jc w:val="center"/>
              <w:rPr>
                <w:b/>
                <w:bCs/>
                <w:sz w:val="20"/>
                <w:szCs w:val="20"/>
              </w:rPr>
            </w:pPr>
            <w:r w:rsidRPr="00141D7A">
              <w:rPr>
                <w:b/>
                <w:bCs/>
                <w:sz w:val="20"/>
                <w:szCs w:val="20"/>
              </w:rPr>
              <w:t>Износ (КМ)</w:t>
            </w:r>
          </w:p>
        </w:tc>
      </w:tr>
      <w:tr w:rsidR="00141D7A" w:rsidRPr="00141D7A" w14:paraId="583B77AA" w14:textId="77777777" w:rsidTr="00141D7A">
        <w:trPr>
          <w:trHeight w:val="270"/>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7E16C2AC" w14:textId="77777777" w:rsidR="00141D7A" w:rsidRPr="00141D7A" w:rsidRDefault="00141D7A" w:rsidP="00141D7A">
            <w:pPr>
              <w:ind w:left="0" w:right="0" w:firstLine="0"/>
              <w:jc w:val="center"/>
              <w:rPr>
                <w:sz w:val="20"/>
                <w:szCs w:val="20"/>
              </w:rPr>
            </w:pPr>
            <w:r w:rsidRPr="00141D7A">
              <w:rPr>
                <w:sz w:val="20"/>
                <w:szCs w:val="20"/>
              </w:rPr>
              <w:t>1</w:t>
            </w:r>
          </w:p>
        </w:tc>
        <w:tc>
          <w:tcPr>
            <w:tcW w:w="7660" w:type="dxa"/>
            <w:tcBorders>
              <w:top w:val="nil"/>
              <w:left w:val="nil"/>
              <w:bottom w:val="single" w:sz="4" w:space="0" w:color="auto"/>
              <w:right w:val="single" w:sz="4" w:space="0" w:color="auto"/>
            </w:tcBorders>
            <w:shd w:val="clear" w:color="auto" w:fill="auto"/>
            <w:vAlign w:val="bottom"/>
            <w:hideMark/>
          </w:tcPr>
          <w:p w14:paraId="4A374435" w14:textId="77777777" w:rsidR="00141D7A" w:rsidRPr="00141D7A" w:rsidRDefault="00141D7A" w:rsidP="00141D7A">
            <w:pPr>
              <w:ind w:left="0" w:right="0" w:firstLine="0"/>
              <w:jc w:val="left"/>
              <w:rPr>
                <w:sz w:val="20"/>
                <w:szCs w:val="20"/>
              </w:rPr>
            </w:pPr>
            <w:r w:rsidRPr="00141D7A">
              <w:rPr>
                <w:sz w:val="20"/>
                <w:szCs w:val="20"/>
              </w:rPr>
              <w:t>Финансирање политичких партија</w:t>
            </w:r>
          </w:p>
        </w:tc>
        <w:tc>
          <w:tcPr>
            <w:tcW w:w="1701" w:type="dxa"/>
            <w:tcBorders>
              <w:top w:val="single" w:sz="4" w:space="0" w:color="auto"/>
              <w:left w:val="nil"/>
              <w:bottom w:val="single" w:sz="4" w:space="0" w:color="auto"/>
              <w:right w:val="double" w:sz="6" w:space="0" w:color="auto"/>
            </w:tcBorders>
            <w:shd w:val="clear" w:color="000000" w:fill="FFFFFF"/>
            <w:noWrap/>
            <w:vAlign w:val="center"/>
            <w:hideMark/>
          </w:tcPr>
          <w:p w14:paraId="45408BAE" w14:textId="77777777" w:rsidR="00141D7A" w:rsidRPr="00141D7A" w:rsidRDefault="00141D7A" w:rsidP="00141D7A">
            <w:pPr>
              <w:ind w:left="0" w:right="0" w:firstLine="0"/>
              <w:jc w:val="right"/>
              <w:rPr>
                <w:rFonts w:ascii="Arial" w:hAnsi="Arial" w:cs="Arial"/>
                <w:sz w:val="20"/>
                <w:szCs w:val="20"/>
              </w:rPr>
            </w:pPr>
            <w:r w:rsidRPr="00141D7A">
              <w:rPr>
                <w:rFonts w:ascii="Arial" w:hAnsi="Arial" w:cs="Arial"/>
                <w:sz w:val="20"/>
                <w:szCs w:val="20"/>
              </w:rPr>
              <w:t>5.544,00</w:t>
            </w:r>
          </w:p>
        </w:tc>
      </w:tr>
      <w:tr w:rsidR="00141D7A" w:rsidRPr="00141D7A" w14:paraId="54D32681" w14:textId="77777777" w:rsidTr="00141D7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7C6A8C58" w14:textId="77777777" w:rsidR="00141D7A" w:rsidRPr="00141D7A" w:rsidRDefault="00141D7A" w:rsidP="00141D7A">
            <w:pPr>
              <w:ind w:left="0" w:right="0" w:firstLine="0"/>
              <w:jc w:val="center"/>
              <w:rPr>
                <w:sz w:val="20"/>
                <w:szCs w:val="20"/>
              </w:rPr>
            </w:pPr>
            <w:r w:rsidRPr="00141D7A">
              <w:rPr>
                <w:sz w:val="20"/>
                <w:szCs w:val="20"/>
              </w:rPr>
              <w:t>2</w:t>
            </w:r>
          </w:p>
        </w:tc>
        <w:tc>
          <w:tcPr>
            <w:tcW w:w="7660" w:type="dxa"/>
            <w:tcBorders>
              <w:top w:val="nil"/>
              <w:left w:val="nil"/>
              <w:bottom w:val="nil"/>
              <w:right w:val="single" w:sz="4" w:space="0" w:color="auto"/>
            </w:tcBorders>
            <w:shd w:val="clear" w:color="auto" w:fill="auto"/>
            <w:vAlign w:val="bottom"/>
            <w:hideMark/>
          </w:tcPr>
          <w:p w14:paraId="1E971923" w14:textId="77777777" w:rsidR="00141D7A" w:rsidRPr="00141D7A" w:rsidRDefault="00141D7A" w:rsidP="00141D7A">
            <w:pPr>
              <w:ind w:left="0" w:right="0" w:firstLine="0"/>
              <w:jc w:val="left"/>
              <w:rPr>
                <w:sz w:val="20"/>
                <w:szCs w:val="20"/>
              </w:rPr>
            </w:pPr>
            <w:r w:rsidRPr="00141D7A">
              <w:rPr>
                <w:sz w:val="20"/>
                <w:szCs w:val="20"/>
              </w:rPr>
              <w:t xml:space="preserve">Финансирање </w:t>
            </w:r>
            <w:proofErr w:type="spellStart"/>
            <w:r w:rsidRPr="00141D7A">
              <w:rPr>
                <w:sz w:val="20"/>
                <w:szCs w:val="20"/>
              </w:rPr>
              <w:t>дијела</w:t>
            </w:r>
            <w:proofErr w:type="spellEnd"/>
            <w:r w:rsidRPr="00141D7A">
              <w:rPr>
                <w:sz w:val="20"/>
                <w:szCs w:val="20"/>
              </w:rPr>
              <w:t xml:space="preserve"> трошкова изборне кампање политичких субјеката</w:t>
            </w:r>
          </w:p>
        </w:tc>
        <w:tc>
          <w:tcPr>
            <w:tcW w:w="1701" w:type="dxa"/>
            <w:tcBorders>
              <w:top w:val="nil"/>
              <w:left w:val="nil"/>
              <w:bottom w:val="nil"/>
              <w:right w:val="double" w:sz="6" w:space="0" w:color="auto"/>
            </w:tcBorders>
            <w:shd w:val="clear" w:color="000000" w:fill="FFFFFF"/>
            <w:noWrap/>
            <w:vAlign w:val="center"/>
            <w:hideMark/>
          </w:tcPr>
          <w:p w14:paraId="25AC0F49" w14:textId="77777777" w:rsidR="00141D7A" w:rsidRPr="00141D7A" w:rsidRDefault="00141D7A" w:rsidP="00141D7A">
            <w:pPr>
              <w:ind w:left="0" w:right="0" w:firstLine="0"/>
              <w:jc w:val="right"/>
              <w:rPr>
                <w:rFonts w:ascii="Arial" w:hAnsi="Arial" w:cs="Arial"/>
                <w:sz w:val="20"/>
                <w:szCs w:val="20"/>
              </w:rPr>
            </w:pPr>
            <w:r w:rsidRPr="00141D7A">
              <w:rPr>
                <w:rFonts w:ascii="Arial" w:hAnsi="Arial" w:cs="Arial"/>
                <w:sz w:val="20"/>
                <w:szCs w:val="20"/>
              </w:rPr>
              <w:t>6.140,80</w:t>
            </w:r>
          </w:p>
        </w:tc>
      </w:tr>
      <w:tr w:rsidR="00141D7A" w:rsidRPr="00141D7A" w14:paraId="7258D343" w14:textId="77777777" w:rsidTr="00141D7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43790B8A" w14:textId="77777777" w:rsidR="00141D7A" w:rsidRPr="00141D7A" w:rsidRDefault="00141D7A" w:rsidP="00141D7A">
            <w:pPr>
              <w:ind w:left="0" w:right="0" w:firstLine="0"/>
              <w:jc w:val="center"/>
              <w:rPr>
                <w:sz w:val="20"/>
                <w:szCs w:val="20"/>
              </w:rPr>
            </w:pPr>
            <w:r w:rsidRPr="00141D7A">
              <w:rPr>
                <w:sz w:val="20"/>
                <w:szCs w:val="20"/>
              </w:rPr>
              <w:t>3</w:t>
            </w:r>
          </w:p>
        </w:tc>
        <w:tc>
          <w:tcPr>
            <w:tcW w:w="7660" w:type="dxa"/>
            <w:tcBorders>
              <w:top w:val="single" w:sz="4" w:space="0" w:color="auto"/>
              <w:left w:val="nil"/>
              <w:bottom w:val="nil"/>
              <w:right w:val="single" w:sz="4" w:space="0" w:color="auto"/>
            </w:tcBorders>
            <w:shd w:val="clear" w:color="auto" w:fill="auto"/>
            <w:noWrap/>
            <w:vAlign w:val="bottom"/>
            <w:hideMark/>
          </w:tcPr>
          <w:p w14:paraId="15BC7D75" w14:textId="77777777" w:rsidR="00141D7A" w:rsidRPr="00141D7A" w:rsidRDefault="00141D7A" w:rsidP="00141D7A">
            <w:pPr>
              <w:ind w:left="0" w:right="0" w:firstLine="0"/>
              <w:jc w:val="left"/>
              <w:rPr>
                <w:sz w:val="20"/>
                <w:szCs w:val="20"/>
              </w:rPr>
            </w:pPr>
            <w:r w:rsidRPr="00141D7A">
              <w:rPr>
                <w:sz w:val="20"/>
                <w:szCs w:val="20"/>
              </w:rPr>
              <w:t>Грантови добровољним ватрогасним друштвима општине Прњавор</w:t>
            </w:r>
          </w:p>
        </w:tc>
        <w:tc>
          <w:tcPr>
            <w:tcW w:w="1701" w:type="dxa"/>
            <w:tcBorders>
              <w:top w:val="single" w:sz="4" w:space="0" w:color="auto"/>
              <w:left w:val="nil"/>
              <w:bottom w:val="nil"/>
              <w:right w:val="double" w:sz="6" w:space="0" w:color="auto"/>
            </w:tcBorders>
            <w:shd w:val="clear" w:color="000000" w:fill="FFFFFF"/>
            <w:noWrap/>
            <w:vAlign w:val="center"/>
            <w:hideMark/>
          </w:tcPr>
          <w:p w14:paraId="7B25C08D" w14:textId="77777777" w:rsidR="00141D7A" w:rsidRPr="00141D7A" w:rsidRDefault="00141D7A" w:rsidP="00141D7A">
            <w:pPr>
              <w:ind w:left="0" w:right="0" w:firstLine="0"/>
              <w:jc w:val="right"/>
              <w:rPr>
                <w:rFonts w:ascii="Arial" w:hAnsi="Arial" w:cs="Arial"/>
                <w:sz w:val="20"/>
                <w:szCs w:val="20"/>
              </w:rPr>
            </w:pPr>
            <w:r w:rsidRPr="00141D7A">
              <w:rPr>
                <w:rFonts w:ascii="Arial" w:hAnsi="Arial" w:cs="Arial"/>
                <w:sz w:val="20"/>
                <w:szCs w:val="20"/>
              </w:rPr>
              <w:t>1.400,00</w:t>
            </w:r>
          </w:p>
        </w:tc>
      </w:tr>
      <w:tr w:rsidR="00141D7A" w:rsidRPr="00141D7A" w14:paraId="69D73D3D" w14:textId="77777777" w:rsidTr="00141D7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54AD9CDC" w14:textId="77777777" w:rsidR="00141D7A" w:rsidRPr="00141D7A" w:rsidRDefault="00141D7A" w:rsidP="00141D7A">
            <w:pPr>
              <w:ind w:left="0" w:right="0" w:firstLine="0"/>
              <w:jc w:val="center"/>
              <w:rPr>
                <w:sz w:val="20"/>
                <w:szCs w:val="20"/>
              </w:rPr>
            </w:pPr>
            <w:r w:rsidRPr="00141D7A">
              <w:rPr>
                <w:sz w:val="20"/>
                <w:szCs w:val="20"/>
              </w:rPr>
              <w:t>4</w:t>
            </w:r>
          </w:p>
        </w:tc>
        <w:tc>
          <w:tcPr>
            <w:tcW w:w="7660" w:type="dxa"/>
            <w:tcBorders>
              <w:top w:val="single" w:sz="4" w:space="0" w:color="auto"/>
              <w:left w:val="nil"/>
              <w:bottom w:val="single" w:sz="4" w:space="0" w:color="auto"/>
              <w:right w:val="single" w:sz="4" w:space="0" w:color="auto"/>
            </w:tcBorders>
            <w:shd w:val="clear" w:color="auto" w:fill="auto"/>
            <w:noWrap/>
            <w:vAlign w:val="bottom"/>
            <w:hideMark/>
          </w:tcPr>
          <w:p w14:paraId="236796F0" w14:textId="77777777" w:rsidR="00141D7A" w:rsidRPr="00141D7A" w:rsidRDefault="00141D7A" w:rsidP="00141D7A">
            <w:pPr>
              <w:ind w:left="0" w:right="0" w:firstLine="0"/>
              <w:jc w:val="left"/>
              <w:rPr>
                <w:sz w:val="20"/>
                <w:szCs w:val="20"/>
              </w:rPr>
            </w:pPr>
            <w:r w:rsidRPr="00141D7A">
              <w:rPr>
                <w:sz w:val="20"/>
                <w:szCs w:val="20"/>
              </w:rPr>
              <w:t>Средства за превоз ђака основних школа</w:t>
            </w:r>
          </w:p>
        </w:tc>
        <w:tc>
          <w:tcPr>
            <w:tcW w:w="1701" w:type="dxa"/>
            <w:tcBorders>
              <w:top w:val="single" w:sz="4" w:space="0" w:color="auto"/>
              <w:left w:val="nil"/>
              <w:bottom w:val="single" w:sz="4" w:space="0" w:color="auto"/>
              <w:right w:val="double" w:sz="6" w:space="0" w:color="auto"/>
            </w:tcBorders>
            <w:shd w:val="clear" w:color="000000" w:fill="FFFFFF"/>
            <w:noWrap/>
            <w:vAlign w:val="center"/>
            <w:hideMark/>
          </w:tcPr>
          <w:p w14:paraId="5816480F" w14:textId="77777777" w:rsidR="00141D7A" w:rsidRPr="00141D7A" w:rsidRDefault="00141D7A" w:rsidP="00141D7A">
            <w:pPr>
              <w:ind w:left="0" w:right="0" w:firstLine="0"/>
              <w:jc w:val="right"/>
              <w:rPr>
                <w:rFonts w:ascii="Arial" w:hAnsi="Arial" w:cs="Arial"/>
                <w:sz w:val="20"/>
                <w:szCs w:val="20"/>
              </w:rPr>
            </w:pPr>
            <w:r w:rsidRPr="00141D7A">
              <w:rPr>
                <w:rFonts w:ascii="Arial" w:hAnsi="Arial" w:cs="Arial"/>
                <w:sz w:val="20"/>
                <w:szCs w:val="20"/>
              </w:rPr>
              <w:t>4.800,00</w:t>
            </w:r>
          </w:p>
        </w:tc>
      </w:tr>
      <w:tr w:rsidR="00141D7A" w:rsidRPr="00141D7A" w14:paraId="7CA7FFA6" w14:textId="77777777" w:rsidTr="00141D7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01554C8B" w14:textId="77777777" w:rsidR="00141D7A" w:rsidRPr="00141D7A" w:rsidRDefault="00141D7A" w:rsidP="00141D7A">
            <w:pPr>
              <w:ind w:left="0" w:right="0" w:firstLine="0"/>
              <w:jc w:val="center"/>
              <w:rPr>
                <w:sz w:val="20"/>
                <w:szCs w:val="20"/>
              </w:rPr>
            </w:pPr>
            <w:r w:rsidRPr="00141D7A">
              <w:rPr>
                <w:sz w:val="20"/>
                <w:szCs w:val="20"/>
              </w:rPr>
              <w:t>5</w:t>
            </w:r>
          </w:p>
        </w:tc>
        <w:tc>
          <w:tcPr>
            <w:tcW w:w="7660" w:type="dxa"/>
            <w:tcBorders>
              <w:top w:val="nil"/>
              <w:left w:val="nil"/>
              <w:bottom w:val="single" w:sz="4" w:space="0" w:color="auto"/>
              <w:right w:val="single" w:sz="4" w:space="0" w:color="auto"/>
            </w:tcBorders>
            <w:shd w:val="clear" w:color="auto" w:fill="auto"/>
            <w:noWrap/>
            <w:vAlign w:val="bottom"/>
            <w:hideMark/>
          </w:tcPr>
          <w:p w14:paraId="40661BE1" w14:textId="77777777" w:rsidR="00141D7A" w:rsidRPr="00141D7A" w:rsidRDefault="00141D7A" w:rsidP="00141D7A">
            <w:pPr>
              <w:ind w:left="0" w:right="0" w:firstLine="0"/>
              <w:jc w:val="left"/>
              <w:rPr>
                <w:sz w:val="20"/>
                <w:szCs w:val="20"/>
              </w:rPr>
            </w:pPr>
            <w:r w:rsidRPr="00141D7A">
              <w:rPr>
                <w:sz w:val="20"/>
                <w:szCs w:val="20"/>
              </w:rPr>
              <w:t>Финансирање Црвеног крста</w:t>
            </w:r>
          </w:p>
        </w:tc>
        <w:tc>
          <w:tcPr>
            <w:tcW w:w="1701" w:type="dxa"/>
            <w:tcBorders>
              <w:top w:val="nil"/>
              <w:left w:val="nil"/>
              <w:bottom w:val="single" w:sz="4" w:space="0" w:color="auto"/>
              <w:right w:val="double" w:sz="6" w:space="0" w:color="auto"/>
            </w:tcBorders>
            <w:shd w:val="clear" w:color="000000" w:fill="FFFFFF"/>
            <w:noWrap/>
            <w:vAlign w:val="center"/>
            <w:hideMark/>
          </w:tcPr>
          <w:p w14:paraId="28486719" w14:textId="77777777" w:rsidR="00141D7A" w:rsidRPr="00141D7A" w:rsidRDefault="00141D7A" w:rsidP="00141D7A">
            <w:pPr>
              <w:ind w:left="0" w:right="0" w:firstLine="0"/>
              <w:jc w:val="right"/>
              <w:rPr>
                <w:rFonts w:ascii="Arial" w:hAnsi="Arial" w:cs="Arial"/>
                <w:sz w:val="20"/>
                <w:szCs w:val="20"/>
              </w:rPr>
            </w:pPr>
            <w:r w:rsidRPr="00141D7A">
              <w:rPr>
                <w:rFonts w:ascii="Arial" w:hAnsi="Arial" w:cs="Arial"/>
                <w:sz w:val="20"/>
                <w:szCs w:val="20"/>
              </w:rPr>
              <w:t>32.000,00</w:t>
            </w:r>
          </w:p>
        </w:tc>
      </w:tr>
      <w:tr w:rsidR="00141D7A" w:rsidRPr="00141D7A" w14:paraId="0709EC3B" w14:textId="77777777" w:rsidTr="00141D7A">
        <w:trPr>
          <w:trHeight w:val="510"/>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54076DC7" w14:textId="77777777" w:rsidR="00141D7A" w:rsidRPr="00141D7A" w:rsidRDefault="00141D7A" w:rsidP="00141D7A">
            <w:pPr>
              <w:ind w:left="0" w:right="0" w:firstLine="0"/>
              <w:jc w:val="center"/>
              <w:rPr>
                <w:sz w:val="20"/>
                <w:szCs w:val="20"/>
              </w:rPr>
            </w:pPr>
            <w:r w:rsidRPr="00141D7A">
              <w:rPr>
                <w:sz w:val="20"/>
                <w:szCs w:val="20"/>
              </w:rPr>
              <w:t>6</w:t>
            </w:r>
          </w:p>
        </w:tc>
        <w:tc>
          <w:tcPr>
            <w:tcW w:w="7660" w:type="dxa"/>
            <w:tcBorders>
              <w:top w:val="nil"/>
              <w:left w:val="nil"/>
              <w:bottom w:val="single" w:sz="4" w:space="0" w:color="auto"/>
              <w:right w:val="single" w:sz="4" w:space="0" w:color="auto"/>
            </w:tcBorders>
            <w:shd w:val="clear" w:color="auto" w:fill="auto"/>
            <w:vAlign w:val="bottom"/>
            <w:hideMark/>
          </w:tcPr>
          <w:p w14:paraId="3C0B497A" w14:textId="77777777" w:rsidR="00141D7A" w:rsidRPr="00141D7A" w:rsidRDefault="00141D7A" w:rsidP="00141D7A">
            <w:pPr>
              <w:ind w:left="0" w:right="0" w:firstLine="0"/>
              <w:jc w:val="left"/>
              <w:rPr>
                <w:sz w:val="20"/>
                <w:szCs w:val="20"/>
              </w:rPr>
            </w:pPr>
            <w:r w:rsidRPr="00141D7A">
              <w:rPr>
                <w:sz w:val="20"/>
                <w:szCs w:val="20"/>
              </w:rPr>
              <w:t xml:space="preserve">Црвени крст Прњавор - </w:t>
            </w:r>
            <w:proofErr w:type="spellStart"/>
            <w:r w:rsidRPr="00141D7A">
              <w:rPr>
                <w:sz w:val="20"/>
                <w:szCs w:val="20"/>
              </w:rPr>
              <w:t>мјере</w:t>
            </w:r>
            <w:proofErr w:type="spellEnd"/>
            <w:r w:rsidRPr="00141D7A">
              <w:rPr>
                <w:sz w:val="20"/>
                <w:szCs w:val="20"/>
              </w:rPr>
              <w:t xml:space="preserve"> за спречавање и сузбијање заразних болести и помоћ становништву</w:t>
            </w:r>
          </w:p>
        </w:tc>
        <w:tc>
          <w:tcPr>
            <w:tcW w:w="1701" w:type="dxa"/>
            <w:tcBorders>
              <w:top w:val="nil"/>
              <w:left w:val="nil"/>
              <w:bottom w:val="single" w:sz="4" w:space="0" w:color="auto"/>
              <w:right w:val="double" w:sz="6" w:space="0" w:color="auto"/>
            </w:tcBorders>
            <w:shd w:val="clear" w:color="000000" w:fill="FFFFFF"/>
            <w:noWrap/>
            <w:vAlign w:val="center"/>
            <w:hideMark/>
          </w:tcPr>
          <w:p w14:paraId="180EB386" w14:textId="77777777" w:rsidR="00141D7A" w:rsidRPr="00141D7A" w:rsidRDefault="00141D7A" w:rsidP="00141D7A">
            <w:pPr>
              <w:ind w:left="0" w:right="0" w:firstLine="0"/>
              <w:jc w:val="right"/>
              <w:rPr>
                <w:rFonts w:ascii="Arial" w:hAnsi="Arial" w:cs="Arial"/>
                <w:sz w:val="20"/>
                <w:szCs w:val="20"/>
              </w:rPr>
            </w:pPr>
            <w:r w:rsidRPr="00141D7A">
              <w:rPr>
                <w:rFonts w:ascii="Arial" w:hAnsi="Arial" w:cs="Arial"/>
                <w:sz w:val="20"/>
                <w:szCs w:val="20"/>
              </w:rPr>
              <w:t>11.000,00</w:t>
            </w:r>
          </w:p>
        </w:tc>
      </w:tr>
      <w:tr w:rsidR="00141D7A" w:rsidRPr="00141D7A" w14:paraId="1675F187" w14:textId="77777777" w:rsidTr="00141D7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22B85107" w14:textId="77777777" w:rsidR="00141D7A" w:rsidRPr="00141D7A" w:rsidRDefault="00141D7A" w:rsidP="00141D7A">
            <w:pPr>
              <w:ind w:left="0" w:right="0" w:firstLine="0"/>
              <w:jc w:val="center"/>
              <w:rPr>
                <w:sz w:val="20"/>
                <w:szCs w:val="20"/>
              </w:rPr>
            </w:pPr>
            <w:r w:rsidRPr="00141D7A">
              <w:rPr>
                <w:sz w:val="20"/>
                <w:szCs w:val="20"/>
              </w:rPr>
              <w:t>7</w:t>
            </w:r>
          </w:p>
        </w:tc>
        <w:tc>
          <w:tcPr>
            <w:tcW w:w="7660" w:type="dxa"/>
            <w:tcBorders>
              <w:top w:val="nil"/>
              <w:left w:val="nil"/>
              <w:bottom w:val="single" w:sz="4" w:space="0" w:color="auto"/>
              <w:right w:val="single" w:sz="4" w:space="0" w:color="auto"/>
            </w:tcBorders>
            <w:shd w:val="clear" w:color="auto" w:fill="auto"/>
            <w:noWrap/>
            <w:vAlign w:val="bottom"/>
            <w:hideMark/>
          </w:tcPr>
          <w:p w14:paraId="140938DC" w14:textId="77777777" w:rsidR="00141D7A" w:rsidRPr="00141D7A" w:rsidRDefault="00141D7A" w:rsidP="00141D7A">
            <w:pPr>
              <w:ind w:left="0" w:right="0" w:firstLine="0"/>
              <w:jc w:val="left"/>
              <w:rPr>
                <w:sz w:val="20"/>
                <w:szCs w:val="20"/>
              </w:rPr>
            </w:pPr>
            <w:r w:rsidRPr="00141D7A">
              <w:rPr>
                <w:sz w:val="20"/>
                <w:szCs w:val="20"/>
              </w:rPr>
              <w:t>Средства за подстицај и развој спорта</w:t>
            </w:r>
          </w:p>
        </w:tc>
        <w:tc>
          <w:tcPr>
            <w:tcW w:w="1701" w:type="dxa"/>
            <w:tcBorders>
              <w:top w:val="nil"/>
              <w:left w:val="nil"/>
              <w:bottom w:val="single" w:sz="4" w:space="0" w:color="auto"/>
              <w:right w:val="double" w:sz="6" w:space="0" w:color="auto"/>
            </w:tcBorders>
            <w:shd w:val="clear" w:color="000000" w:fill="FFFFFF"/>
            <w:noWrap/>
            <w:vAlign w:val="center"/>
            <w:hideMark/>
          </w:tcPr>
          <w:p w14:paraId="40D7160E" w14:textId="77777777" w:rsidR="00141D7A" w:rsidRPr="00141D7A" w:rsidRDefault="00141D7A" w:rsidP="00141D7A">
            <w:pPr>
              <w:ind w:left="0" w:right="0" w:firstLine="0"/>
              <w:jc w:val="right"/>
              <w:rPr>
                <w:rFonts w:ascii="Arial" w:hAnsi="Arial" w:cs="Arial"/>
                <w:sz w:val="20"/>
                <w:szCs w:val="20"/>
              </w:rPr>
            </w:pPr>
            <w:r w:rsidRPr="00141D7A">
              <w:rPr>
                <w:rFonts w:ascii="Arial" w:hAnsi="Arial" w:cs="Arial"/>
                <w:sz w:val="20"/>
                <w:szCs w:val="20"/>
              </w:rPr>
              <w:t>267.887,84</w:t>
            </w:r>
          </w:p>
        </w:tc>
      </w:tr>
      <w:tr w:rsidR="00141D7A" w:rsidRPr="00141D7A" w14:paraId="6BB41623" w14:textId="77777777" w:rsidTr="00141D7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45BF84BC" w14:textId="77777777" w:rsidR="00141D7A" w:rsidRPr="00141D7A" w:rsidRDefault="00141D7A" w:rsidP="00141D7A">
            <w:pPr>
              <w:ind w:left="0" w:right="0" w:firstLine="0"/>
              <w:jc w:val="center"/>
              <w:rPr>
                <w:sz w:val="20"/>
                <w:szCs w:val="20"/>
              </w:rPr>
            </w:pPr>
            <w:r w:rsidRPr="00141D7A">
              <w:rPr>
                <w:sz w:val="20"/>
                <w:szCs w:val="20"/>
              </w:rPr>
              <w:t>8</w:t>
            </w:r>
          </w:p>
        </w:tc>
        <w:tc>
          <w:tcPr>
            <w:tcW w:w="7660" w:type="dxa"/>
            <w:tcBorders>
              <w:top w:val="nil"/>
              <w:left w:val="nil"/>
              <w:bottom w:val="single" w:sz="4" w:space="0" w:color="auto"/>
              <w:right w:val="single" w:sz="4" w:space="0" w:color="auto"/>
            </w:tcBorders>
            <w:shd w:val="clear" w:color="auto" w:fill="auto"/>
            <w:vAlign w:val="bottom"/>
            <w:hideMark/>
          </w:tcPr>
          <w:p w14:paraId="5F53FF14" w14:textId="77777777" w:rsidR="00141D7A" w:rsidRPr="00141D7A" w:rsidRDefault="00141D7A" w:rsidP="00141D7A">
            <w:pPr>
              <w:ind w:left="0" w:right="0" w:firstLine="0"/>
              <w:jc w:val="left"/>
              <w:rPr>
                <w:sz w:val="20"/>
                <w:szCs w:val="20"/>
              </w:rPr>
            </w:pPr>
            <w:r w:rsidRPr="00141D7A">
              <w:rPr>
                <w:sz w:val="20"/>
                <w:szCs w:val="20"/>
              </w:rPr>
              <w:t>Помоћ удружењима из области културе и осталим удружењима</w:t>
            </w:r>
          </w:p>
        </w:tc>
        <w:tc>
          <w:tcPr>
            <w:tcW w:w="1701" w:type="dxa"/>
            <w:tcBorders>
              <w:top w:val="nil"/>
              <w:left w:val="nil"/>
              <w:bottom w:val="single" w:sz="4" w:space="0" w:color="auto"/>
              <w:right w:val="double" w:sz="6" w:space="0" w:color="auto"/>
            </w:tcBorders>
            <w:shd w:val="clear" w:color="000000" w:fill="FFFFFF"/>
            <w:noWrap/>
            <w:vAlign w:val="center"/>
            <w:hideMark/>
          </w:tcPr>
          <w:p w14:paraId="346D99DA" w14:textId="77777777" w:rsidR="00141D7A" w:rsidRPr="00141D7A" w:rsidRDefault="00141D7A" w:rsidP="00141D7A">
            <w:pPr>
              <w:ind w:left="0" w:right="0" w:firstLine="0"/>
              <w:jc w:val="right"/>
              <w:rPr>
                <w:rFonts w:ascii="Arial" w:hAnsi="Arial" w:cs="Arial"/>
                <w:sz w:val="20"/>
                <w:szCs w:val="20"/>
              </w:rPr>
            </w:pPr>
            <w:r w:rsidRPr="00141D7A">
              <w:rPr>
                <w:rFonts w:ascii="Arial" w:hAnsi="Arial" w:cs="Arial"/>
                <w:sz w:val="20"/>
                <w:szCs w:val="20"/>
              </w:rPr>
              <w:t>15.400,00</w:t>
            </w:r>
          </w:p>
        </w:tc>
      </w:tr>
      <w:tr w:rsidR="00141D7A" w:rsidRPr="00141D7A" w14:paraId="265B2383" w14:textId="77777777" w:rsidTr="00141D7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76C223AA" w14:textId="77777777" w:rsidR="00141D7A" w:rsidRPr="00141D7A" w:rsidRDefault="00141D7A" w:rsidP="00141D7A">
            <w:pPr>
              <w:ind w:left="0" w:right="0" w:firstLine="0"/>
              <w:jc w:val="center"/>
              <w:rPr>
                <w:sz w:val="20"/>
                <w:szCs w:val="20"/>
              </w:rPr>
            </w:pPr>
            <w:r w:rsidRPr="00141D7A">
              <w:rPr>
                <w:sz w:val="20"/>
                <w:szCs w:val="20"/>
              </w:rPr>
              <w:t>9</w:t>
            </w:r>
          </w:p>
        </w:tc>
        <w:tc>
          <w:tcPr>
            <w:tcW w:w="7660" w:type="dxa"/>
            <w:tcBorders>
              <w:top w:val="nil"/>
              <w:left w:val="nil"/>
              <w:bottom w:val="single" w:sz="4" w:space="0" w:color="auto"/>
              <w:right w:val="single" w:sz="4" w:space="0" w:color="auto"/>
            </w:tcBorders>
            <w:shd w:val="clear" w:color="auto" w:fill="auto"/>
            <w:vAlign w:val="bottom"/>
            <w:hideMark/>
          </w:tcPr>
          <w:p w14:paraId="10DF20C7" w14:textId="77777777" w:rsidR="00141D7A" w:rsidRPr="00141D7A" w:rsidRDefault="00141D7A" w:rsidP="00141D7A">
            <w:pPr>
              <w:ind w:left="0" w:right="0" w:firstLine="0"/>
              <w:jc w:val="left"/>
              <w:rPr>
                <w:sz w:val="20"/>
                <w:szCs w:val="20"/>
              </w:rPr>
            </w:pPr>
            <w:r w:rsidRPr="00141D7A">
              <w:rPr>
                <w:sz w:val="20"/>
                <w:szCs w:val="20"/>
              </w:rPr>
              <w:t>Финансирање Кола српских сестара Прњавор</w:t>
            </w:r>
          </w:p>
        </w:tc>
        <w:tc>
          <w:tcPr>
            <w:tcW w:w="1701" w:type="dxa"/>
            <w:tcBorders>
              <w:top w:val="nil"/>
              <w:left w:val="nil"/>
              <w:bottom w:val="single" w:sz="4" w:space="0" w:color="auto"/>
              <w:right w:val="double" w:sz="6" w:space="0" w:color="auto"/>
            </w:tcBorders>
            <w:shd w:val="clear" w:color="000000" w:fill="FFFFFF"/>
            <w:noWrap/>
            <w:vAlign w:val="center"/>
            <w:hideMark/>
          </w:tcPr>
          <w:p w14:paraId="5AF93B0C" w14:textId="77777777" w:rsidR="00141D7A" w:rsidRPr="00141D7A" w:rsidRDefault="00141D7A" w:rsidP="00141D7A">
            <w:pPr>
              <w:ind w:left="0" w:right="0" w:firstLine="0"/>
              <w:jc w:val="right"/>
              <w:rPr>
                <w:rFonts w:ascii="Arial" w:hAnsi="Arial" w:cs="Arial"/>
                <w:sz w:val="20"/>
                <w:szCs w:val="20"/>
              </w:rPr>
            </w:pPr>
            <w:r w:rsidRPr="00141D7A">
              <w:rPr>
                <w:rFonts w:ascii="Arial" w:hAnsi="Arial" w:cs="Arial"/>
                <w:sz w:val="20"/>
                <w:szCs w:val="20"/>
              </w:rPr>
              <w:t>10.000,00</w:t>
            </w:r>
          </w:p>
        </w:tc>
      </w:tr>
      <w:tr w:rsidR="00141D7A" w:rsidRPr="00141D7A" w14:paraId="1018D1D1" w14:textId="77777777" w:rsidTr="00141D7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116E1E80" w14:textId="77777777" w:rsidR="00141D7A" w:rsidRPr="00141D7A" w:rsidRDefault="00141D7A" w:rsidP="00141D7A">
            <w:pPr>
              <w:ind w:left="0" w:right="0" w:firstLine="0"/>
              <w:jc w:val="center"/>
              <w:rPr>
                <w:sz w:val="20"/>
                <w:szCs w:val="20"/>
              </w:rPr>
            </w:pPr>
            <w:r w:rsidRPr="00141D7A">
              <w:rPr>
                <w:sz w:val="20"/>
                <w:szCs w:val="20"/>
              </w:rPr>
              <w:t>10</w:t>
            </w:r>
          </w:p>
        </w:tc>
        <w:tc>
          <w:tcPr>
            <w:tcW w:w="7660" w:type="dxa"/>
            <w:tcBorders>
              <w:top w:val="nil"/>
              <w:left w:val="nil"/>
              <w:bottom w:val="single" w:sz="4" w:space="0" w:color="auto"/>
              <w:right w:val="single" w:sz="4" w:space="0" w:color="auto"/>
            </w:tcBorders>
            <w:shd w:val="clear" w:color="auto" w:fill="auto"/>
            <w:vAlign w:val="bottom"/>
            <w:hideMark/>
          </w:tcPr>
          <w:p w14:paraId="4894DA09" w14:textId="77777777" w:rsidR="00141D7A" w:rsidRPr="00141D7A" w:rsidRDefault="00141D7A" w:rsidP="00141D7A">
            <w:pPr>
              <w:ind w:left="0" w:right="0" w:firstLine="0"/>
              <w:jc w:val="left"/>
              <w:rPr>
                <w:sz w:val="20"/>
                <w:szCs w:val="20"/>
              </w:rPr>
            </w:pPr>
            <w:r w:rsidRPr="00141D7A">
              <w:rPr>
                <w:sz w:val="20"/>
                <w:szCs w:val="20"/>
              </w:rPr>
              <w:t xml:space="preserve">Финансирање Општинске организације </w:t>
            </w:r>
            <w:proofErr w:type="spellStart"/>
            <w:r w:rsidRPr="00141D7A">
              <w:rPr>
                <w:sz w:val="20"/>
                <w:szCs w:val="20"/>
              </w:rPr>
              <w:t>слијепих</w:t>
            </w:r>
            <w:proofErr w:type="spellEnd"/>
            <w:r w:rsidRPr="00141D7A">
              <w:rPr>
                <w:sz w:val="20"/>
                <w:szCs w:val="20"/>
              </w:rPr>
              <w:t xml:space="preserve"> Прњавор</w:t>
            </w:r>
          </w:p>
        </w:tc>
        <w:tc>
          <w:tcPr>
            <w:tcW w:w="1701" w:type="dxa"/>
            <w:tcBorders>
              <w:top w:val="nil"/>
              <w:left w:val="nil"/>
              <w:bottom w:val="single" w:sz="4" w:space="0" w:color="auto"/>
              <w:right w:val="double" w:sz="6" w:space="0" w:color="auto"/>
            </w:tcBorders>
            <w:shd w:val="clear" w:color="000000" w:fill="FFFFFF"/>
            <w:noWrap/>
            <w:vAlign w:val="center"/>
            <w:hideMark/>
          </w:tcPr>
          <w:p w14:paraId="117D5454" w14:textId="77777777" w:rsidR="00141D7A" w:rsidRPr="00141D7A" w:rsidRDefault="00141D7A" w:rsidP="00141D7A">
            <w:pPr>
              <w:ind w:left="0" w:right="0" w:firstLine="0"/>
              <w:jc w:val="right"/>
              <w:rPr>
                <w:rFonts w:ascii="Arial" w:hAnsi="Arial" w:cs="Arial"/>
                <w:sz w:val="20"/>
                <w:szCs w:val="20"/>
              </w:rPr>
            </w:pPr>
            <w:r w:rsidRPr="00141D7A">
              <w:rPr>
                <w:rFonts w:ascii="Arial" w:hAnsi="Arial" w:cs="Arial"/>
                <w:sz w:val="20"/>
                <w:szCs w:val="20"/>
              </w:rPr>
              <w:t>4.950,00</w:t>
            </w:r>
          </w:p>
        </w:tc>
      </w:tr>
      <w:tr w:rsidR="00141D7A" w:rsidRPr="00141D7A" w14:paraId="204094E3" w14:textId="77777777" w:rsidTr="00141D7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2335F45A" w14:textId="77777777" w:rsidR="00141D7A" w:rsidRPr="00141D7A" w:rsidRDefault="00141D7A" w:rsidP="00141D7A">
            <w:pPr>
              <w:ind w:left="0" w:right="0" w:firstLine="0"/>
              <w:jc w:val="center"/>
              <w:rPr>
                <w:sz w:val="20"/>
                <w:szCs w:val="20"/>
              </w:rPr>
            </w:pPr>
            <w:r w:rsidRPr="00141D7A">
              <w:rPr>
                <w:sz w:val="20"/>
                <w:szCs w:val="20"/>
              </w:rPr>
              <w:t>11</w:t>
            </w:r>
          </w:p>
        </w:tc>
        <w:tc>
          <w:tcPr>
            <w:tcW w:w="7660" w:type="dxa"/>
            <w:tcBorders>
              <w:top w:val="nil"/>
              <w:left w:val="nil"/>
              <w:bottom w:val="single" w:sz="4" w:space="0" w:color="auto"/>
              <w:right w:val="single" w:sz="4" w:space="0" w:color="auto"/>
            </w:tcBorders>
            <w:shd w:val="clear" w:color="auto" w:fill="auto"/>
            <w:vAlign w:val="bottom"/>
            <w:hideMark/>
          </w:tcPr>
          <w:p w14:paraId="67EBE7BA" w14:textId="77777777" w:rsidR="00141D7A" w:rsidRPr="00141D7A" w:rsidRDefault="00141D7A" w:rsidP="00141D7A">
            <w:pPr>
              <w:ind w:left="0" w:right="0" w:firstLine="0"/>
              <w:jc w:val="left"/>
              <w:rPr>
                <w:sz w:val="20"/>
                <w:szCs w:val="20"/>
              </w:rPr>
            </w:pPr>
            <w:r w:rsidRPr="00141D7A">
              <w:rPr>
                <w:sz w:val="20"/>
                <w:szCs w:val="20"/>
              </w:rPr>
              <w:t>Финансирање СРД "</w:t>
            </w:r>
            <w:proofErr w:type="spellStart"/>
            <w:r w:rsidRPr="00141D7A">
              <w:rPr>
                <w:sz w:val="20"/>
                <w:szCs w:val="20"/>
              </w:rPr>
              <w:t>Укрински</w:t>
            </w:r>
            <w:proofErr w:type="spellEnd"/>
            <w:r w:rsidRPr="00141D7A">
              <w:rPr>
                <w:sz w:val="20"/>
                <w:szCs w:val="20"/>
              </w:rPr>
              <w:t xml:space="preserve"> </w:t>
            </w:r>
            <w:proofErr w:type="spellStart"/>
            <w:r w:rsidRPr="00141D7A">
              <w:rPr>
                <w:sz w:val="20"/>
                <w:szCs w:val="20"/>
              </w:rPr>
              <w:t>цвијет</w:t>
            </w:r>
            <w:proofErr w:type="spellEnd"/>
            <w:r w:rsidRPr="00141D7A">
              <w:rPr>
                <w:sz w:val="20"/>
                <w:szCs w:val="20"/>
              </w:rPr>
              <w:t>" Прњавор</w:t>
            </w:r>
          </w:p>
        </w:tc>
        <w:tc>
          <w:tcPr>
            <w:tcW w:w="1701" w:type="dxa"/>
            <w:tcBorders>
              <w:top w:val="nil"/>
              <w:left w:val="nil"/>
              <w:bottom w:val="single" w:sz="4" w:space="0" w:color="auto"/>
              <w:right w:val="double" w:sz="6" w:space="0" w:color="auto"/>
            </w:tcBorders>
            <w:shd w:val="clear" w:color="000000" w:fill="FFFFFF"/>
            <w:noWrap/>
            <w:vAlign w:val="center"/>
            <w:hideMark/>
          </w:tcPr>
          <w:p w14:paraId="6025ABE7" w14:textId="77777777" w:rsidR="00141D7A" w:rsidRPr="00141D7A" w:rsidRDefault="00141D7A" w:rsidP="00141D7A">
            <w:pPr>
              <w:ind w:left="0" w:right="0" w:firstLine="0"/>
              <w:jc w:val="right"/>
              <w:rPr>
                <w:rFonts w:ascii="Arial" w:hAnsi="Arial" w:cs="Arial"/>
                <w:sz w:val="20"/>
                <w:szCs w:val="20"/>
              </w:rPr>
            </w:pPr>
            <w:r w:rsidRPr="00141D7A">
              <w:rPr>
                <w:rFonts w:ascii="Arial" w:hAnsi="Arial" w:cs="Arial"/>
                <w:sz w:val="20"/>
                <w:szCs w:val="20"/>
              </w:rPr>
              <w:t>2.400,00</w:t>
            </w:r>
          </w:p>
        </w:tc>
      </w:tr>
      <w:tr w:rsidR="00141D7A" w:rsidRPr="00141D7A" w14:paraId="354268DB" w14:textId="77777777" w:rsidTr="00141D7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689C8561" w14:textId="77777777" w:rsidR="00141D7A" w:rsidRPr="00141D7A" w:rsidRDefault="00141D7A" w:rsidP="00141D7A">
            <w:pPr>
              <w:ind w:left="0" w:right="0" w:firstLine="0"/>
              <w:jc w:val="center"/>
              <w:rPr>
                <w:sz w:val="20"/>
                <w:szCs w:val="20"/>
              </w:rPr>
            </w:pPr>
            <w:r w:rsidRPr="00141D7A">
              <w:rPr>
                <w:sz w:val="20"/>
                <w:szCs w:val="20"/>
              </w:rPr>
              <w:t>12</w:t>
            </w:r>
          </w:p>
        </w:tc>
        <w:tc>
          <w:tcPr>
            <w:tcW w:w="7660" w:type="dxa"/>
            <w:tcBorders>
              <w:top w:val="nil"/>
              <w:left w:val="nil"/>
              <w:bottom w:val="single" w:sz="4" w:space="0" w:color="auto"/>
              <w:right w:val="single" w:sz="4" w:space="0" w:color="auto"/>
            </w:tcBorders>
            <w:shd w:val="clear" w:color="auto" w:fill="auto"/>
            <w:noWrap/>
            <w:vAlign w:val="bottom"/>
            <w:hideMark/>
          </w:tcPr>
          <w:p w14:paraId="57B5CDED" w14:textId="77777777" w:rsidR="00141D7A" w:rsidRPr="00141D7A" w:rsidRDefault="00141D7A" w:rsidP="00141D7A">
            <w:pPr>
              <w:ind w:left="0" w:right="0" w:firstLine="0"/>
              <w:jc w:val="left"/>
              <w:rPr>
                <w:sz w:val="20"/>
                <w:szCs w:val="20"/>
              </w:rPr>
            </w:pPr>
            <w:r w:rsidRPr="00141D7A">
              <w:rPr>
                <w:sz w:val="20"/>
                <w:szCs w:val="20"/>
              </w:rPr>
              <w:t>Помоћ удружењима националних мањина</w:t>
            </w:r>
          </w:p>
        </w:tc>
        <w:tc>
          <w:tcPr>
            <w:tcW w:w="1701" w:type="dxa"/>
            <w:tcBorders>
              <w:top w:val="nil"/>
              <w:left w:val="nil"/>
              <w:bottom w:val="single" w:sz="4" w:space="0" w:color="auto"/>
              <w:right w:val="double" w:sz="6" w:space="0" w:color="auto"/>
            </w:tcBorders>
            <w:shd w:val="clear" w:color="000000" w:fill="FFFFFF"/>
            <w:noWrap/>
            <w:vAlign w:val="center"/>
            <w:hideMark/>
          </w:tcPr>
          <w:p w14:paraId="74A9E851" w14:textId="77777777" w:rsidR="00141D7A" w:rsidRPr="00141D7A" w:rsidRDefault="00141D7A" w:rsidP="00141D7A">
            <w:pPr>
              <w:ind w:left="0" w:right="0" w:firstLine="0"/>
              <w:jc w:val="right"/>
              <w:rPr>
                <w:rFonts w:ascii="Arial" w:hAnsi="Arial" w:cs="Arial"/>
                <w:sz w:val="20"/>
                <w:szCs w:val="20"/>
              </w:rPr>
            </w:pPr>
            <w:r w:rsidRPr="00141D7A">
              <w:rPr>
                <w:rFonts w:ascii="Arial" w:hAnsi="Arial" w:cs="Arial"/>
                <w:sz w:val="20"/>
                <w:szCs w:val="20"/>
              </w:rPr>
              <w:t>29.302,38</w:t>
            </w:r>
          </w:p>
        </w:tc>
      </w:tr>
      <w:tr w:rsidR="00141D7A" w:rsidRPr="00141D7A" w14:paraId="42D573E4" w14:textId="77777777" w:rsidTr="00141D7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4FBD7618" w14:textId="77777777" w:rsidR="00141D7A" w:rsidRPr="00141D7A" w:rsidRDefault="00141D7A" w:rsidP="00141D7A">
            <w:pPr>
              <w:ind w:left="0" w:right="0" w:firstLine="0"/>
              <w:jc w:val="center"/>
              <w:rPr>
                <w:sz w:val="20"/>
                <w:szCs w:val="20"/>
              </w:rPr>
            </w:pPr>
            <w:r w:rsidRPr="00141D7A">
              <w:rPr>
                <w:sz w:val="20"/>
                <w:szCs w:val="20"/>
              </w:rPr>
              <w:t>13</w:t>
            </w:r>
          </w:p>
        </w:tc>
        <w:tc>
          <w:tcPr>
            <w:tcW w:w="7660" w:type="dxa"/>
            <w:tcBorders>
              <w:top w:val="nil"/>
              <w:left w:val="nil"/>
              <w:bottom w:val="single" w:sz="4" w:space="0" w:color="auto"/>
              <w:right w:val="single" w:sz="4" w:space="0" w:color="auto"/>
            </w:tcBorders>
            <w:shd w:val="clear" w:color="auto" w:fill="auto"/>
            <w:noWrap/>
            <w:vAlign w:val="bottom"/>
            <w:hideMark/>
          </w:tcPr>
          <w:p w14:paraId="32685D12" w14:textId="77777777" w:rsidR="00141D7A" w:rsidRPr="00141D7A" w:rsidRDefault="00141D7A" w:rsidP="00141D7A">
            <w:pPr>
              <w:ind w:left="0" w:right="0" w:firstLine="0"/>
              <w:jc w:val="left"/>
              <w:rPr>
                <w:sz w:val="20"/>
                <w:szCs w:val="20"/>
              </w:rPr>
            </w:pPr>
            <w:r w:rsidRPr="00141D7A">
              <w:rPr>
                <w:sz w:val="20"/>
                <w:szCs w:val="20"/>
              </w:rPr>
              <w:t xml:space="preserve">Помоћ Ромској заједници </w:t>
            </w:r>
            <w:proofErr w:type="spellStart"/>
            <w:r w:rsidRPr="00141D7A">
              <w:rPr>
                <w:sz w:val="20"/>
                <w:szCs w:val="20"/>
              </w:rPr>
              <w:t>усљед</w:t>
            </w:r>
            <w:proofErr w:type="spellEnd"/>
            <w:r w:rsidRPr="00141D7A">
              <w:rPr>
                <w:sz w:val="20"/>
                <w:szCs w:val="20"/>
              </w:rPr>
              <w:t xml:space="preserve"> пандемије корона вируса</w:t>
            </w:r>
          </w:p>
        </w:tc>
        <w:tc>
          <w:tcPr>
            <w:tcW w:w="1701" w:type="dxa"/>
            <w:tcBorders>
              <w:top w:val="nil"/>
              <w:left w:val="nil"/>
              <w:bottom w:val="single" w:sz="4" w:space="0" w:color="auto"/>
              <w:right w:val="double" w:sz="6" w:space="0" w:color="auto"/>
            </w:tcBorders>
            <w:shd w:val="clear" w:color="000000" w:fill="FFFFFF"/>
            <w:noWrap/>
            <w:vAlign w:val="center"/>
            <w:hideMark/>
          </w:tcPr>
          <w:p w14:paraId="68C75A05" w14:textId="77777777" w:rsidR="00141D7A" w:rsidRPr="00141D7A" w:rsidRDefault="00141D7A" w:rsidP="00141D7A">
            <w:pPr>
              <w:ind w:left="0" w:right="0" w:firstLine="0"/>
              <w:jc w:val="right"/>
              <w:rPr>
                <w:rFonts w:ascii="Arial" w:hAnsi="Arial" w:cs="Arial"/>
                <w:sz w:val="20"/>
                <w:szCs w:val="20"/>
              </w:rPr>
            </w:pPr>
            <w:r w:rsidRPr="00141D7A">
              <w:rPr>
                <w:rFonts w:ascii="Arial" w:hAnsi="Arial" w:cs="Arial"/>
                <w:sz w:val="20"/>
                <w:szCs w:val="20"/>
              </w:rPr>
              <w:t>3.324,91</w:t>
            </w:r>
          </w:p>
        </w:tc>
      </w:tr>
      <w:tr w:rsidR="00141D7A" w:rsidRPr="00141D7A" w14:paraId="724B7001" w14:textId="77777777" w:rsidTr="00141D7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11CBD842" w14:textId="77777777" w:rsidR="00141D7A" w:rsidRPr="00141D7A" w:rsidRDefault="00141D7A" w:rsidP="00141D7A">
            <w:pPr>
              <w:ind w:left="0" w:right="0" w:firstLine="0"/>
              <w:jc w:val="center"/>
              <w:rPr>
                <w:sz w:val="20"/>
                <w:szCs w:val="20"/>
              </w:rPr>
            </w:pPr>
            <w:r w:rsidRPr="00141D7A">
              <w:rPr>
                <w:sz w:val="20"/>
                <w:szCs w:val="20"/>
              </w:rPr>
              <w:t>14</w:t>
            </w:r>
          </w:p>
        </w:tc>
        <w:tc>
          <w:tcPr>
            <w:tcW w:w="7660" w:type="dxa"/>
            <w:tcBorders>
              <w:top w:val="nil"/>
              <w:left w:val="nil"/>
              <w:bottom w:val="single" w:sz="4" w:space="0" w:color="auto"/>
              <w:right w:val="single" w:sz="4" w:space="0" w:color="auto"/>
            </w:tcBorders>
            <w:shd w:val="clear" w:color="auto" w:fill="auto"/>
            <w:noWrap/>
            <w:vAlign w:val="bottom"/>
            <w:hideMark/>
          </w:tcPr>
          <w:p w14:paraId="54341B11" w14:textId="77777777" w:rsidR="00141D7A" w:rsidRPr="00141D7A" w:rsidRDefault="00141D7A" w:rsidP="00141D7A">
            <w:pPr>
              <w:ind w:left="0" w:right="0" w:firstLine="0"/>
              <w:jc w:val="left"/>
              <w:rPr>
                <w:sz w:val="20"/>
                <w:szCs w:val="20"/>
              </w:rPr>
            </w:pPr>
            <w:r w:rsidRPr="00141D7A">
              <w:rPr>
                <w:sz w:val="20"/>
                <w:szCs w:val="20"/>
              </w:rPr>
              <w:t>Акциони план за имплементацију стратегије за инклузију Рома</w:t>
            </w:r>
          </w:p>
        </w:tc>
        <w:tc>
          <w:tcPr>
            <w:tcW w:w="1701" w:type="dxa"/>
            <w:tcBorders>
              <w:top w:val="nil"/>
              <w:left w:val="nil"/>
              <w:bottom w:val="single" w:sz="4" w:space="0" w:color="auto"/>
              <w:right w:val="double" w:sz="6" w:space="0" w:color="auto"/>
            </w:tcBorders>
            <w:shd w:val="clear" w:color="000000" w:fill="FFFFFF"/>
            <w:noWrap/>
            <w:vAlign w:val="center"/>
            <w:hideMark/>
          </w:tcPr>
          <w:p w14:paraId="6DFF32C4" w14:textId="77777777" w:rsidR="00141D7A" w:rsidRPr="00141D7A" w:rsidRDefault="00141D7A" w:rsidP="00141D7A">
            <w:pPr>
              <w:ind w:left="0" w:right="0" w:firstLine="0"/>
              <w:jc w:val="right"/>
              <w:rPr>
                <w:rFonts w:ascii="Arial" w:hAnsi="Arial" w:cs="Arial"/>
                <w:sz w:val="20"/>
                <w:szCs w:val="20"/>
              </w:rPr>
            </w:pPr>
            <w:r w:rsidRPr="00141D7A">
              <w:rPr>
                <w:rFonts w:ascii="Arial" w:hAnsi="Arial" w:cs="Arial"/>
                <w:sz w:val="20"/>
                <w:szCs w:val="20"/>
              </w:rPr>
              <w:t>1.300,00</w:t>
            </w:r>
          </w:p>
        </w:tc>
      </w:tr>
      <w:tr w:rsidR="00141D7A" w:rsidRPr="00141D7A" w14:paraId="1C918C68" w14:textId="77777777" w:rsidTr="00141D7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5314B84B" w14:textId="77777777" w:rsidR="00141D7A" w:rsidRPr="00141D7A" w:rsidRDefault="00141D7A" w:rsidP="00141D7A">
            <w:pPr>
              <w:ind w:left="0" w:right="0" w:firstLine="0"/>
              <w:jc w:val="center"/>
              <w:rPr>
                <w:sz w:val="20"/>
                <w:szCs w:val="20"/>
              </w:rPr>
            </w:pPr>
            <w:r w:rsidRPr="00141D7A">
              <w:rPr>
                <w:sz w:val="20"/>
                <w:szCs w:val="20"/>
              </w:rPr>
              <w:t>15</w:t>
            </w:r>
          </w:p>
        </w:tc>
        <w:tc>
          <w:tcPr>
            <w:tcW w:w="7660" w:type="dxa"/>
            <w:tcBorders>
              <w:top w:val="nil"/>
              <w:left w:val="nil"/>
              <w:bottom w:val="single" w:sz="4" w:space="0" w:color="auto"/>
              <w:right w:val="single" w:sz="4" w:space="0" w:color="auto"/>
            </w:tcBorders>
            <w:shd w:val="clear" w:color="auto" w:fill="auto"/>
            <w:noWrap/>
            <w:vAlign w:val="bottom"/>
            <w:hideMark/>
          </w:tcPr>
          <w:p w14:paraId="5CEEFEAB" w14:textId="77777777" w:rsidR="00141D7A" w:rsidRPr="00141D7A" w:rsidRDefault="00141D7A" w:rsidP="00141D7A">
            <w:pPr>
              <w:ind w:left="0" w:right="0" w:firstLine="0"/>
              <w:jc w:val="left"/>
              <w:rPr>
                <w:sz w:val="20"/>
                <w:szCs w:val="20"/>
              </w:rPr>
            </w:pPr>
            <w:r w:rsidRPr="00141D7A">
              <w:rPr>
                <w:sz w:val="20"/>
                <w:szCs w:val="20"/>
              </w:rPr>
              <w:t>Удружење пензионера</w:t>
            </w:r>
          </w:p>
        </w:tc>
        <w:tc>
          <w:tcPr>
            <w:tcW w:w="1701" w:type="dxa"/>
            <w:tcBorders>
              <w:top w:val="nil"/>
              <w:left w:val="nil"/>
              <w:bottom w:val="single" w:sz="4" w:space="0" w:color="auto"/>
              <w:right w:val="double" w:sz="6" w:space="0" w:color="auto"/>
            </w:tcBorders>
            <w:shd w:val="clear" w:color="000000" w:fill="FFFFFF"/>
            <w:noWrap/>
            <w:vAlign w:val="center"/>
            <w:hideMark/>
          </w:tcPr>
          <w:p w14:paraId="57ACD5C3" w14:textId="77777777" w:rsidR="00141D7A" w:rsidRPr="00141D7A" w:rsidRDefault="00141D7A" w:rsidP="00141D7A">
            <w:pPr>
              <w:ind w:left="0" w:right="0" w:firstLine="0"/>
              <w:jc w:val="right"/>
              <w:rPr>
                <w:rFonts w:ascii="Arial" w:hAnsi="Arial" w:cs="Arial"/>
                <w:sz w:val="20"/>
                <w:szCs w:val="20"/>
              </w:rPr>
            </w:pPr>
            <w:r w:rsidRPr="00141D7A">
              <w:rPr>
                <w:rFonts w:ascii="Arial" w:hAnsi="Arial" w:cs="Arial"/>
                <w:sz w:val="20"/>
                <w:szCs w:val="20"/>
              </w:rPr>
              <w:t>15.760,00</w:t>
            </w:r>
          </w:p>
        </w:tc>
      </w:tr>
      <w:tr w:rsidR="00141D7A" w:rsidRPr="00141D7A" w14:paraId="20B46187" w14:textId="77777777" w:rsidTr="00141D7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16C44135" w14:textId="77777777" w:rsidR="00141D7A" w:rsidRPr="00141D7A" w:rsidRDefault="00141D7A" w:rsidP="00141D7A">
            <w:pPr>
              <w:ind w:left="0" w:right="0" w:firstLine="0"/>
              <w:jc w:val="center"/>
              <w:rPr>
                <w:sz w:val="20"/>
                <w:szCs w:val="20"/>
              </w:rPr>
            </w:pPr>
            <w:r w:rsidRPr="00141D7A">
              <w:rPr>
                <w:sz w:val="20"/>
                <w:szCs w:val="20"/>
              </w:rPr>
              <w:t>16</w:t>
            </w:r>
          </w:p>
        </w:tc>
        <w:tc>
          <w:tcPr>
            <w:tcW w:w="7660" w:type="dxa"/>
            <w:tcBorders>
              <w:top w:val="nil"/>
              <w:left w:val="nil"/>
              <w:bottom w:val="single" w:sz="4" w:space="0" w:color="auto"/>
              <w:right w:val="single" w:sz="4" w:space="0" w:color="auto"/>
            </w:tcBorders>
            <w:shd w:val="clear" w:color="auto" w:fill="auto"/>
            <w:vAlign w:val="bottom"/>
            <w:hideMark/>
          </w:tcPr>
          <w:p w14:paraId="0206566A" w14:textId="77777777" w:rsidR="00141D7A" w:rsidRPr="00141D7A" w:rsidRDefault="00141D7A" w:rsidP="00141D7A">
            <w:pPr>
              <w:ind w:left="0" w:right="0" w:firstLine="0"/>
              <w:jc w:val="left"/>
              <w:rPr>
                <w:sz w:val="20"/>
                <w:szCs w:val="20"/>
              </w:rPr>
            </w:pPr>
            <w:r w:rsidRPr="00141D7A">
              <w:rPr>
                <w:sz w:val="20"/>
                <w:szCs w:val="20"/>
              </w:rPr>
              <w:t xml:space="preserve">Помоћ </w:t>
            </w:r>
            <w:proofErr w:type="spellStart"/>
            <w:r w:rsidRPr="00141D7A">
              <w:rPr>
                <w:sz w:val="20"/>
                <w:szCs w:val="20"/>
              </w:rPr>
              <w:t>вјерским</w:t>
            </w:r>
            <w:proofErr w:type="spellEnd"/>
            <w:r w:rsidRPr="00141D7A">
              <w:rPr>
                <w:sz w:val="20"/>
                <w:szCs w:val="20"/>
              </w:rPr>
              <w:t xml:space="preserve"> заједницама (Заштита културно - историјског </w:t>
            </w:r>
            <w:proofErr w:type="spellStart"/>
            <w:r w:rsidRPr="00141D7A">
              <w:rPr>
                <w:sz w:val="20"/>
                <w:szCs w:val="20"/>
              </w:rPr>
              <w:t>наслијеђа</w:t>
            </w:r>
            <w:proofErr w:type="spellEnd"/>
            <w:r w:rsidRPr="00141D7A">
              <w:rPr>
                <w:sz w:val="20"/>
                <w:szCs w:val="20"/>
              </w:rPr>
              <w:t>)</w:t>
            </w:r>
          </w:p>
        </w:tc>
        <w:tc>
          <w:tcPr>
            <w:tcW w:w="1701" w:type="dxa"/>
            <w:tcBorders>
              <w:top w:val="nil"/>
              <w:left w:val="nil"/>
              <w:bottom w:val="single" w:sz="4" w:space="0" w:color="auto"/>
              <w:right w:val="double" w:sz="6" w:space="0" w:color="auto"/>
            </w:tcBorders>
            <w:shd w:val="clear" w:color="000000" w:fill="FFFFFF"/>
            <w:noWrap/>
            <w:vAlign w:val="center"/>
            <w:hideMark/>
          </w:tcPr>
          <w:p w14:paraId="482DD0E9" w14:textId="77777777" w:rsidR="00141D7A" w:rsidRPr="00141D7A" w:rsidRDefault="00141D7A" w:rsidP="00141D7A">
            <w:pPr>
              <w:ind w:left="0" w:right="0" w:firstLine="0"/>
              <w:jc w:val="right"/>
              <w:rPr>
                <w:rFonts w:ascii="Arial" w:hAnsi="Arial" w:cs="Arial"/>
                <w:sz w:val="20"/>
                <w:szCs w:val="20"/>
              </w:rPr>
            </w:pPr>
            <w:r w:rsidRPr="00141D7A">
              <w:rPr>
                <w:rFonts w:ascii="Arial" w:hAnsi="Arial" w:cs="Arial"/>
                <w:sz w:val="20"/>
                <w:szCs w:val="20"/>
              </w:rPr>
              <w:t>75.222,57</w:t>
            </w:r>
          </w:p>
        </w:tc>
      </w:tr>
      <w:tr w:rsidR="00141D7A" w:rsidRPr="00141D7A" w14:paraId="44E1BC63" w14:textId="77777777" w:rsidTr="00141D7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430E2B38" w14:textId="77777777" w:rsidR="00141D7A" w:rsidRPr="00141D7A" w:rsidRDefault="00141D7A" w:rsidP="00141D7A">
            <w:pPr>
              <w:ind w:left="0" w:right="0" w:firstLine="0"/>
              <w:jc w:val="center"/>
              <w:rPr>
                <w:sz w:val="20"/>
                <w:szCs w:val="20"/>
              </w:rPr>
            </w:pPr>
            <w:r w:rsidRPr="00141D7A">
              <w:rPr>
                <w:sz w:val="20"/>
                <w:szCs w:val="20"/>
              </w:rPr>
              <w:t>17</w:t>
            </w:r>
          </w:p>
        </w:tc>
        <w:tc>
          <w:tcPr>
            <w:tcW w:w="7660" w:type="dxa"/>
            <w:tcBorders>
              <w:top w:val="nil"/>
              <w:left w:val="nil"/>
              <w:bottom w:val="single" w:sz="4" w:space="0" w:color="auto"/>
              <w:right w:val="single" w:sz="4" w:space="0" w:color="auto"/>
            </w:tcBorders>
            <w:shd w:val="clear" w:color="auto" w:fill="auto"/>
            <w:noWrap/>
            <w:vAlign w:val="bottom"/>
            <w:hideMark/>
          </w:tcPr>
          <w:p w14:paraId="119CDF82" w14:textId="77777777" w:rsidR="00141D7A" w:rsidRPr="00141D7A" w:rsidRDefault="00141D7A" w:rsidP="00141D7A">
            <w:pPr>
              <w:ind w:left="0" w:right="0" w:firstLine="0"/>
              <w:jc w:val="left"/>
              <w:rPr>
                <w:sz w:val="20"/>
                <w:szCs w:val="20"/>
              </w:rPr>
            </w:pPr>
            <w:r w:rsidRPr="00141D7A">
              <w:rPr>
                <w:sz w:val="20"/>
                <w:szCs w:val="20"/>
              </w:rPr>
              <w:t>ЈЗУ Дом здравља</w:t>
            </w:r>
          </w:p>
        </w:tc>
        <w:tc>
          <w:tcPr>
            <w:tcW w:w="1701" w:type="dxa"/>
            <w:tcBorders>
              <w:top w:val="nil"/>
              <w:left w:val="nil"/>
              <w:bottom w:val="single" w:sz="4" w:space="0" w:color="auto"/>
              <w:right w:val="double" w:sz="6" w:space="0" w:color="auto"/>
            </w:tcBorders>
            <w:shd w:val="clear" w:color="000000" w:fill="FFFFFF"/>
            <w:noWrap/>
            <w:vAlign w:val="center"/>
            <w:hideMark/>
          </w:tcPr>
          <w:p w14:paraId="4A3741BD" w14:textId="77777777" w:rsidR="00141D7A" w:rsidRPr="00141D7A" w:rsidRDefault="00141D7A" w:rsidP="00141D7A">
            <w:pPr>
              <w:ind w:left="0" w:right="0" w:firstLine="0"/>
              <w:jc w:val="right"/>
              <w:rPr>
                <w:rFonts w:ascii="Arial" w:hAnsi="Arial" w:cs="Arial"/>
                <w:sz w:val="20"/>
                <w:szCs w:val="20"/>
              </w:rPr>
            </w:pPr>
            <w:r w:rsidRPr="00141D7A">
              <w:rPr>
                <w:rFonts w:ascii="Arial" w:hAnsi="Arial" w:cs="Arial"/>
                <w:sz w:val="20"/>
                <w:szCs w:val="20"/>
              </w:rPr>
              <w:t>95.000,00</w:t>
            </w:r>
          </w:p>
        </w:tc>
      </w:tr>
      <w:tr w:rsidR="00141D7A" w:rsidRPr="00141D7A" w14:paraId="1CC916A0" w14:textId="77777777" w:rsidTr="00141D7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2304FBCE" w14:textId="77777777" w:rsidR="00141D7A" w:rsidRPr="00141D7A" w:rsidRDefault="00141D7A" w:rsidP="00141D7A">
            <w:pPr>
              <w:ind w:left="0" w:right="0" w:firstLine="0"/>
              <w:jc w:val="center"/>
              <w:rPr>
                <w:sz w:val="20"/>
                <w:szCs w:val="20"/>
              </w:rPr>
            </w:pPr>
            <w:r w:rsidRPr="00141D7A">
              <w:rPr>
                <w:sz w:val="20"/>
                <w:szCs w:val="20"/>
              </w:rPr>
              <w:t>18</w:t>
            </w:r>
          </w:p>
        </w:tc>
        <w:tc>
          <w:tcPr>
            <w:tcW w:w="7660" w:type="dxa"/>
            <w:tcBorders>
              <w:top w:val="nil"/>
              <w:left w:val="nil"/>
              <w:bottom w:val="single" w:sz="4" w:space="0" w:color="auto"/>
              <w:right w:val="single" w:sz="4" w:space="0" w:color="auto"/>
            </w:tcBorders>
            <w:shd w:val="clear" w:color="auto" w:fill="auto"/>
            <w:noWrap/>
            <w:vAlign w:val="bottom"/>
            <w:hideMark/>
          </w:tcPr>
          <w:p w14:paraId="113CDF83" w14:textId="77777777" w:rsidR="00141D7A" w:rsidRPr="00141D7A" w:rsidRDefault="00141D7A" w:rsidP="00141D7A">
            <w:pPr>
              <w:ind w:left="0" w:right="0" w:firstLine="0"/>
              <w:jc w:val="left"/>
              <w:rPr>
                <w:sz w:val="20"/>
                <w:szCs w:val="20"/>
              </w:rPr>
            </w:pPr>
            <w:r w:rsidRPr="00141D7A">
              <w:rPr>
                <w:sz w:val="20"/>
                <w:szCs w:val="20"/>
              </w:rPr>
              <w:t>Средства за пројекат "Дневна брига за старе"</w:t>
            </w:r>
          </w:p>
        </w:tc>
        <w:tc>
          <w:tcPr>
            <w:tcW w:w="1701" w:type="dxa"/>
            <w:tcBorders>
              <w:top w:val="nil"/>
              <w:left w:val="nil"/>
              <w:bottom w:val="single" w:sz="4" w:space="0" w:color="auto"/>
              <w:right w:val="double" w:sz="6" w:space="0" w:color="auto"/>
            </w:tcBorders>
            <w:shd w:val="clear" w:color="000000" w:fill="FFFFFF"/>
            <w:noWrap/>
            <w:vAlign w:val="center"/>
            <w:hideMark/>
          </w:tcPr>
          <w:p w14:paraId="6757579D" w14:textId="77777777" w:rsidR="00141D7A" w:rsidRPr="00141D7A" w:rsidRDefault="00141D7A" w:rsidP="00141D7A">
            <w:pPr>
              <w:ind w:left="0" w:right="0" w:firstLine="0"/>
              <w:jc w:val="right"/>
              <w:rPr>
                <w:rFonts w:ascii="Arial" w:hAnsi="Arial" w:cs="Arial"/>
                <w:sz w:val="20"/>
                <w:szCs w:val="20"/>
              </w:rPr>
            </w:pPr>
            <w:r w:rsidRPr="00141D7A">
              <w:rPr>
                <w:rFonts w:ascii="Arial" w:hAnsi="Arial" w:cs="Arial"/>
                <w:sz w:val="20"/>
                <w:szCs w:val="20"/>
              </w:rPr>
              <w:t>14.300,00</w:t>
            </w:r>
          </w:p>
        </w:tc>
      </w:tr>
      <w:tr w:rsidR="00141D7A" w:rsidRPr="00141D7A" w14:paraId="280D674E" w14:textId="77777777" w:rsidTr="00141D7A">
        <w:trPr>
          <w:trHeight w:val="510"/>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6975C3E0" w14:textId="77777777" w:rsidR="00141D7A" w:rsidRPr="00141D7A" w:rsidRDefault="00141D7A" w:rsidP="00141D7A">
            <w:pPr>
              <w:ind w:left="0" w:right="0" w:firstLine="0"/>
              <w:jc w:val="center"/>
              <w:rPr>
                <w:sz w:val="20"/>
                <w:szCs w:val="20"/>
              </w:rPr>
            </w:pPr>
            <w:r w:rsidRPr="00141D7A">
              <w:rPr>
                <w:sz w:val="20"/>
                <w:szCs w:val="20"/>
              </w:rPr>
              <w:t>19</w:t>
            </w:r>
          </w:p>
        </w:tc>
        <w:tc>
          <w:tcPr>
            <w:tcW w:w="7660" w:type="dxa"/>
            <w:tcBorders>
              <w:top w:val="nil"/>
              <w:left w:val="nil"/>
              <w:bottom w:val="single" w:sz="4" w:space="0" w:color="auto"/>
              <w:right w:val="single" w:sz="4" w:space="0" w:color="auto"/>
            </w:tcBorders>
            <w:shd w:val="clear" w:color="auto" w:fill="auto"/>
            <w:vAlign w:val="bottom"/>
            <w:hideMark/>
          </w:tcPr>
          <w:p w14:paraId="65E85AB7" w14:textId="77777777" w:rsidR="00141D7A" w:rsidRPr="00141D7A" w:rsidRDefault="00141D7A" w:rsidP="00141D7A">
            <w:pPr>
              <w:ind w:left="0" w:right="0" w:firstLine="0"/>
              <w:jc w:val="left"/>
              <w:rPr>
                <w:sz w:val="20"/>
                <w:szCs w:val="20"/>
              </w:rPr>
            </w:pPr>
            <w:r w:rsidRPr="00141D7A">
              <w:rPr>
                <w:sz w:val="20"/>
                <w:szCs w:val="20"/>
              </w:rPr>
              <w:t xml:space="preserve">Средства за пројекат "Дневни центар за </w:t>
            </w:r>
            <w:proofErr w:type="spellStart"/>
            <w:r w:rsidRPr="00141D7A">
              <w:rPr>
                <w:sz w:val="20"/>
                <w:szCs w:val="20"/>
              </w:rPr>
              <w:t>дјецу</w:t>
            </w:r>
            <w:proofErr w:type="spellEnd"/>
            <w:r w:rsidRPr="00141D7A">
              <w:rPr>
                <w:sz w:val="20"/>
                <w:szCs w:val="20"/>
              </w:rPr>
              <w:t xml:space="preserve"> и омладину </w:t>
            </w:r>
            <w:proofErr w:type="spellStart"/>
            <w:r w:rsidRPr="00141D7A">
              <w:rPr>
                <w:sz w:val="20"/>
                <w:szCs w:val="20"/>
              </w:rPr>
              <w:t>ометену</w:t>
            </w:r>
            <w:proofErr w:type="spellEnd"/>
            <w:r w:rsidRPr="00141D7A">
              <w:rPr>
                <w:sz w:val="20"/>
                <w:szCs w:val="20"/>
              </w:rPr>
              <w:t xml:space="preserve"> у физичком и психичком развоју" Прњавор</w:t>
            </w:r>
          </w:p>
        </w:tc>
        <w:tc>
          <w:tcPr>
            <w:tcW w:w="1701" w:type="dxa"/>
            <w:tcBorders>
              <w:top w:val="nil"/>
              <w:left w:val="nil"/>
              <w:bottom w:val="single" w:sz="4" w:space="0" w:color="auto"/>
              <w:right w:val="double" w:sz="6" w:space="0" w:color="auto"/>
            </w:tcBorders>
            <w:shd w:val="clear" w:color="000000" w:fill="FFFFFF"/>
            <w:noWrap/>
            <w:vAlign w:val="center"/>
            <w:hideMark/>
          </w:tcPr>
          <w:p w14:paraId="1DECFF5D" w14:textId="77777777" w:rsidR="00141D7A" w:rsidRPr="00141D7A" w:rsidRDefault="00141D7A" w:rsidP="00141D7A">
            <w:pPr>
              <w:ind w:left="0" w:right="0" w:firstLine="0"/>
              <w:jc w:val="right"/>
              <w:rPr>
                <w:rFonts w:ascii="Arial" w:hAnsi="Arial" w:cs="Arial"/>
                <w:sz w:val="20"/>
                <w:szCs w:val="20"/>
              </w:rPr>
            </w:pPr>
            <w:r w:rsidRPr="00141D7A">
              <w:rPr>
                <w:rFonts w:ascii="Arial" w:hAnsi="Arial" w:cs="Arial"/>
                <w:sz w:val="20"/>
                <w:szCs w:val="20"/>
              </w:rPr>
              <w:t>44.700,00</w:t>
            </w:r>
          </w:p>
        </w:tc>
      </w:tr>
      <w:tr w:rsidR="00141D7A" w:rsidRPr="00141D7A" w14:paraId="4762A220" w14:textId="77777777" w:rsidTr="00141D7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2540F0FB" w14:textId="77777777" w:rsidR="00141D7A" w:rsidRPr="00141D7A" w:rsidRDefault="00141D7A" w:rsidP="00141D7A">
            <w:pPr>
              <w:ind w:left="0" w:right="0" w:firstLine="0"/>
              <w:jc w:val="center"/>
              <w:rPr>
                <w:sz w:val="20"/>
                <w:szCs w:val="20"/>
              </w:rPr>
            </w:pPr>
            <w:r w:rsidRPr="00141D7A">
              <w:rPr>
                <w:sz w:val="20"/>
                <w:szCs w:val="20"/>
              </w:rPr>
              <w:lastRenderedPageBreak/>
              <w:t>20</w:t>
            </w:r>
          </w:p>
        </w:tc>
        <w:tc>
          <w:tcPr>
            <w:tcW w:w="7660" w:type="dxa"/>
            <w:tcBorders>
              <w:top w:val="nil"/>
              <w:left w:val="nil"/>
              <w:bottom w:val="single" w:sz="4" w:space="0" w:color="auto"/>
              <w:right w:val="single" w:sz="4" w:space="0" w:color="auto"/>
            </w:tcBorders>
            <w:shd w:val="clear" w:color="auto" w:fill="auto"/>
            <w:noWrap/>
            <w:vAlign w:val="bottom"/>
            <w:hideMark/>
          </w:tcPr>
          <w:p w14:paraId="47699843" w14:textId="77777777" w:rsidR="00141D7A" w:rsidRPr="00141D7A" w:rsidRDefault="00141D7A" w:rsidP="00141D7A">
            <w:pPr>
              <w:ind w:left="0" w:right="0" w:firstLine="0"/>
              <w:jc w:val="left"/>
              <w:rPr>
                <w:sz w:val="20"/>
                <w:szCs w:val="20"/>
              </w:rPr>
            </w:pPr>
            <w:r w:rsidRPr="00141D7A">
              <w:rPr>
                <w:sz w:val="20"/>
                <w:szCs w:val="20"/>
              </w:rPr>
              <w:t>ЈП "Радио Прњавор"</w:t>
            </w:r>
          </w:p>
        </w:tc>
        <w:tc>
          <w:tcPr>
            <w:tcW w:w="1701" w:type="dxa"/>
            <w:tcBorders>
              <w:top w:val="nil"/>
              <w:left w:val="nil"/>
              <w:bottom w:val="single" w:sz="4" w:space="0" w:color="auto"/>
              <w:right w:val="double" w:sz="6" w:space="0" w:color="auto"/>
            </w:tcBorders>
            <w:shd w:val="clear" w:color="000000" w:fill="FFFFFF"/>
            <w:noWrap/>
            <w:vAlign w:val="center"/>
            <w:hideMark/>
          </w:tcPr>
          <w:p w14:paraId="39031C54" w14:textId="77777777" w:rsidR="00141D7A" w:rsidRPr="00141D7A" w:rsidRDefault="00141D7A" w:rsidP="00141D7A">
            <w:pPr>
              <w:ind w:left="0" w:right="0" w:firstLine="0"/>
              <w:jc w:val="right"/>
              <w:rPr>
                <w:rFonts w:ascii="Arial" w:hAnsi="Arial" w:cs="Arial"/>
                <w:sz w:val="20"/>
                <w:szCs w:val="20"/>
              </w:rPr>
            </w:pPr>
            <w:r w:rsidRPr="00141D7A">
              <w:rPr>
                <w:rFonts w:ascii="Arial" w:hAnsi="Arial" w:cs="Arial"/>
                <w:sz w:val="20"/>
                <w:szCs w:val="20"/>
              </w:rPr>
              <w:t>59.500,00</w:t>
            </w:r>
          </w:p>
        </w:tc>
      </w:tr>
      <w:tr w:rsidR="00141D7A" w:rsidRPr="00141D7A" w14:paraId="53FF5967" w14:textId="77777777" w:rsidTr="00141D7A">
        <w:trPr>
          <w:trHeight w:val="510"/>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2DF276C6" w14:textId="77777777" w:rsidR="00141D7A" w:rsidRPr="00141D7A" w:rsidRDefault="00141D7A" w:rsidP="00141D7A">
            <w:pPr>
              <w:ind w:left="0" w:right="0" w:firstLine="0"/>
              <w:jc w:val="center"/>
              <w:rPr>
                <w:sz w:val="20"/>
                <w:szCs w:val="20"/>
              </w:rPr>
            </w:pPr>
            <w:r w:rsidRPr="00141D7A">
              <w:rPr>
                <w:sz w:val="20"/>
                <w:szCs w:val="20"/>
              </w:rPr>
              <w:t>21</w:t>
            </w:r>
          </w:p>
        </w:tc>
        <w:tc>
          <w:tcPr>
            <w:tcW w:w="7660" w:type="dxa"/>
            <w:tcBorders>
              <w:top w:val="nil"/>
              <w:left w:val="nil"/>
              <w:bottom w:val="single" w:sz="4" w:space="0" w:color="auto"/>
              <w:right w:val="single" w:sz="4" w:space="0" w:color="auto"/>
            </w:tcBorders>
            <w:shd w:val="clear" w:color="auto" w:fill="auto"/>
            <w:vAlign w:val="bottom"/>
            <w:hideMark/>
          </w:tcPr>
          <w:p w14:paraId="49C358E7" w14:textId="77777777" w:rsidR="00141D7A" w:rsidRPr="00141D7A" w:rsidRDefault="00141D7A" w:rsidP="00141D7A">
            <w:pPr>
              <w:ind w:left="0" w:right="0" w:firstLine="0"/>
              <w:jc w:val="left"/>
              <w:rPr>
                <w:sz w:val="20"/>
                <w:szCs w:val="20"/>
              </w:rPr>
            </w:pPr>
            <w:r w:rsidRPr="00141D7A">
              <w:rPr>
                <w:sz w:val="20"/>
                <w:szCs w:val="20"/>
              </w:rPr>
              <w:t xml:space="preserve">Средства за имплементацију и суфинансирање пројеката </w:t>
            </w:r>
            <w:proofErr w:type="spellStart"/>
            <w:r w:rsidRPr="00141D7A">
              <w:rPr>
                <w:sz w:val="20"/>
                <w:szCs w:val="20"/>
              </w:rPr>
              <w:t>предвиђених</w:t>
            </w:r>
            <w:proofErr w:type="spellEnd"/>
            <w:r w:rsidRPr="00141D7A">
              <w:rPr>
                <w:sz w:val="20"/>
                <w:szCs w:val="20"/>
              </w:rPr>
              <w:t xml:space="preserve"> Стратегијом развоја општине Прњавор 2012-2020. година </w:t>
            </w:r>
          </w:p>
        </w:tc>
        <w:tc>
          <w:tcPr>
            <w:tcW w:w="1701" w:type="dxa"/>
            <w:tcBorders>
              <w:top w:val="nil"/>
              <w:left w:val="nil"/>
              <w:bottom w:val="single" w:sz="4" w:space="0" w:color="auto"/>
              <w:right w:val="double" w:sz="6" w:space="0" w:color="auto"/>
            </w:tcBorders>
            <w:shd w:val="clear" w:color="000000" w:fill="FFFFFF"/>
            <w:noWrap/>
            <w:vAlign w:val="center"/>
            <w:hideMark/>
          </w:tcPr>
          <w:p w14:paraId="663680FD" w14:textId="77777777" w:rsidR="00141D7A" w:rsidRPr="00141D7A" w:rsidRDefault="00141D7A" w:rsidP="00141D7A">
            <w:pPr>
              <w:ind w:left="0" w:right="0" w:firstLine="0"/>
              <w:jc w:val="right"/>
              <w:rPr>
                <w:rFonts w:ascii="Arial" w:hAnsi="Arial" w:cs="Arial"/>
                <w:sz w:val="20"/>
                <w:szCs w:val="20"/>
              </w:rPr>
            </w:pPr>
            <w:r w:rsidRPr="00141D7A">
              <w:rPr>
                <w:rFonts w:ascii="Arial" w:hAnsi="Arial" w:cs="Arial"/>
                <w:sz w:val="20"/>
                <w:szCs w:val="20"/>
              </w:rPr>
              <w:t>50.613,61</w:t>
            </w:r>
          </w:p>
        </w:tc>
      </w:tr>
      <w:tr w:rsidR="00141D7A" w:rsidRPr="00141D7A" w14:paraId="3B900017" w14:textId="77777777" w:rsidTr="00141D7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0615A90D" w14:textId="77777777" w:rsidR="00141D7A" w:rsidRPr="00141D7A" w:rsidRDefault="00141D7A" w:rsidP="00141D7A">
            <w:pPr>
              <w:ind w:left="0" w:right="0" w:firstLine="0"/>
              <w:jc w:val="center"/>
              <w:rPr>
                <w:sz w:val="20"/>
                <w:szCs w:val="20"/>
              </w:rPr>
            </w:pPr>
            <w:r w:rsidRPr="00141D7A">
              <w:rPr>
                <w:sz w:val="20"/>
                <w:szCs w:val="20"/>
              </w:rPr>
              <w:t>22</w:t>
            </w:r>
          </w:p>
        </w:tc>
        <w:tc>
          <w:tcPr>
            <w:tcW w:w="7660" w:type="dxa"/>
            <w:tcBorders>
              <w:top w:val="nil"/>
              <w:left w:val="nil"/>
              <w:bottom w:val="single" w:sz="4" w:space="0" w:color="auto"/>
              <w:right w:val="single" w:sz="4" w:space="0" w:color="auto"/>
            </w:tcBorders>
            <w:shd w:val="clear" w:color="auto" w:fill="auto"/>
            <w:vAlign w:val="bottom"/>
            <w:hideMark/>
          </w:tcPr>
          <w:p w14:paraId="08030907" w14:textId="77777777" w:rsidR="00141D7A" w:rsidRPr="00141D7A" w:rsidRDefault="00141D7A" w:rsidP="00141D7A">
            <w:pPr>
              <w:ind w:left="0" w:right="0" w:firstLine="0"/>
              <w:jc w:val="left"/>
              <w:rPr>
                <w:sz w:val="20"/>
                <w:szCs w:val="20"/>
              </w:rPr>
            </w:pPr>
            <w:r w:rsidRPr="00141D7A">
              <w:rPr>
                <w:sz w:val="20"/>
                <w:szCs w:val="20"/>
              </w:rPr>
              <w:t>Средства за имплементацију пројекта "Омладинска банка"</w:t>
            </w:r>
          </w:p>
        </w:tc>
        <w:tc>
          <w:tcPr>
            <w:tcW w:w="1701" w:type="dxa"/>
            <w:tcBorders>
              <w:top w:val="nil"/>
              <w:left w:val="nil"/>
              <w:bottom w:val="single" w:sz="4" w:space="0" w:color="auto"/>
              <w:right w:val="double" w:sz="6" w:space="0" w:color="auto"/>
            </w:tcBorders>
            <w:shd w:val="clear" w:color="000000" w:fill="FFFFFF"/>
            <w:noWrap/>
            <w:vAlign w:val="center"/>
            <w:hideMark/>
          </w:tcPr>
          <w:p w14:paraId="777E18F2" w14:textId="77777777" w:rsidR="00141D7A" w:rsidRPr="00141D7A" w:rsidRDefault="00141D7A" w:rsidP="00141D7A">
            <w:pPr>
              <w:ind w:left="0" w:right="0" w:firstLine="0"/>
              <w:jc w:val="right"/>
              <w:rPr>
                <w:rFonts w:ascii="Arial" w:hAnsi="Arial" w:cs="Arial"/>
                <w:sz w:val="20"/>
                <w:szCs w:val="20"/>
              </w:rPr>
            </w:pPr>
            <w:r w:rsidRPr="00141D7A">
              <w:rPr>
                <w:rFonts w:ascii="Arial" w:hAnsi="Arial" w:cs="Arial"/>
                <w:sz w:val="20"/>
                <w:szCs w:val="20"/>
              </w:rPr>
              <w:t>6.000,00</w:t>
            </w:r>
          </w:p>
        </w:tc>
      </w:tr>
      <w:tr w:rsidR="00141D7A" w:rsidRPr="00141D7A" w14:paraId="715DCBD2" w14:textId="77777777" w:rsidTr="00141D7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1E6035B8" w14:textId="77777777" w:rsidR="00141D7A" w:rsidRPr="00141D7A" w:rsidRDefault="00141D7A" w:rsidP="00141D7A">
            <w:pPr>
              <w:ind w:left="0" w:right="0" w:firstLine="0"/>
              <w:jc w:val="center"/>
              <w:rPr>
                <w:sz w:val="20"/>
                <w:szCs w:val="20"/>
              </w:rPr>
            </w:pPr>
            <w:r w:rsidRPr="00141D7A">
              <w:rPr>
                <w:sz w:val="20"/>
                <w:szCs w:val="20"/>
              </w:rPr>
              <w:t>23</w:t>
            </w:r>
          </w:p>
        </w:tc>
        <w:tc>
          <w:tcPr>
            <w:tcW w:w="7660" w:type="dxa"/>
            <w:tcBorders>
              <w:top w:val="nil"/>
              <w:left w:val="nil"/>
              <w:bottom w:val="single" w:sz="4" w:space="0" w:color="auto"/>
              <w:right w:val="single" w:sz="4" w:space="0" w:color="auto"/>
            </w:tcBorders>
            <w:shd w:val="clear" w:color="auto" w:fill="auto"/>
            <w:noWrap/>
            <w:vAlign w:val="bottom"/>
            <w:hideMark/>
          </w:tcPr>
          <w:p w14:paraId="6BF992A2" w14:textId="77777777" w:rsidR="00141D7A" w:rsidRPr="00141D7A" w:rsidRDefault="00141D7A" w:rsidP="00141D7A">
            <w:pPr>
              <w:ind w:left="0" w:right="0" w:firstLine="0"/>
              <w:jc w:val="left"/>
              <w:rPr>
                <w:sz w:val="20"/>
                <w:szCs w:val="20"/>
              </w:rPr>
            </w:pPr>
            <w:r w:rsidRPr="00141D7A">
              <w:rPr>
                <w:sz w:val="20"/>
                <w:szCs w:val="20"/>
              </w:rPr>
              <w:t>Помоћ у реализацији пројеката заједница етажних власника</w:t>
            </w:r>
          </w:p>
        </w:tc>
        <w:tc>
          <w:tcPr>
            <w:tcW w:w="1701" w:type="dxa"/>
            <w:tcBorders>
              <w:top w:val="nil"/>
              <w:left w:val="nil"/>
              <w:bottom w:val="single" w:sz="4" w:space="0" w:color="auto"/>
              <w:right w:val="double" w:sz="6" w:space="0" w:color="auto"/>
            </w:tcBorders>
            <w:shd w:val="clear" w:color="000000" w:fill="FFFFFF"/>
            <w:noWrap/>
            <w:vAlign w:val="center"/>
            <w:hideMark/>
          </w:tcPr>
          <w:p w14:paraId="607B32EE" w14:textId="77777777" w:rsidR="00141D7A" w:rsidRPr="00141D7A" w:rsidRDefault="00141D7A" w:rsidP="00141D7A">
            <w:pPr>
              <w:ind w:left="0" w:right="0" w:firstLine="0"/>
              <w:jc w:val="right"/>
              <w:rPr>
                <w:rFonts w:ascii="Arial" w:hAnsi="Arial" w:cs="Arial"/>
                <w:sz w:val="20"/>
                <w:szCs w:val="20"/>
              </w:rPr>
            </w:pPr>
            <w:r w:rsidRPr="00141D7A">
              <w:rPr>
                <w:rFonts w:ascii="Arial" w:hAnsi="Arial" w:cs="Arial"/>
                <w:sz w:val="20"/>
                <w:szCs w:val="20"/>
              </w:rPr>
              <w:t>4.500,00</w:t>
            </w:r>
          </w:p>
        </w:tc>
      </w:tr>
      <w:tr w:rsidR="00141D7A" w:rsidRPr="00141D7A" w14:paraId="3A9C0DF2" w14:textId="77777777" w:rsidTr="00141D7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36611EB1" w14:textId="77777777" w:rsidR="00141D7A" w:rsidRPr="00141D7A" w:rsidRDefault="00141D7A" w:rsidP="00141D7A">
            <w:pPr>
              <w:ind w:left="0" w:right="0" w:firstLine="0"/>
              <w:jc w:val="center"/>
              <w:rPr>
                <w:sz w:val="20"/>
                <w:szCs w:val="20"/>
              </w:rPr>
            </w:pPr>
            <w:r w:rsidRPr="00141D7A">
              <w:rPr>
                <w:sz w:val="20"/>
                <w:szCs w:val="20"/>
              </w:rPr>
              <w:t>24</w:t>
            </w:r>
          </w:p>
        </w:tc>
        <w:tc>
          <w:tcPr>
            <w:tcW w:w="7660" w:type="dxa"/>
            <w:tcBorders>
              <w:top w:val="nil"/>
              <w:left w:val="nil"/>
              <w:bottom w:val="single" w:sz="4" w:space="0" w:color="auto"/>
              <w:right w:val="single" w:sz="4" w:space="0" w:color="auto"/>
            </w:tcBorders>
            <w:shd w:val="clear" w:color="auto" w:fill="auto"/>
            <w:noWrap/>
            <w:vAlign w:val="bottom"/>
            <w:hideMark/>
          </w:tcPr>
          <w:p w14:paraId="46E33941" w14:textId="77777777" w:rsidR="00141D7A" w:rsidRPr="00141D7A" w:rsidRDefault="00141D7A" w:rsidP="00141D7A">
            <w:pPr>
              <w:ind w:left="0" w:right="0" w:firstLine="0"/>
              <w:jc w:val="left"/>
              <w:rPr>
                <w:sz w:val="20"/>
                <w:szCs w:val="20"/>
              </w:rPr>
            </w:pPr>
            <w:r w:rsidRPr="00141D7A">
              <w:rPr>
                <w:sz w:val="20"/>
                <w:szCs w:val="20"/>
              </w:rPr>
              <w:t xml:space="preserve">Грант </w:t>
            </w:r>
            <w:proofErr w:type="spellStart"/>
            <w:r w:rsidRPr="00141D7A">
              <w:rPr>
                <w:sz w:val="20"/>
                <w:szCs w:val="20"/>
              </w:rPr>
              <w:t>КП,,Парк</w:t>
            </w:r>
            <w:proofErr w:type="spellEnd"/>
            <w:r w:rsidRPr="00141D7A">
              <w:rPr>
                <w:sz w:val="20"/>
                <w:szCs w:val="20"/>
              </w:rPr>
              <w:t xml:space="preserve">" </w:t>
            </w:r>
            <w:proofErr w:type="spellStart"/>
            <w:r w:rsidRPr="00141D7A">
              <w:rPr>
                <w:sz w:val="20"/>
                <w:szCs w:val="20"/>
              </w:rPr>
              <w:t>а.д</w:t>
            </w:r>
            <w:proofErr w:type="spellEnd"/>
            <w:r w:rsidRPr="00141D7A">
              <w:rPr>
                <w:sz w:val="20"/>
                <w:szCs w:val="20"/>
              </w:rPr>
              <w:t>. Прњавор - набавка возила</w:t>
            </w:r>
          </w:p>
        </w:tc>
        <w:tc>
          <w:tcPr>
            <w:tcW w:w="1701" w:type="dxa"/>
            <w:tcBorders>
              <w:top w:val="nil"/>
              <w:left w:val="nil"/>
              <w:bottom w:val="single" w:sz="4" w:space="0" w:color="auto"/>
              <w:right w:val="double" w:sz="6" w:space="0" w:color="auto"/>
            </w:tcBorders>
            <w:shd w:val="clear" w:color="000000" w:fill="FFFFFF"/>
            <w:noWrap/>
            <w:vAlign w:val="center"/>
            <w:hideMark/>
          </w:tcPr>
          <w:p w14:paraId="16183AFF" w14:textId="77777777" w:rsidR="00141D7A" w:rsidRPr="00141D7A" w:rsidRDefault="00141D7A" w:rsidP="00141D7A">
            <w:pPr>
              <w:ind w:left="0" w:right="0" w:firstLine="0"/>
              <w:jc w:val="right"/>
              <w:rPr>
                <w:rFonts w:ascii="Arial" w:hAnsi="Arial" w:cs="Arial"/>
                <w:sz w:val="20"/>
                <w:szCs w:val="20"/>
              </w:rPr>
            </w:pPr>
            <w:r w:rsidRPr="00141D7A">
              <w:rPr>
                <w:rFonts w:ascii="Arial" w:hAnsi="Arial" w:cs="Arial"/>
                <w:sz w:val="20"/>
                <w:szCs w:val="20"/>
              </w:rPr>
              <w:t>99.956,66</w:t>
            </w:r>
          </w:p>
        </w:tc>
      </w:tr>
      <w:tr w:rsidR="00141D7A" w:rsidRPr="00141D7A" w14:paraId="2FC50732" w14:textId="77777777" w:rsidTr="00141D7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0FCFD76E" w14:textId="77777777" w:rsidR="00141D7A" w:rsidRPr="00141D7A" w:rsidRDefault="00141D7A" w:rsidP="00141D7A">
            <w:pPr>
              <w:ind w:left="0" w:right="0" w:firstLine="0"/>
              <w:jc w:val="center"/>
              <w:rPr>
                <w:sz w:val="20"/>
                <w:szCs w:val="20"/>
              </w:rPr>
            </w:pPr>
            <w:r w:rsidRPr="00141D7A">
              <w:rPr>
                <w:sz w:val="20"/>
                <w:szCs w:val="20"/>
              </w:rPr>
              <w:t>25</w:t>
            </w:r>
          </w:p>
        </w:tc>
        <w:tc>
          <w:tcPr>
            <w:tcW w:w="7660" w:type="dxa"/>
            <w:tcBorders>
              <w:top w:val="nil"/>
              <w:left w:val="nil"/>
              <w:bottom w:val="single" w:sz="4" w:space="0" w:color="auto"/>
              <w:right w:val="single" w:sz="4" w:space="0" w:color="auto"/>
            </w:tcBorders>
            <w:shd w:val="clear" w:color="auto" w:fill="auto"/>
            <w:noWrap/>
            <w:vAlign w:val="bottom"/>
            <w:hideMark/>
          </w:tcPr>
          <w:p w14:paraId="33885A9F" w14:textId="77777777" w:rsidR="00141D7A" w:rsidRPr="00141D7A" w:rsidRDefault="00141D7A" w:rsidP="00141D7A">
            <w:pPr>
              <w:ind w:left="0" w:right="0" w:firstLine="0"/>
              <w:jc w:val="left"/>
              <w:rPr>
                <w:sz w:val="20"/>
                <w:szCs w:val="20"/>
              </w:rPr>
            </w:pPr>
            <w:r w:rsidRPr="00141D7A">
              <w:rPr>
                <w:sz w:val="20"/>
                <w:szCs w:val="20"/>
              </w:rPr>
              <w:t xml:space="preserve">Капитални </w:t>
            </w:r>
            <w:proofErr w:type="spellStart"/>
            <w:r w:rsidRPr="00141D7A">
              <w:rPr>
                <w:sz w:val="20"/>
                <w:szCs w:val="20"/>
              </w:rPr>
              <w:t>грант</w:t>
            </w:r>
            <w:proofErr w:type="spellEnd"/>
            <w:r w:rsidRPr="00141D7A">
              <w:rPr>
                <w:sz w:val="20"/>
                <w:szCs w:val="20"/>
              </w:rPr>
              <w:t xml:space="preserve"> - изградња спортског центра - пројекат "ФИФА гол"</w:t>
            </w:r>
          </w:p>
        </w:tc>
        <w:tc>
          <w:tcPr>
            <w:tcW w:w="1701" w:type="dxa"/>
            <w:tcBorders>
              <w:top w:val="nil"/>
              <w:left w:val="nil"/>
              <w:bottom w:val="single" w:sz="4" w:space="0" w:color="auto"/>
              <w:right w:val="double" w:sz="6" w:space="0" w:color="auto"/>
            </w:tcBorders>
            <w:shd w:val="clear" w:color="000000" w:fill="FFFFFF"/>
            <w:noWrap/>
            <w:vAlign w:val="center"/>
            <w:hideMark/>
          </w:tcPr>
          <w:p w14:paraId="1109606E" w14:textId="77777777" w:rsidR="00141D7A" w:rsidRPr="00141D7A" w:rsidRDefault="00141D7A" w:rsidP="00141D7A">
            <w:pPr>
              <w:ind w:left="0" w:right="0" w:firstLine="0"/>
              <w:jc w:val="right"/>
              <w:rPr>
                <w:rFonts w:ascii="Arial" w:hAnsi="Arial" w:cs="Arial"/>
                <w:sz w:val="20"/>
                <w:szCs w:val="20"/>
              </w:rPr>
            </w:pPr>
            <w:r w:rsidRPr="00141D7A">
              <w:rPr>
                <w:rFonts w:ascii="Arial" w:hAnsi="Arial" w:cs="Arial"/>
                <w:sz w:val="20"/>
                <w:szCs w:val="20"/>
              </w:rPr>
              <w:t>243.390,65</w:t>
            </w:r>
          </w:p>
        </w:tc>
      </w:tr>
      <w:tr w:rsidR="00141D7A" w:rsidRPr="00141D7A" w14:paraId="364F6E8C" w14:textId="77777777" w:rsidTr="00141D7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34B1DB96" w14:textId="77777777" w:rsidR="00141D7A" w:rsidRPr="00141D7A" w:rsidRDefault="00141D7A" w:rsidP="00141D7A">
            <w:pPr>
              <w:ind w:left="0" w:right="0" w:firstLine="0"/>
              <w:jc w:val="center"/>
              <w:rPr>
                <w:sz w:val="20"/>
                <w:szCs w:val="20"/>
              </w:rPr>
            </w:pPr>
            <w:r w:rsidRPr="00141D7A">
              <w:rPr>
                <w:sz w:val="20"/>
                <w:szCs w:val="20"/>
              </w:rPr>
              <w:t>26</w:t>
            </w:r>
          </w:p>
        </w:tc>
        <w:tc>
          <w:tcPr>
            <w:tcW w:w="7660" w:type="dxa"/>
            <w:tcBorders>
              <w:top w:val="nil"/>
              <w:left w:val="nil"/>
              <w:bottom w:val="single" w:sz="4" w:space="0" w:color="auto"/>
              <w:right w:val="single" w:sz="4" w:space="0" w:color="auto"/>
            </w:tcBorders>
            <w:shd w:val="clear" w:color="auto" w:fill="auto"/>
            <w:noWrap/>
            <w:vAlign w:val="bottom"/>
            <w:hideMark/>
          </w:tcPr>
          <w:p w14:paraId="2641DBD7" w14:textId="77777777" w:rsidR="00141D7A" w:rsidRPr="00141D7A" w:rsidRDefault="00141D7A" w:rsidP="00141D7A">
            <w:pPr>
              <w:ind w:left="0" w:right="0" w:firstLine="0"/>
              <w:jc w:val="left"/>
              <w:rPr>
                <w:sz w:val="20"/>
                <w:szCs w:val="20"/>
              </w:rPr>
            </w:pPr>
            <w:r w:rsidRPr="00141D7A">
              <w:rPr>
                <w:sz w:val="20"/>
                <w:szCs w:val="20"/>
              </w:rPr>
              <w:t>Борачка организација општине Прњавор</w:t>
            </w:r>
          </w:p>
        </w:tc>
        <w:tc>
          <w:tcPr>
            <w:tcW w:w="1701" w:type="dxa"/>
            <w:tcBorders>
              <w:top w:val="nil"/>
              <w:left w:val="nil"/>
              <w:bottom w:val="single" w:sz="4" w:space="0" w:color="auto"/>
              <w:right w:val="double" w:sz="6" w:space="0" w:color="auto"/>
            </w:tcBorders>
            <w:shd w:val="clear" w:color="000000" w:fill="FFFFFF"/>
            <w:noWrap/>
            <w:vAlign w:val="center"/>
            <w:hideMark/>
          </w:tcPr>
          <w:p w14:paraId="479B927C" w14:textId="77777777" w:rsidR="00141D7A" w:rsidRPr="00141D7A" w:rsidRDefault="00141D7A" w:rsidP="00141D7A">
            <w:pPr>
              <w:ind w:left="0" w:right="0" w:firstLine="0"/>
              <w:jc w:val="right"/>
              <w:rPr>
                <w:rFonts w:ascii="Arial" w:hAnsi="Arial" w:cs="Arial"/>
                <w:sz w:val="20"/>
                <w:szCs w:val="20"/>
              </w:rPr>
            </w:pPr>
            <w:r w:rsidRPr="00141D7A">
              <w:rPr>
                <w:rFonts w:ascii="Arial" w:hAnsi="Arial" w:cs="Arial"/>
                <w:sz w:val="20"/>
                <w:szCs w:val="20"/>
              </w:rPr>
              <w:t>100.000,00</w:t>
            </w:r>
          </w:p>
        </w:tc>
      </w:tr>
      <w:tr w:rsidR="00141D7A" w:rsidRPr="00141D7A" w14:paraId="34053C1A" w14:textId="77777777" w:rsidTr="00141D7A">
        <w:trPr>
          <w:trHeight w:val="28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2050BFFC" w14:textId="77777777" w:rsidR="00141D7A" w:rsidRPr="00141D7A" w:rsidRDefault="00141D7A" w:rsidP="00141D7A">
            <w:pPr>
              <w:ind w:left="0" w:right="0" w:firstLine="0"/>
              <w:jc w:val="center"/>
              <w:rPr>
                <w:sz w:val="20"/>
                <w:szCs w:val="20"/>
              </w:rPr>
            </w:pPr>
            <w:r w:rsidRPr="00141D7A">
              <w:rPr>
                <w:sz w:val="20"/>
                <w:szCs w:val="20"/>
              </w:rPr>
              <w:t>27</w:t>
            </w:r>
          </w:p>
        </w:tc>
        <w:tc>
          <w:tcPr>
            <w:tcW w:w="7660" w:type="dxa"/>
            <w:tcBorders>
              <w:top w:val="nil"/>
              <w:left w:val="nil"/>
              <w:bottom w:val="single" w:sz="4" w:space="0" w:color="auto"/>
              <w:right w:val="single" w:sz="4" w:space="0" w:color="auto"/>
            </w:tcBorders>
            <w:shd w:val="clear" w:color="auto" w:fill="auto"/>
            <w:vAlign w:val="center"/>
            <w:hideMark/>
          </w:tcPr>
          <w:p w14:paraId="54E1F931" w14:textId="77777777" w:rsidR="00141D7A" w:rsidRPr="00141D7A" w:rsidRDefault="00141D7A" w:rsidP="00141D7A">
            <w:pPr>
              <w:ind w:left="0" w:right="0" w:firstLine="0"/>
              <w:jc w:val="left"/>
              <w:rPr>
                <w:sz w:val="20"/>
                <w:szCs w:val="20"/>
              </w:rPr>
            </w:pPr>
            <w:r w:rsidRPr="00141D7A">
              <w:rPr>
                <w:sz w:val="20"/>
                <w:szCs w:val="20"/>
              </w:rPr>
              <w:t>Борачка организација општине Прњавор - финансирање обавеза из ранијег периода</w:t>
            </w:r>
          </w:p>
        </w:tc>
        <w:tc>
          <w:tcPr>
            <w:tcW w:w="1701" w:type="dxa"/>
            <w:tcBorders>
              <w:top w:val="nil"/>
              <w:left w:val="nil"/>
              <w:bottom w:val="single" w:sz="4" w:space="0" w:color="auto"/>
              <w:right w:val="double" w:sz="6" w:space="0" w:color="auto"/>
            </w:tcBorders>
            <w:shd w:val="clear" w:color="000000" w:fill="FFFFFF"/>
            <w:noWrap/>
            <w:vAlign w:val="center"/>
            <w:hideMark/>
          </w:tcPr>
          <w:p w14:paraId="7C21B40C" w14:textId="77777777" w:rsidR="00141D7A" w:rsidRPr="00141D7A" w:rsidRDefault="00141D7A" w:rsidP="00141D7A">
            <w:pPr>
              <w:ind w:left="0" w:right="0" w:firstLine="0"/>
              <w:jc w:val="right"/>
              <w:rPr>
                <w:rFonts w:ascii="Arial" w:hAnsi="Arial" w:cs="Arial"/>
                <w:sz w:val="20"/>
                <w:szCs w:val="20"/>
              </w:rPr>
            </w:pPr>
            <w:r w:rsidRPr="00141D7A">
              <w:rPr>
                <w:rFonts w:ascii="Arial" w:hAnsi="Arial" w:cs="Arial"/>
                <w:sz w:val="20"/>
                <w:szCs w:val="20"/>
              </w:rPr>
              <w:t>27.000,00</w:t>
            </w:r>
          </w:p>
        </w:tc>
      </w:tr>
      <w:tr w:rsidR="00141D7A" w:rsidRPr="00141D7A" w14:paraId="0928C34B" w14:textId="77777777" w:rsidTr="00141D7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47DF8225" w14:textId="77777777" w:rsidR="00141D7A" w:rsidRPr="00141D7A" w:rsidRDefault="00141D7A" w:rsidP="00141D7A">
            <w:pPr>
              <w:ind w:left="0" w:right="0" w:firstLine="0"/>
              <w:jc w:val="center"/>
              <w:rPr>
                <w:sz w:val="20"/>
                <w:szCs w:val="20"/>
              </w:rPr>
            </w:pPr>
            <w:r w:rsidRPr="00141D7A">
              <w:rPr>
                <w:sz w:val="20"/>
                <w:szCs w:val="20"/>
              </w:rPr>
              <w:t>28</w:t>
            </w:r>
          </w:p>
        </w:tc>
        <w:tc>
          <w:tcPr>
            <w:tcW w:w="7660" w:type="dxa"/>
            <w:tcBorders>
              <w:top w:val="nil"/>
              <w:left w:val="nil"/>
              <w:bottom w:val="single" w:sz="4" w:space="0" w:color="auto"/>
              <w:right w:val="single" w:sz="4" w:space="0" w:color="auto"/>
            </w:tcBorders>
            <w:shd w:val="clear" w:color="auto" w:fill="auto"/>
            <w:noWrap/>
            <w:vAlign w:val="bottom"/>
            <w:hideMark/>
          </w:tcPr>
          <w:p w14:paraId="649090F8" w14:textId="77777777" w:rsidR="00141D7A" w:rsidRPr="00141D7A" w:rsidRDefault="00141D7A" w:rsidP="00141D7A">
            <w:pPr>
              <w:ind w:left="0" w:right="0" w:firstLine="0"/>
              <w:jc w:val="left"/>
              <w:rPr>
                <w:sz w:val="20"/>
                <w:szCs w:val="20"/>
              </w:rPr>
            </w:pPr>
            <w:r w:rsidRPr="00141D7A">
              <w:rPr>
                <w:sz w:val="20"/>
                <w:szCs w:val="20"/>
              </w:rPr>
              <w:t>Удружење РВИ општине Прњавор</w:t>
            </w:r>
          </w:p>
        </w:tc>
        <w:tc>
          <w:tcPr>
            <w:tcW w:w="1701" w:type="dxa"/>
            <w:tcBorders>
              <w:top w:val="nil"/>
              <w:left w:val="nil"/>
              <w:bottom w:val="single" w:sz="4" w:space="0" w:color="auto"/>
              <w:right w:val="double" w:sz="6" w:space="0" w:color="auto"/>
            </w:tcBorders>
            <w:shd w:val="clear" w:color="000000" w:fill="FFFFFF"/>
            <w:noWrap/>
            <w:vAlign w:val="center"/>
            <w:hideMark/>
          </w:tcPr>
          <w:p w14:paraId="19165788" w14:textId="77777777" w:rsidR="00141D7A" w:rsidRPr="00141D7A" w:rsidRDefault="00141D7A" w:rsidP="00141D7A">
            <w:pPr>
              <w:ind w:left="0" w:right="0" w:firstLine="0"/>
              <w:jc w:val="right"/>
              <w:rPr>
                <w:rFonts w:ascii="Arial" w:hAnsi="Arial" w:cs="Arial"/>
                <w:sz w:val="20"/>
                <w:szCs w:val="20"/>
              </w:rPr>
            </w:pPr>
            <w:r w:rsidRPr="00141D7A">
              <w:rPr>
                <w:rFonts w:ascii="Arial" w:hAnsi="Arial" w:cs="Arial"/>
                <w:sz w:val="20"/>
                <w:szCs w:val="20"/>
              </w:rPr>
              <w:t>18.200,00</w:t>
            </w:r>
          </w:p>
        </w:tc>
      </w:tr>
      <w:tr w:rsidR="00141D7A" w:rsidRPr="00141D7A" w14:paraId="4B49B8C6" w14:textId="77777777" w:rsidTr="00141D7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7BD8C146" w14:textId="77777777" w:rsidR="00141D7A" w:rsidRPr="00141D7A" w:rsidRDefault="00141D7A" w:rsidP="00141D7A">
            <w:pPr>
              <w:ind w:left="0" w:right="0" w:firstLine="0"/>
              <w:jc w:val="center"/>
              <w:rPr>
                <w:sz w:val="20"/>
                <w:szCs w:val="20"/>
              </w:rPr>
            </w:pPr>
            <w:r w:rsidRPr="00141D7A">
              <w:rPr>
                <w:sz w:val="20"/>
                <w:szCs w:val="20"/>
              </w:rPr>
              <w:t>29</w:t>
            </w:r>
          </w:p>
        </w:tc>
        <w:tc>
          <w:tcPr>
            <w:tcW w:w="7660" w:type="dxa"/>
            <w:tcBorders>
              <w:top w:val="nil"/>
              <w:left w:val="nil"/>
              <w:bottom w:val="single" w:sz="4" w:space="0" w:color="auto"/>
              <w:right w:val="single" w:sz="4" w:space="0" w:color="auto"/>
            </w:tcBorders>
            <w:shd w:val="clear" w:color="auto" w:fill="auto"/>
            <w:noWrap/>
            <w:vAlign w:val="bottom"/>
            <w:hideMark/>
          </w:tcPr>
          <w:p w14:paraId="457BA100" w14:textId="77777777" w:rsidR="00141D7A" w:rsidRPr="00141D7A" w:rsidRDefault="00141D7A" w:rsidP="00141D7A">
            <w:pPr>
              <w:ind w:left="0" w:right="0" w:firstLine="0"/>
              <w:jc w:val="left"/>
              <w:rPr>
                <w:sz w:val="20"/>
                <w:szCs w:val="20"/>
              </w:rPr>
            </w:pPr>
            <w:r w:rsidRPr="00141D7A">
              <w:rPr>
                <w:sz w:val="20"/>
                <w:szCs w:val="20"/>
              </w:rPr>
              <w:t>ОО породица заробљених и погинулих бораца и несталих цивила Прњавор</w:t>
            </w:r>
          </w:p>
        </w:tc>
        <w:tc>
          <w:tcPr>
            <w:tcW w:w="1701" w:type="dxa"/>
            <w:tcBorders>
              <w:top w:val="nil"/>
              <w:left w:val="nil"/>
              <w:bottom w:val="single" w:sz="4" w:space="0" w:color="auto"/>
              <w:right w:val="double" w:sz="6" w:space="0" w:color="auto"/>
            </w:tcBorders>
            <w:shd w:val="clear" w:color="000000" w:fill="FFFFFF"/>
            <w:noWrap/>
            <w:vAlign w:val="center"/>
            <w:hideMark/>
          </w:tcPr>
          <w:p w14:paraId="32DC5F88" w14:textId="77777777" w:rsidR="00141D7A" w:rsidRPr="00141D7A" w:rsidRDefault="00141D7A" w:rsidP="00141D7A">
            <w:pPr>
              <w:ind w:left="0" w:right="0" w:firstLine="0"/>
              <w:jc w:val="right"/>
              <w:rPr>
                <w:rFonts w:ascii="Arial" w:hAnsi="Arial" w:cs="Arial"/>
                <w:sz w:val="20"/>
                <w:szCs w:val="20"/>
              </w:rPr>
            </w:pPr>
            <w:r w:rsidRPr="00141D7A">
              <w:rPr>
                <w:rFonts w:ascii="Arial" w:hAnsi="Arial" w:cs="Arial"/>
                <w:sz w:val="20"/>
                <w:szCs w:val="20"/>
              </w:rPr>
              <w:t>21.700,00</w:t>
            </w:r>
          </w:p>
        </w:tc>
      </w:tr>
      <w:tr w:rsidR="00141D7A" w:rsidRPr="00141D7A" w14:paraId="2E968F32" w14:textId="77777777" w:rsidTr="00141D7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664271FF" w14:textId="77777777" w:rsidR="00141D7A" w:rsidRPr="00141D7A" w:rsidRDefault="00141D7A" w:rsidP="00141D7A">
            <w:pPr>
              <w:ind w:left="0" w:right="0" w:firstLine="0"/>
              <w:jc w:val="center"/>
              <w:rPr>
                <w:sz w:val="20"/>
                <w:szCs w:val="20"/>
              </w:rPr>
            </w:pPr>
            <w:r w:rsidRPr="00141D7A">
              <w:rPr>
                <w:sz w:val="20"/>
                <w:szCs w:val="20"/>
              </w:rPr>
              <w:t>30</w:t>
            </w:r>
          </w:p>
        </w:tc>
        <w:tc>
          <w:tcPr>
            <w:tcW w:w="7660" w:type="dxa"/>
            <w:tcBorders>
              <w:top w:val="nil"/>
              <w:left w:val="nil"/>
              <w:bottom w:val="single" w:sz="4" w:space="0" w:color="auto"/>
              <w:right w:val="single" w:sz="4" w:space="0" w:color="auto"/>
            </w:tcBorders>
            <w:shd w:val="clear" w:color="auto" w:fill="auto"/>
            <w:noWrap/>
            <w:vAlign w:val="bottom"/>
            <w:hideMark/>
          </w:tcPr>
          <w:p w14:paraId="1E1C3D53" w14:textId="77777777" w:rsidR="00141D7A" w:rsidRPr="00141D7A" w:rsidRDefault="00141D7A" w:rsidP="00141D7A">
            <w:pPr>
              <w:ind w:left="0" w:right="0" w:firstLine="0"/>
              <w:jc w:val="left"/>
              <w:rPr>
                <w:sz w:val="20"/>
                <w:szCs w:val="20"/>
              </w:rPr>
            </w:pPr>
            <w:r w:rsidRPr="00141D7A">
              <w:rPr>
                <w:sz w:val="20"/>
                <w:szCs w:val="20"/>
              </w:rPr>
              <w:t xml:space="preserve">Удружење Вукова са </w:t>
            </w:r>
            <w:proofErr w:type="spellStart"/>
            <w:r w:rsidRPr="00141D7A">
              <w:rPr>
                <w:sz w:val="20"/>
                <w:szCs w:val="20"/>
              </w:rPr>
              <w:t>Вучијака</w:t>
            </w:r>
            <w:proofErr w:type="spellEnd"/>
          </w:p>
        </w:tc>
        <w:tc>
          <w:tcPr>
            <w:tcW w:w="1701" w:type="dxa"/>
            <w:tcBorders>
              <w:top w:val="nil"/>
              <w:left w:val="nil"/>
              <w:bottom w:val="single" w:sz="4" w:space="0" w:color="auto"/>
              <w:right w:val="double" w:sz="6" w:space="0" w:color="auto"/>
            </w:tcBorders>
            <w:shd w:val="clear" w:color="000000" w:fill="FFFFFF"/>
            <w:noWrap/>
            <w:vAlign w:val="center"/>
            <w:hideMark/>
          </w:tcPr>
          <w:p w14:paraId="3C694C07" w14:textId="77777777" w:rsidR="00141D7A" w:rsidRPr="00141D7A" w:rsidRDefault="00141D7A" w:rsidP="00141D7A">
            <w:pPr>
              <w:ind w:left="0" w:right="0" w:firstLine="0"/>
              <w:jc w:val="right"/>
              <w:rPr>
                <w:rFonts w:ascii="Arial" w:hAnsi="Arial" w:cs="Arial"/>
                <w:sz w:val="20"/>
                <w:szCs w:val="20"/>
              </w:rPr>
            </w:pPr>
            <w:r w:rsidRPr="00141D7A">
              <w:rPr>
                <w:rFonts w:ascii="Arial" w:hAnsi="Arial" w:cs="Arial"/>
                <w:sz w:val="20"/>
                <w:szCs w:val="20"/>
              </w:rPr>
              <w:t>5.600,00</w:t>
            </w:r>
          </w:p>
        </w:tc>
      </w:tr>
      <w:tr w:rsidR="00141D7A" w:rsidRPr="00141D7A" w14:paraId="525A0ACE" w14:textId="77777777" w:rsidTr="00141D7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61004528" w14:textId="77777777" w:rsidR="00141D7A" w:rsidRPr="00141D7A" w:rsidRDefault="00141D7A" w:rsidP="00141D7A">
            <w:pPr>
              <w:ind w:left="0" w:right="0" w:firstLine="0"/>
              <w:jc w:val="center"/>
              <w:rPr>
                <w:sz w:val="20"/>
                <w:szCs w:val="20"/>
              </w:rPr>
            </w:pPr>
            <w:r w:rsidRPr="00141D7A">
              <w:rPr>
                <w:sz w:val="20"/>
                <w:szCs w:val="20"/>
              </w:rPr>
              <w:t>31</w:t>
            </w:r>
          </w:p>
        </w:tc>
        <w:tc>
          <w:tcPr>
            <w:tcW w:w="7660" w:type="dxa"/>
            <w:tcBorders>
              <w:top w:val="nil"/>
              <w:left w:val="nil"/>
              <w:bottom w:val="single" w:sz="4" w:space="0" w:color="auto"/>
              <w:right w:val="single" w:sz="4" w:space="0" w:color="auto"/>
            </w:tcBorders>
            <w:shd w:val="clear" w:color="auto" w:fill="auto"/>
            <w:noWrap/>
            <w:vAlign w:val="bottom"/>
            <w:hideMark/>
          </w:tcPr>
          <w:p w14:paraId="626A011F" w14:textId="77777777" w:rsidR="00141D7A" w:rsidRPr="00141D7A" w:rsidRDefault="00141D7A" w:rsidP="00141D7A">
            <w:pPr>
              <w:ind w:left="0" w:right="0" w:firstLine="0"/>
              <w:jc w:val="left"/>
              <w:rPr>
                <w:sz w:val="20"/>
                <w:szCs w:val="20"/>
              </w:rPr>
            </w:pPr>
            <w:r w:rsidRPr="00141D7A">
              <w:rPr>
                <w:sz w:val="20"/>
                <w:szCs w:val="20"/>
              </w:rPr>
              <w:t>ОО СУБНОР-а Прњавор</w:t>
            </w:r>
          </w:p>
        </w:tc>
        <w:tc>
          <w:tcPr>
            <w:tcW w:w="1701" w:type="dxa"/>
            <w:tcBorders>
              <w:top w:val="nil"/>
              <w:left w:val="nil"/>
              <w:bottom w:val="single" w:sz="4" w:space="0" w:color="auto"/>
              <w:right w:val="double" w:sz="6" w:space="0" w:color="auto"/>
            </w:tcBorders>
            <w:shd w:val="clear" w:color="000000" w:fill="FFFFFF"/>
            <w:noWrap/>
            <w:vAlign w:val="center"/>
            <w:hideMark/>
          </w:tcPr>
          <w:p w14:paraId="17B9EA31" w14:textId="77777777" w:rsidR="00141D7A" w:rsidRPr="00141D7A" w:rsidRDefault="00141D7A" w:rsidP="00141D7A">
            <w:pPr>
              <w:ind w:left="0" w:right="0" w:firstLine="0"/>
              <w:jc w:val="right"/>
              <w:rPr>
                <w:rFonts w:ascii="Arial" w:hAnsi="Arial" w:cs="Arial"/>
                <w:sz w:val="20"/>
                <w:szCs w:val="20"/>
              </w:rPr>
            </w:pPr>
            <w:r w:rsidRPr="00141D7A">
              <w:rPr>
                <w:rFonts w:ascii="Arial" w:hAnsi="Arial" w:cs="Arial"/>
                <w:sz w:val="20"/>
                <w:szCs w:val="20"/>
              </w:rPr>
              <w:t>4.834,00</w:t>
            </w:r>
          </w:p>
        </w:tc>
      </w:tr>
      <w:tr w:rsidR="00141D7A" w:rsidRPr="00141D7A" w14:paraId="30D4F37D" w14:textId="77777777" w:rsidTr="00141D7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635D52BB" w14:textId="77777777" w:rsidR="00141D7A" w:rsidRPr="00141D7A" w:rsidRDefault="00141D7A" w:rsidP="00141D7A">
            <w:pPr>
              <w:ind w:left="0" w:right="0" w:firstLine="0"/>
              <w:jc w:val="center"/>
              <w:rPr>
                <w:sz w:val="20"/>
                <w:szCs w:val="20"/>
              </w:rPr>
            </w:pPr>
            <w:r w:rsidRPr="00141D7A">
              <w:rPr>
                <w:sz w:val="20"/>
                <w:szCs w:val="20"/>
              </w:rPr>
              <w:t>32</w:t>
            </w:r>
          </w:p>
        </w:tc>
        <w:tc>
          <w:tcPr>
            <w:tcW w:w="7660" w:type="dxa"/>
            <w:tcBorders>
              <w:top w:val="nil"/>
              <w:left w:val="nil"/>
              <w:bottom w:val="single" w:sz="4" w:space="0" w:color="auto"/>
              <w:right w:val="single" w:sz="4" w:space="0" w:color="auto"/>
            </w:tcBorders>
            <w:shd w:val="clear" w:color="auto" w:fill="auto"/>
            <w:noWrap/>
            <w:vAlign w:val="bottom"/>
            <w:hideMark/>
          </w:tcPr>
          <w:p w14:paraId="0E3BBE3B" w14:textId="77777777" w:rsidR="00141D7A" w:rsidRPr="00141D7A" w:rsidRDefault="00141D7A" w:rsidP="00141D7A">
            <w:pPr>
              <w:ind w:left="0" w:right="0" w:firstLine="0"/>
              <w:jc w:val="left"/>
              <w:rPr>
                <w:sz w:val="20"/>
                <w:szCs w:val="20"/>
              </w:rPr>
            </w:pPr>
            <w:r w:rsidRPr="00141D7A">
              <w:rPr>
                <w:sz w:val="20"/>
                <w:szCs w:val="20"/>
              </w:rPr>
              <w:t xml:space="preserve">Удружење грађана  "Ветерани Републике Српске" </w:t>
            </w:r>
          </w:p>
        </w:tc>
        <w:tc>
          <w:tcPr>
            <w:tcW w:w="1701" w:type="dxa"/>
            <w:tcBorders>
              <w:top w:val="nil"/>
              <w:left w:val="nil"/>
              <w:bottom w:val="single" w:sz="4" w:space="0" w:color="auto"/>
              <w:right w:val="double" w:sz="6" w:space="0" w:color="auto"/>
            </w:tcBorders>
            <w:shd w:val="clear" w:color="000000" w:fill="FFFFFF"/>
            <w:noWrap/>
            <w:vAlign w:val="center"/>
            <w:hideMark/>
          </w:tcPr>
          <w:p w14:paraId="24FD9F4C" w14:textId="77777777" w:rsidR="00141D7A" w:rsidRPr="00141D7A" w:rsidRDefault="00141D7A" w:rsidP="00141D7A">
            <w:pPr>
              <w:ind w:left="0" w:right="0" w:firstLine="0"/>
              <w:jc w:val="right"/>
              <w:rPr>
                <w:rFonts w:ascii="Arial" w:hAnsi="Arial" w:cs="Arial"/>
                <w:sz w:val="20"/>
                <w:szCs w:val="20"/>
              </w:rPr>
            </w:pPr>
            <w:r w:rsidRPr="00141D7A">
              <w:rPr>
                <w:rFonts w:ascii="Arial" w:hAnsi="Arial" w:cs="Arial"/>
                <w:sz w:val="20"/>
                <w:szCs w:val="20"/>
              </w:rPr>
              <w:t>4.000,00</w:t>
            </w:r>
          </w:p>
        </w:tc>
      </w:tr>
      <w:tr w:rsidR="00141D7A" w:rsidRPr="00141D7A" w14:paraId="469666D3" w14:textId="77777777" w:rsidTr="00141D7A">
        <w:trPr>
          <w:trHeight w:val="42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748DC3D2" w14:textId="77777777" w:rsidR="00141D7A" w:rsidRPr="00141D7A" w:rsidRDefault="00141D7A" w:rsidP="00141D7A">
            <w:pPr>
              <w:ind w:left="0" w:right="0" w:firstLine="0"/>
              <w:jc w:val="center"/>
              <w:rPr>
                <w:sz w:val="20"/>
                <w:szCs w:val="20"/>
              </w:rPr>
            </w:pPr>
            <w:r w:rsidRPr="00141D7A">
              <w:rPr>
                <w:sz w:val="20"/>
                <w:szCs w:val="20"/>
              </w:rPr>
              <w:t>33</w:t>
            </w:r>
          </w:p>
        </w:tc>
        <w:tc>
          <w:tcPr>
            <w:tcW w:w="7660" w:type="dxa"/>
            <w:tcBorders>
              <w:top w:val="nil"/>
              <w:left w:val="nil"/>
              <w:bottom w:val="single" w:sz="4" w:space="0" w:color="auto"/>
              <w:right w:val="single" w:sz="4" w:space="0" w:color="auto"/>
            </w:tcBorders>
            <w:shd w:val="clear" w:color="auto" w:fill="auto"/>
            <w:vAlign w:val="bottom"/>
            <w:hideMark/>
          </w:tcPr>
          <w:p w14:paraId="7D9E3F14" w14:textId="77777777" w:rsidR="00141D7A" w:rsidRPr="00141D7A" w:rsidRDefault="00141D7A" w:rsidP="00141D7A">
            <w:pPr>
              <w:ind w:left="0" w:right="0" w:firstLine="0"/>
              <w:jc w:val="left"/>
              <w:rPr>
                <w:sz w:val="20"/>
                <w:szCs w:val="20"/>
              </w:rPr>
            </w:pPr>
            <w:r w:rsidRPr="00141D7A">
              <w:rPr>
                <w:sz w:val="20"/>
                <w:szCs w:val="20"/>
              </w:rPr>
              <w:t xml:space="preserve">Средства за остале трошкове </w:t>
            </w:r>
            <w:proofErr w:type="spellStart"/>
            <w:r w:rsidRPr="00141D7A">
              <w:rPr>
                <w:sz w:val="20"/>
                <w:szCs w:val="20"/>
              </w:rPr>
              <w:t>обиљежавања</w:t>
            </w:r>
            <w:proofErr w:type="spellEnd"/>
            <w:r w:rsidRPr="00141D7A">
              <w:rPr>
                <w:sz w:val="20"/>
                <w:szCs w:val="20"/>
              </w:rPr>
              <w:t xml:space="preserve"> значајних датума (за трошкове </w:t>
            </w:r>
            <w:proofErr w:type="spellStart"/>
            <w:r w:rsidRPr="00141D7A">
              <w:rPr>
                <w:sz w:val="20"/>
                <w:szCs w:val="20"/>
              </w:rPr>
              <w:t>вијенаца</w:t>
            </w:r>
            <w:proofErr w:type="spellEnd"/>
            <w:r w:rsidRPr="00141D7A">
              <w:rPr>
                <w:sz w:val="20"/>
                <w:szCs w:val="20"/>
              </w:rPr>
              <w:t xml:space="preserve">, </w:t>
            </w:r>
            <w:proofErr w:type="spellStart"/>
            <w:r w:rsidRPr="00141D7A">
              <w:rPr>
                <w:sz w:val="20"/>
                <w:szCs w:val="20"/>
              </w:rPr>
              <w:t>цвијећа</w:t>
            </w:r>
            <w:proofErr w:type="spellEnd"/>
            <w:r w:rsidRPr="00141D7A">
              <w:rPr>
                <w:sz w:val="20"/>
                <w:szCs w:val="20"/>
              </w:rPr>
              <w:t xml:space="preserve">, </w:t>
            </w:r>
            <w:proofErr w:type="spellStart"/>
            <w:r w:rsidRPr="00141D7A">
              <w:rPr>
                <w:sz w:val="20"/>
                <w:szCs w:val="20"/>
              </w:rPr>
              <w:t>свијећа</w:t>
            </w:r>
            <w:proofErr w:type="spellEnd"/>
            <w:r w:rsidRPr="00141D7A">
              <w:rPr>
                <w:sz w:val="20"/>
                <w:szCs w:val="20"/>
              </w:rPr>
              <w:t xml:space="preserve"> и др.)</w:t>
            </w:r>
          </w:p>
        </w:tc>
        <w:tc>
          <w:tcPr>
            <w:tcW w:w="1701" w:type="dxa"/>
            <w:tcBorders>
              <w:top w:val="nil"/>
              <w:left w:val="nil"/>
              <w:bottom w:val="single" w:sz="4" w:space="0" w:color="auto"/>
              <w:right w:val="double" w:sz="6" w:space="0" w:color="auto"/>
            </w:tcBorders>
            <w:shd w:val="clear" w:color="000000" w:fill="FFFFFF"/>
            <w:noWrap/>
            <w:vAlign w:val="center"/>
            <w:hideMark/>
          </w:tcPr>
          <w:p w14:paraId="3AE6E2C5" w14:textId="77777777" w:rsidR="00141D7A" w:rsidRPr="00141D7A" w:rsidRDefault="00141D7A" w:rsidP="00141D7A">
            <w:pPr>
              <w:ind w:left="0" w:right="0" w:firstLine="0"/>
              <w:jc w:val="right"/>
              <w:rPr>
                <w:rFonts w:ascii="Arial" w:hAnsi="Arial" w:cs="Arial"/>
                <w:sz w:val="20"/>
                <w:szCs w:val="20"/>
              </w:rPr>
            </w:pPr>
            <w:r w:rsidRPr="00141D7A">
              <w:rPr>
                <w:rFonts w:ascii="Arial" w:hAnsi="Arial" w:cs="Arial"/>
                <w:sz w:val="20"/>
                <w:szCs w:val="20"/>
              </w:rPr>
              <w:t>2.739,59</w:t>
            </w:r>
          </w:p>
        </w:tc>
      </w:tr>
      <w:tr w:rsidR="00141D7A" w:rsidRPr="00141D7A" w14:paraId="0135A119" w14:textId="77777777" w:rsidTr="00141D7A">
        <w:trPr>
          <w:trHeight w:val="47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12F37C87" w14:textId="77777777" w:rsidR="00141D7A" w:rsidRPr="00141D7A" w:rsidRDefault="00141D7A" w:rsidP="00141D7A">
            <w:pPr>
              <w:ind w:left="0" w:right="0" w:firstLine="0"/>
              <w:jc w:val="center"/>
              <w:rPr>
                <w:sz w:val="20"/>
                <w:szCs w:val="20"/>
              </w:rPr>
            </w:pPr>
            <w:r w:rsidRPr="00141D7A">
              <w:rPr>
                <w:sz w:val="20"/>
                <w:szCs w:val="20"/>
              </w:rPr>
              <w:t>34</w:t>
            </w:r>
          </w:p>
        </w:tc>
        <w:tc>
          <w:tcPr>
            <w:tcW w:w="7660" w:type="dxa"/>
            <w:tcBorders>
              <w:top w:val="nil"/>
              <w:left w:val="nil"/>
              <w:bottom w:val="single" w:sz="4" w:space="0" w:color="auto"/>
              <w:right w:val="single" w:sz="4" w:space="0" w:color="auto"/>
            </w:tcBorders>
            <w:shd w:val="clear" w:color="auto" w:fill="auto"/>
            <w:vAlign w:val="bottom"/>
            <w:hideMark/>
          </w:tcPr>
          <w:p w14:paraId="21FD12A6" w14:textId="77777777" w:rsidR="00141D7A" w:rsidRPr="00141D7A" w:rsidRDefault="00141D7A" w:rsidP="00141D7A">
            <w:pPr>
              <w:ind w:left="0" w:right="0" w:firstLine="0"/>
              <w:jc w:val="left"/>
              <w:rPr>
                <w:sz w:val="20"/>
                <w:szCs w:val="20"/>
              </w:rPr>
            </w:pPr>
            <w:r w:rsidRPr="00141D7A">
              <w:rPr>
                <w:sz w:val="20"/>
                <w:szCs w:val="20"/>
              </w:rPr>
              <w:t xml:space="preserve">Средства за набавку уџбеника и за остале организоване активности за </w:t>
            </w:r>
            <w:proofErr w:type="spellStart"/>
            <w:r w:rsidRPr="00141D7A">
              <w:rPr>
                <w:sz w:val="20"/>
                <w:szCs w:val="20"/>
              </w:rPr>
              <w:t>дјецу</w:t>
            </w:r>
            <w:proofErr w:type="spellEnd"/>
            <w:r w:rsidRPr="00141D7A">
              <w:rPr>
                <w:sz w:val="20"/>
                <w:szCs w:val="20"/>
              </w:rPr>
              <w:t xml:space="preserve"> бораца ВРС и РВИ</w:t>
            </w:r>
          </w:p>
        </w:tc>
        <w:tc>
          <w:tcPr>
            <w:tcW w:w="1701" w:type="dxa"/>
            <w:tcBorders>
              <w:top w:val="nil"/>
              <w:left w:val="nil"/>
              <w:bottom w:val="single" w:sz="4" w:space="0" w:color="auto"/>
              <w:right w:val="double" w:sz="6" w:space="0" w:color="auto"/>
            </w:tcBorders>
            <w:shd w:val="clear" w:color="000000" w:fill="FFFFFF"/>
            <w:noWrap/>
            <w:vAlign w:val="center"/>
            <w:hideMark/>
          </w:tcPr>
          <w:p w14:paraId="04C12859" w14:textId="77777777" w:rsidR="00141D7A" w:rsidRPr="00141D7A" w:rsidRDefault="00141D7A" w:rsidP="00141D7A">
            <w:pPr>
              <w:ind w:left="0" w:right="0" w:firstLine="0"/>
              <w:jc w:val="right"/>
              <w:rPr>
                <w:rFonts w:ascii="Arial" w:hAnsi="Arial" w:cs="Arial"/>
                <w:sz w:val="20"/>
                <w:szCs w:val="20"/>
              </w:rPr>
            </w:pPr>
            <w:r w:rsidRPr="00141D7A">
              <w:rPr>
                <w:rFonts w:ascii="Arial" w:hAnsi="Arial" w:cs="Arial"/>
                <w:sz w:val="20"/>
                <w:szCs w:val="20"/>
              </w:rPr>
              <w:t>8.143,50</w:t>
            </w:r>
          </w:p>
        </w:tc>
      </w:tr>
      <w:tr w:rsidR="00141D7A" w:rsidRPr="00141D7A" w14:paraId="7DFF661F" w14:textId="77777777" w:rsidTr="00141D7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0171E97E" w14:textId="77777777" w:rsidR="00141D7A" w:rsidRPr="00141D7A" w:rsidRDefault="00141D7A" w:rsidP="00141D7A">
            <w:pPr>
              <w:ind w:left="0" w:right="0" w:firstLine="0"/>
              <w:jc w:val="center"/>
              <w:rPr>
                <w:sz w:val="20"/>
                <w:szCs w:val="20"/>
              </w:rPr>
            </w:pPr>
            <w:r w:rsidRPr="00141D7A">
              <w:rPr>
                <w:sz w:val="20"/>
                <w:szCs w:val="20"/>
              </w:rPr>
              <w:t>35</w:t>
            </w:r>
          </w:p>
        </w:tc>
        <w:tc>
          <w:tcPr>
            <w:tcW w:w="7660" w:type="dxa"/>
            <w:tcBorders>
              <w:top w:val="nil"/>
              <w:left w:val="nil"/>
              <w:bottom w:val="single" w:sz="4" w:space="0" w:color="auto"/>
              <w:right w:val="single" w:sz="4" w:space="0" w:color="auto"/>
            </w:tcBorders>
            <w:shd w:val="clear" w:color="auto" w:fill="auto"/>
            <w:vAlign w:val="center"/>
            <w:hideMark/>
          </w:tcPr>
          <w:p w14:paraId="0A173D1A" w14:textId="77777777" w:rsidR="00141D7A" w:rsidRPr="00141D7A" w:rsidRDefault="00141D7A" w:rsidP="00141D7A">
            <w:pPr>
              <w:ind w:left="0" w:right="0" w:firstLine="0"/>
              <w:jc w:val="left"/>
              <w:rPr>
                <w:sz w:val="20"/>
                <w:szCs w:val="20"/>
              </w:rPr>
            </w:pPr>
            <w:r w:rsidRPr="00141D7A">
              <w:rPr>
                <w:sz w:val="20"/>
                <w:szCs w:val="20"/>
              </w:rPr>
              <w:t xml:space="preserve">Средства за организовање парастоса погинулим борцима ВРС у </w:t>
            </w:r>
            <w:proofErr w:type="spellStart"/>
            <w:r w:rsidRPr="00141D7A">
              <w:rPr>
                <w:sz w:val="20"/>
                <w:szCs w:val="20"/>
              </w:rPr>
              <w:t>мјесним</w:t>
            </w:r>
            <w:proofErr w:type="spellEnd"/>
            <w:r w:rsidRPr="00141D7A">
              <w:rPr>
                <w:sz w:val="20"/>
                <w:szCs w:val="20"/>
              </w:rPr>
              <w:t xml:space="preserve"> заједницама</w:t>
            </w:r>
          </w:p>
        </w:tc>
        <w:tc>
          <w:tcPr>
            <w:tcW w:w="1701" w:type="dxa"/>
            <w:tcBorders>
              <w:top w:val="nil"/>
              <w:left w:val="nil"/>
              <w:bottom w:val="single" w:sz="4" w:space="0" w:color="auto"/>
              <w:right w:val="double" w:sz="6" w:space="0" w:color="auto"/>
            </w:tcBorders>
            <w:shd w:val="clear" w:color="000000" w:fill="FFFFFF"/>
            <w:noWrap/>
            <w:vAlign w:val="center"/>
            <w:hideMark/>
          </w:tcPr>
          <w:p w14:paraId="388FC182" w14:textId="77777777" w:rsidR="00141D7A" w:rsidRPr="00141D7A" w:rsidRDefault="00141D7A" w:rsidP="00141D7A">
            <w:pPr>
              <w:ind w:left="0" w:right="0" w:firstLine="0"/>
              <w:jc w:val="right"/>
              <w:rPr>
                <w:rFonts w:ascii="Arial" w:hAnsi="Arial" w:cs="Arial"/>
                <w:sz w:val="20"/>
                <w:szCs w:val="20"/>
              </w:rPr>
            </w:pPr>
            <w:r w:rsidRPr="00141D7A">
              <w:rPr>
                <w:rFonts w:ascii="Arial" w:hAnsi="Arial" w:cs="Arial"/>
                <w:sz w:val="20"/>
                <w:szCs w:val="20"/>
              </w:rPr>
              <w:t>1.102,00</w:t>
            </w:r>
          </w:p>
        </w:tc>
      </w:tr>
      <w:tr w:rsidR="00141D7A" w:rsidRPr="00141D7A" w14:paraId="1699A71F" w14:textId="77777777" w:rsidTr="00141D7A">
        <w:trPr>
          <w:trHeight w:val="270"/>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49FDA873" w14:textId="77777777" w:rsidR="00141D7A" w:rsidRPr="00141D7A" w:rsidRDefault="00141D7A" w:rsidP="00141D7A">
            <w:pPr>
              <w:ind w:left="0" w:right="0" w:firstLine="0"/>
              <w:jc w:val="center"/>
              <w:rPr>
                <w:sz w:val="20"/>
                <w:szCs w:val="20"/>
              </w:rPr>
            </w:pPr>
            <w:r w:rsidRPr="00141D7A">
              <w:rPr>
                <w:sz w:val="20"/>
                <w:szCs w:val="20"/>
              </w:rPr>
              <w:t>36</w:t>
            </w:r>
          </w:p>
        </w:tc>
        <w:tc>
          <w:tcPr>
            <w:tcW w:w="7660" w:type="dxa"/>
            <w:tcBorders>
              <w:top w:val="nil"/>
              <w:left w:val="nil"/>
              <w:bottom w:val="nil"/>
              <w:right w:val="single" w:sz="4" w:space="0" w:color="auto"/>
            </w:tcBorders>
            <w:shd w:val="clear" w:color="auto" w:fill="auto"/>
            <w:vAlign w:val="bottom"/>
            <w:hideMark/>
          </w:tcPr>
          <w:p w14:paraId="233420EA" w14:textId="77777777" w:rsidR="00141D7A" w:rsidRPr="00141D7A" w:rsidRDefault="00141D7A" w:rsidP="00141D7A">
            <w:pPr>
              <w:ind w:left="0" w:right="0" w:firstLine="0"/>
              <w:jc w:val="left"/>
              <w:rPr>
                <w:sz w:val="20"/>
                <w:szCs w:val="20"/>
              </w:rPr>
            </w:pPr>
            <w:r w:rsidRPr="00141D7A">
              <w:rPr>
                <w:sz w:val="20"/>
                <w:szCs w:val="20"/>
              </w:rPr>
              <w:t xml:space="preserve">Помоћ сеоским водоводима из </w:t>
            </w:r>
            <w:proofErr w:type="spellStart"/>
            <w:r w:rsidRPr="00141D7A">
              <w:rPr>
                <w:sz w:val="20"/>
                <w:szCs w:val="20"/>
              </w:rPr>
              <w:t>намјенских</w:t>
            </w:r>
            <w:proofErr w:type="spellEnd"/>
            <w:r w:rsidRPr="00141D7A">
              <w:rPr>
                <w:sz w:val="20"/>
                <w:szCs w:val="20"/>
              </w:rPr>
              <w:t xml:space="preserve"> средстава за воде</w:t>
            </w:r>
          </w:p>
        </w:tc>
        <w:tc>
          <w:tcPr>
            <w:tcW w:w="1701" w:type="dxa"/>
            <w:tcBorders>
              <w:top w:val="nil"/>
              <w:left w:val="nil"/>
              <w:bottom w:val="nil"/>
              <w:right w:val="double" w:sz="6" w:space="0" w:color="auto"/>
            </w:tcBorders>
            <w:shd w:val="clear" w:color="000000" w:fill="FFFFFF"/>
            <w:noWrap/>
            <w:vAlign w:val="center"/>
            <w:hideMark/>
          </w:tcPr>
          <w:p w14:paraId="21DF8262" w14:textId="77777777" w:rsidR="00141D7A" w:rsidRPr="00141D7A" w:rsidRDefault="00141D7A" w:rsidP="00141D7A">
            <w:pPr>
              <w:ind w:left="0" w:right="0" w:firstLine="0"/>
              <w:jc w:val="right"/>
              <w:rPr>
                <w:rFonts w:ascii="Arial" w:hAnsi="Arial" w:cs="Arial"/>
                <w:sz w:val="20"/>
                <w:szCs w:val="20"/>
              </w:rPr>
            </w:pPr>
            <w:r w:rsidRPr="00141D7A">
              <w:rPr>
                <w:rFonts w:ascii="Arial" w:hAnsi="Arial" w:cs="Arial"/>
                <w:sz w:val="20"/>
                <w:szCs w:val="20"/>
              </w:rPr>
              <w:t>30.000,00</w:t>
            </w:r>
          </w:p>
        </w:tc>
      </w:tr>
      <w:tr w:rsidR="00141D7A" w:rsidRPr="00141D7A" w14:paraId="6B52E829" w14:textId="77777777" w:rsidTr="00141D7A">
        <w:trPr>
          <w:trHeight w:val="439"/>
        </w:trPr>
        <w:tc>
          <w:tcPr>
            <w:tcW w:w="8199" w:type="dxa"/>
            <w:gridSpan w:val="2"/>
            <w:tcBorders>
              <w:top w:val="double" w:sz="6" w:space="0" w:color="auto"/>
              <w:left w:val="double" w:sz="6" w:space="0" w:color="auto"/>
              <w:bottom w:val="double" w:sz="6" w:space="0" w:color="auto"/>
              <w:right w:val="single" w:sz="4" w:space="0" w:color="auto"/>
            </w:tcBorders>
            <w:shd w:val="clear" w:color="auto" w:fill="auto"/>
            <w:vAlign w:val="center"/>
            <w:hideMark/>
          </w:tcPr>
          <w:p w14:paraId="1FAD089C" w14:textId="77777777" w:rsidR="00141D7A" w:rsidRPr="00141D7A" w:rsidRDefault="00141D7A" w:rsidP="00141D7A">
            <w:pPr>
              <w:ind w:left="0" w:right="0" w:firstLine="0"/>
              <w:jc w:val="center"/>
              <w:rPr>
                <w:b/>
                <w:bCs/>
                <w:sz w:val="20"/>
                <w:szCs w:val="20"/>
              </w:rPr>
            </w:pPr>
            <w:r w:rsidRPr="00141D7A">
              <w:rPr>
                <w:b/>
                <w:bCs/>
                <w:sz w:val="20"/>
                <w:szCs w:val="20"/>
              </w:rPr>
              <w:t>У К У П Н О</w:t>
            </w:r>
          </w:p>
        </w:tc>
        <w:tc>
          <w:tcPr>
            <w:tcW w:w="1701" w:type="dxa"/>
            <w:tcBorders>
              <w:top w:val="double" w:sz="6" w:space="0" w:color="auto"/>
              <w:left w:val="nil"/>
              <w:bottom w:val="double" w:sz="6" w:space="0" w:color="auto"/>
              <w:right w:val="double" w:sz="6" w:space="0" w:color="auto"/>
            </w:tcBorders>
            <w:shd w:val="clear" w:color="auto" w:fill="auto"/>
            <w:noWrap/>
            <w:vAlign w:val="center"/>
            <w:hideMark/>
          </w:tcPr>
          <w:p w14:paraId="4C3012ED" w14:textId="77777777" w:rsidR="00141D7A" w:rsidRPr="00141D7A" w:rsidRDefault="00141D7A" w:rsidP="00141D7A">
            <w:pPr>
              <w:ind w:left="0" w:right="0" w:firstLine="0"/>
              <w:jc w:val="right"/>
              <w:rPr>
                <w:rFonts w:ascii="Arial" w:hAnsi="Arial" w:cs="Arial"/>
                <w:b/>
                <w:bCs/>
                <w:sz w:val="20"/>
                <w:szCs w:val="20"/>
              </w:rPr>
            </w:pPr>
            <w:r w:rsidRPr="00141D7A">
              <w:rPr>
                <w:rFonts w:ascii="Arial" w:hAnsi="Arial" w:cs="Arial"/>
                <w:b/>
                <w:bCs/>
                <w:sz w:val="20"/>
                <w:szCs w:val="20"/>
              </w:rPr>
              <w:t>1.327.712,51</w:t>
            </w:r>
          </w:p>
        </w:tc>
      </w:tr>
    </w:tbl>
    <w:p w14:paraId="66A15378" w14:textId="77777777" w:rsidR="00141D7A" w:rsidRPr="00141D7A" w:rsidRDefault="00141D7A" w:rsidP="00821838">
      <w:pPr>
        <w:ind w:left="0" w:firstLine="0"/>
      </w:pPr>
    </w:p>
    <w:p w14:paraId="560C160F" w14:textId="77777777" w:rsidR="00260FCE" w:rsidRDefault="00260FCE" w:rsidP="00260FCE">
      <w:pPr>
        <w:ind w:left="0" w:firstLine="720"/>
        <w:rPr>
          <w:bCs/>
          <w:iCs/>
        </w:rPr>
      </w:pPr>
      <w:r>
        <w:rPr>
          <w:bCs/>
          <w:iCs/>
        </w:rPr>
        <w:t xml:space="preserve">У наставку дајемо аналитику утрошка </w:t>
      </w:r>
      <w:proofErr w:type="spellStart"/>
      <w:r>
        <w:rPr>
          <w:bCs/>
          <w:iCs/>
        </w:rPr>
        <w:t>дозначених</w:t>
      </w:r>
      <w:proofErr w:type="spellEnd"/>
      <w:r>
        <w:rPr>
          <w:bCs/>
          <w:iCs/>
        </w:rPr>
        <w:t xml:space="preserve"> средстава </w:t>
      </w:r>
      <w:proofErr w:type="spellStart"/>
      <w:r>
        <w:rPr>
          <w:bCs/>
          <w:iCs/>
        </w:rPr>
        <w:t>гранта</w:t>
      </w:r>
      <w:proofErr w:type="spellEnd"/>
      <w:r>
        <w:rPr>
          <w:bCs/>
          <w:iCs/>
        </w:rPr>
        <w:t xml:space="preserve"> са неколико буџетских позиција </w:t>
      </w:r>
      <w:proofErr w:type="spellStart"/>
      <w:r>
        <w:rPr>
          <w:bCs/>
          <w:iCs/>
        </w:rPr>
        <w:t>гдје</w:t>
      </w:r>
      <w:proofErr w:type="spellEnd"/>
      <w:r>
        <w:rPr>
          <w:bCs/>
          <w:iCs/>
        </w:rPr>
        <w:t xml:space="preserve"> се из извршења буџетске позиције не види како су средства распоређена, а сматрамо да је потребно детаљније образложење. </w:t>
      </w:r>
    </w:p>
    <w:p w14:paraId="28B713C5" w14:textId="77777777" w:rsidR="00A760AE" w:rsidRDefault="00A760AE" w:rsidP="00522DF9">
      <w:pPr>
        <w:ind w:left="0" w:right="-794" w:firstLine="0"/>
        <w:rPr>
          <w:b/>
          <w:i/>
        </w:rPr>
      </w:pPr>
    </w:p>
    <w:p w14:paraId="127E29A3" w14:textId="77777777" w:rsidR="003E0BA8" w:rsidRPr="00A760AE" w:rsidRDefault="003E0BA8" w:rsidP="00A760AE">
      <w:pPr>
        <w:ind w:left="0" w:right="-794" w:firstLine="720"/>
        <w:rPr>
          <w:b/>
          <w:i/>
        </w:rPr>
      </w:pPr>
      <w:r>
        <w:rPr>
          <w:b/>
          <w:i/>
        </w:rPr>
        <w:t>Средства</w:t>
      </w:r>
      <w:r w:rsidRPr="00363CCF">
        <w:rPr>
          <w:b/>
          <w:i/>
        </w:rPr>
        <w:t xml:space="preserve"> за подстицај и развој спорта</w:t>
      </w:r>
      <w:r w:rsidR="004468FB">
        <w:rPr>
          <w:b/>
          <w:i/>
          <w:lang w:val="sr-Cyrl-RS"/>
        </w:rPr>
        <w:t xml:space="preserve"> </w:t>
      </w:r>
      <w:r>
        <w:t xml:space="preserve">(потрошачка јединица 00750150) </w:t>
      </w:r>
      <w:r w:rsidRPr="00363CCF">
        <w:t>реализован</w:t>
      </w:r>
      <w:r>
        <w:t>а су</w:t>
      </w:r>
      <w:r w:rsidRPr="00363CCF">
        <w:t xml:space="preserve"> у </w:t>
      </w:r>
      <w:r>
        <w:t xml:space="preserve">укупном </w:t>
      </w:r>
      <w:r w:rsidRPr="00363CCF">
        <w:t xml:space="preserve">износу од </w:t>
      </w:r>
      <w:r w:rsidR="00141D7A">
        <w:t>267.887,84</w:t>
      </w:r>
      <w:r w:rsidRPr="00363CCF">
        <w:t xml:space="preserve"> КМ, што је </w:t>
      </w:r>
      <w:r w:rsidR="00141D7A">
        <w:t>87,82</w:t>
      </w:r>
      <w:r>
        <w:t>% у односу на план</w:t>
      </w:r>
      <w:r w:rsidR="00077A11">
        <w:t xml:space="preserve"> са извршеним </w:t>
      </w:r>
      <w:proofErr w:type="spellStart"/>
      <w:r w:rsidR="00077A11">
        <w:t>реалокацијама</w:t>
      </w:r>
      <w:proofErr w:type="spellEnd"/>
      <w:r w:rsidRPr="00363CCF">
        <w:t xml:space="preserve">. </w:t>
      </w:r>
      <w:r>
        <w:t xml:space="preserve">Програмом развоја спорта на </w:t>
      </w:r>
      <w:r w:rsidR="00077A11">
        <w:t>подручју општине Прњавор за 2020</w:t>
      </w:r>
      <w:r>
        <w:t xml:space="preserve">. годину („Службени гласник општине Прњавор“, бр. </w:t>
      </w:r>
      <w:r w:rsidR="00077A11">
        <w:t>7/20</w:t>
      </w:r>
      <w:r>
        <w:t xml:space="preserve">) дефинисани су </w:t>
      </w:r>
      <w:proofErr w:type="spellStart"/>
      <w:r>
        <w:t>расподјела</w:t>
      </w:r>
      <w:proofErr w:type="spellEnd"/>
      <w:r w:rsidR="005B3AE9">
        <w:t xml:space="preserve">, корисници и начин </w:t>
      </w:r>
      <w:proofErr w:type="spellStart"/>
      <w:r w:rsidR="005B3AE9">
        <w:t>додјеле</w:t>
      </w:r>
      <w:proofErr w:type="spellEnd"/>
      <w:r>
        <w:t xml:space="preserve"> средстава за </w:t>
      </w:r>
      <w:r w:rsidR="005B3AE9">
        <w:t xml:space="preserve">подстицај </w:t>
      </w:r>
      <w:r w:rsidR="00077A11">
        <w:t>и развој спорта за 2020</w:t>
      </w:r>
      <w:r w:rsidR="001A5B1D">
        <w:t xml:space="preserve">. годину, као и манифестације које се финансирају из средстава </w:t>
      </w:r>
      <w:proofErr w:type="spellStart"/>
      <w:r w:rsidR="001A5B1D">
        <w:t>предвиђених</w:t>
      </w:r>
      <w:proofErr w:type="spellEnd"/>
      <w:r w:rsidR="001A5B1D">
        <w:t xml:space="preserve"> буџетом општине.</w:t>
      </w:r>
      <w:r w:rsidR="00716212">
        <w:rPr>
          <w:lang w:val="sr-Latn-RS"/>
        </w:rPr>
        <w:t xml:space="preserve"> </w:t>
      </w:r>
      <w:r w:rsidR="001A5B1D">
        <w:t>У</w:t>
      </w:r>
      <w:r>
        <w:t xml:space="preserve"> складу са Програмом, </w:t>
      </w:r>
      <w:r w:rsidR="001A5B1D">
        <w:t>средства за подстицај и развој спорта су реализована</w:t>
      </w:r>
      <w:r>
        <w:t xml:space="preserve"> у износу од </w:t>
      </w:r>
      <w:r w:rsidR="00141D7A">
        <w:t>212.838,00</w:t>
      </w:r>
      <w:r>
        <w:t xml:space="preserve"> КМ, док је из средстава текуће буџетске резерве </w:t>
      </w:r>
      <w:proofErr w:type="spellStart"/>
      <w:r w:rsidR="001A5B1D">
        <w:t>обезбијеђено</w:t>
      </w:r>
      <w:proofErr w:type="spellEnd"/>
      <w:r w:rsidR="004468FB">
        <w:rPr>
          <w:lang w:val="sr-Cyrl-RS"/>
        </w:rPr>
        <w:t xml:space="preserve"> </w:t>
      </w:r>
      <w:r w:rsidR="00141D7A">
        <w:t>55.049</w:t>
      </w:r>
      <w:r w:rsidR="00AE5320">
        <w:t>,84</w:t>
      </w:r>
      <w:r>
        <w:t xml:space="preserve"> КМ. </w:t>
      </w:r>
      <w:r w:rsidRPr="00363CCF">
        <w:t xml:space="preserve">У </w:t>
      </w:r>
      <w:r>
        <w:t>наредној табели</w:t>
      </w:r>
      <w:r w:rsidR="004468FB">
        <w:rPr>
          <w:lang w:val="sr-Cyrl-RS"/>
        </w:rPr>
        <w:t xml:space="preserve"> </w:t>
      </w:r>
      <w:r>
        <w:t>дат је</w:t>
      </w:r>
      <w:r w:rsidRPr="00363CCF">
        <w:t xml:space="preserve"> преглед спортских клубова и организација којима су дозначена средства из буџета општине Прњавор</w:t>
      </w:r>
      <w:r w:rsidR="00AE5320">
        <w:t xml:space="preserve"> у </w:t>
      </w:r>
      <w:r w:rsidR="00141D7A">
        <w:t>2020. години</w:t>
      </w:r>
      <w:r>
        <w:t xml:space="preserve">. </w:t>
      </w:r>
    </w:p>
    <w:p w14:paraId="0D10071E" w14:textId="77777777" w:rsidR="00595401" w:rsidRPr="00F52AD4" w:rsidRDefault="00595401" w:rsidP="007849A4">
      <w:pPr>
        <w:ind w:left="0" w:right="-794" w:firstLine="0"/>
      </w:pPr>
    </w:p>
    <w:p w14:paraId="3AEDC684" w14:textId="77777777" w:rsidR="003E0BA8" w:rsidRDefault="003E0BA8" w:rsidP="003E0BA8">
      <w:pPr>
        <w:ind w:left="0" w:firstLine="0"/>
        <w:jc w:val="center"/>
        <w:rPr>
          <w:lang w:val="sr-Cyrl-BA"/>
        </w:rPr>
      </w:pPr>
      <w:r w:rsidRPr="00210595">
        <w:rPr>
          <w:lang w:val="sr-Cyrl-BA"/>
        </w:rPr>
        <w:t>Табела</w:t>
      </w:r>
      <w:r>
        <w:t xml:space="preserve"> бр. </w:t>
      </w:r>
      <w:r w:rsidR="00E97428">
        <w:rPr>
          <w:lang w:val="sr-Cyrl-BA"/>
        </w:rPr>
        <w:t>7</w:t>
      </w:r>
      <w:r>
        <w:rPr>
          <w:lang w:val="sr-Cyrl-BA"/>
        </w:rPr>
        <w:t>. Спортски клубови и организације којима су дозначена средства</w:t>
      </w:r>
    </w:p>
    <w:p w14:paraId="4EE58DC5" w14:textId="77777777" w:rsidR="003E0BA8" w:rsidRDefault="00141D7A" w:rsidP="003E0BA8">
      <w:pPr>
        <w:ind w:left="0" w:firstLine="0"/>
        <w:jc w:val="center"/>
        <w:rPr>
          <w:lang w:val="sr-Cyrl-BA"/>
        </w:rPr>
      </w:pPr>
      <w:r>
        <w:rPr>
          <w:lang w:val="sr-Cyrl-BA"/>
        </w:rPr>
        <w:t>у периоду 01.01-31.12</w:t>
      </w:r>
      <w:r w:rsidR="00AE5320">
        <w:rPr>
          <w:lang w:val="sr-Cyrl-BA"/>
        </w:rPr>
        <w:t>.2020</w:t>
      </w:r>
      <w:r w:rsidR="003E0BA8">
        <w:rPr>
          <w:lang w:val="sr-Cyrl-BA"/>
        </w:rPr>
        <w:t>. године</w:t>
      </w:r>
    </w:p>
    <w:tbl>
      <w:tblPr>
        <w:tblW w:w="9616" w:type="dxa"/>
        <w:tblLook w:val="04A0" w:firstRow="1" w:lastRow="0" w:firstColumn="1" w:lastColumn="0" w:noHBand="0" w:noVBand="1"/>
      </w:tblPr>
      <w:tblGrid>
        <w:gridCol w:w="539"/>
        <w:gridCol w:w="4967"/>
        <w:gridCol w:w="1417"/>
        <w:gridCol w:w="1320"/>
        <w:gridCol w:w="1373"/>
      </w:tblGrid>
      <w:tr w:rsidR="00141D7A" w:rsidRPr="00141D7A" w14:paraId="1A82A978" w14:textId="77777777" w:rsidTr="00141D7A">
        <w:trPr>
          <w:trHeight w:val="330"/>
          <w:tblHeader/>
        </w:trPr>
        <w:tc>
          <w:tcPr>
            <w:tcW w:w="539"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14:paraId="577C93E9" w14:textId="77777777" w:rsidR="00141D7A" w:rsidRPr="00141D7A" w:rsidRDefault="00141D7A" w:rsidP="00141D7A">
            <w:pPr>
              <w:ind w:left="0" w:right="0" w:firstLine="0"/>
              <w:jc w:val="center"/>
              <w:rPr>
                <w:b/>
                <w:bCs/>
                <w:sz w:val="20"/>
                <w:szCs w:val="20"/>
              </w:rPr>
            </w:pPr>
            <w:proofErr w:type="spellStart"/>
            <w:r w:rsidRPr="00141D7A">
              <w:rPr>
                <w:b/>
                <w:bCs/>
                <w:sz w:val="20"/>
                <w:szCs w:val="20"/>
              </w:rPr>
              <w:t>Р.б</w:t>
            </w:r>
            <w:proofErr w:type="spellEnd"/>
            <w:r w:rsidRPr="00141D7A">
              <w:rPr>
                <w:b/>
                <w:bCs/>
                <w:sz w:val="20"/>
                <w:szCs w:val="20"/>
              </w:rPr>
              <w:t>.</w:t>
            </w:r>
          </w:p>
        </w:tc>
        <w:tc>
          <w:tcPr>
            <w:tcW w:w="4967" w:type="dxa"/>
            <w:vMerge w:val="restart"/>
            <w:tcBorders>
              <w:top w:val="double" w:sz="6" w:space="0" w:color="auto"/>
              <w:left w:val="nil"/>
              <w:bottom w:val="double" w:sz="6" w:space="0" w:color="000000"/>
              <w:right w:val="single" w:sz="4" w:space="0" w:color="auto"/>
            </w:tcBorders>
            <w:shd w:val="clear" w:color="auto" w:fill="auto"/>
            <w:vAlign w:val="center"/>
            <w:hideMark/>
          </w:tcPr>
          <w:p w14:paraId="61432736" w14:textId="77777777" w:rsidR="00141D7A" w:rsidRPr="00141D7A" w:rsidRDefault="00141D7A" w:rsidP="00141D7A">
            <w:pPr>
              <w:ind w:left="0" w:right="0" w:firstLine="0"/>
              <w:jc w:val="center"/>
              <w:rPr>
                <w:b/>
                <w:bCs/>
                <w:sz w:val="20"/>
                <w:szCs w:val="20"/>
              </w:rPr>
            </w:pPr>
            <w:r w:rsidRPr="00141D7A">
              <w:rPr>
                <w:b/>
                <w:bCs/>
                <w:sz w:val="20"/>
                <w:szCs w:val="20"/>
              </w:rPr>
              <w:t>Назив спортског колектива</w:t>
            </w:r>
          </w:p>
        </w:tc>
        <w:tc>
          <w:tcPr>
            <w:tcW w:w="4110" w:type="dxa"/>
            <w:gridSpan w:val="3"/>
            <w:tcBorders>
              <w:top w:val="double" w:sz="6" w:space="0" w:color="auto"/>
              <w:left w:val="nil"/>
              <w:bottom w:val="single" w:sz="4" w:space="0" w:color="auto"/>
              <w:right w:val="double" w:sz="6" w:space="0" w:color="000000"/>
            </w:tcBorders>
            <w:shd w:val="clear" w:color="auto" w:fill="auto"/>
            <w:vAlign w:val="center"/>
            <w:hideMark/>
          </w:tcPr>
          <w:p w14:paraId="68442D17" w14:textId="77777777" w:rsidR="00141D7A" w:rsidRPr="00141D7A" w:rsidRDefault="00141D7A" w:rsidP="00141D7A">
            <w:pPr>
              <w:ind w:left="0" w:right="0" w:firstLine="0"/>
              <w:jc w:val="center"/>
              <w:rPr>
                <w:b/>
                <w:bCs/>
                <w:sz w:val="20"/>
                <w:szCs w:val="20"/>
              </w:rPr>
            </w:pPr>
            <w:r w:rsidRPr="00141D7A">
              <w:rPr>
                <w:b/>
                <w:bCs/>
                <w:sz w:val="20"/>
                <w:szCs w:val="20"/>
              </w:rPr>
              <w:t>Износ (КМ)</w:t>
            </w:r>
          </w:p>
        </w:tc>
      </w:tr>
      <w:tr w:rsidR="00141D7A" w:rsidRPr="00141D7A" w14:paraId="7B6692EE" w14:textId="77777777" w:rsidTr="00141D7A">
        <w:trPr>
          <w:trHeight w:val="330"/>
          <w:tblHeader/>
        </w:trPr>
        <w:tc>
          <w:tcPr>
            <w:tcW w:w="539" w:type="dxa"/>
            <w:vMerge/>
            <w:tcBorders>
              <w:top w:val="double" w:sz="6" w:space="0" w:color="auto"/>
              <w:left w:val="double" w:sz="6" w:space="0" w:color="auto"/>
              <w:bottom w:val="double" w:sz="6" w:space="0" w:color="000000"/>
              <w:right w:val="single" w:sz="4" w:space="0" w:color="auto"/>
            </w:tcBorders>
            <w:vAlign w:val="center"/>
            <w:hideMark/>
          </w:tcPr>
          <w:p w14:paraId="21AC1977" w14:textId="77777777" w:rsidR="00141D7A" w:rsidRPr="00141D7A" w:rsidRDefault="00141D7A" w:rsidP="00141D7A">
            <w:pPr>
              <w:ind w:left="0" w:right="0" w:firstLine="0"/>
              <w:jc w:val="left"/>
              <w:rPr>
                <w:b/>
                <w:bCs/>
                <w:sz w:val="20"/>
                <w:szCs w:val="20"/>
              </w:rPr>
            </w:pPr>
          </w:p>
        </w:tc>
        <w:tc>
          <w:tcPr>
            <w:tcW w:w="4967" w:type="dxa"/>
            <w:vMerge/>
            <w:tcBorders>
              <w:top w:val="double" w:sz="6" w:space="0" w:color="auto"/>
              <w:left w:val="nil"/>
              <w:bottom w:val="double" w:sz="6" w:space="0" w:color="000000"/>
              <w:right w:val="single" w:sz="4" w:space="0" w:color="auto"/>
            </w:tcBorders>
            <w:vAlign w:val="center"/>
            <w:hideMark/>
          </w:tcPr>
          <w:p w14:paraId="6259BEE6" w14:textId="77777777" w:rsidR="00141D7A" w:rsidRPr="00141D7A" w:rsidRDefault="00141D7A" w:rsidP="00141D7A">
            <w:pPr>
              <w:ind w:left="0" w:right="0" w:firstLine="0"/>
              <w:jc w:val="left"/>
              <w:rPr>
                <w:b/>
                <w:bCs/>
                <w:sz w:val="20"/>
                <w:szCs w:val="20"/>
              </w:rPr>
            </w:pPr>
          </w:p>
        </w:tc>
        <w:tc>
          <w:tcPr>
            <w:tcW w:w="1417" w:type="dxa"/>
            <w:tcBorders>
              <w:top w:val="nil"/>
              <w:left w:val="nil"/>
              <w:bottom w:val="double" w:sz="6" w:space="0" w:color="auto"/>
              <w:right w:val="nil"/>
            </w:tcBorders>
            <w:shd w:val="clear" w:color="auto" w:fill="auto"/>
            <w:vAlign w:val="center"/>
            <w:hideMark/>
          </w:tcPr>
          <w:p w14:paraId="27FD6123" w14:textId="77777777" w:rsidR="00141D7A" w:rsidRPr="00141D7A" w:rsidRDefault="00141D7A" w:rsidP="00141D7A">
            <w:pPr>
              <w:ind w:left="0" w:right="0" w:firstLine="0"/>
              <w:jc w:val="center"/>
              <w:rPr>
                <w:b/>
                <w:bCs/>
                <w:sz w:val="20"/>
                <w:szCs w:val="20"/>
              </w:rPr>
            </w:pPr>
            <w:r w:rsidRPr="00141D7A">
              <w:rPr>
                <w:b/>
                <w:bCs/>
                <w:sz w:val="20"/>
                <w:szCs w:val="20"/>
              </w:rPr>
              <w:t>Редовно</w:t>
            </w:r>
          </w:p>
        </w:tc>
        <w:tc>
          <w:tcPr>
            <w:tcW w:w="1320" w:type="dxa"/>
            <w:tcBorders>
              <w:top w:val="nil"/>
              <w:left w:val="single" w:sz="4" w:space="0" w:color="auto"/>
              <w:bottom w:val="double" w:sz="6" w:space="0" w:color="auto"/>
              <w:right w:val="nil"/>
            </w:tcBorders>
            <w:shd w:val="clear" w:color="auto" w:fill="auto"/>
            <w:vAlign w:val="center"/>
            <w:hideMark/>
          </w:tcPr>
          <w:p w14:paraId="3E843E8D" w14:textId="77777777" w:rsidR="00141D7A" w:rsidRPr="00141D7A" w:rsidRDefault="00141D7A" w:rsidP="00141D7A">
            <w:pPr>
              <w:ind w:left="0" w:right="0" w:firstLine="0"/>
              <w:jc w:val="center"/>
              <w:rPr>
                <w:b/>
                <w:bCs/>
                <w:sz w:val="20"/>
                <w:szCs w:val="20"/>
              </w:rPr>
            </w:pPr>
            <w:proofErr w:type="spellStart"/>
            <w:r w:rsidRPr="00141D7A">
              <w:rPr>
                <w:b/>
                <w:bCs/>
                <w:sz w:val="20"/>
                <w:szCs w:val="20"/>
              </w:rPr>
              <w:t>Буџ.резерва</w:t>
            </w:r>
            <w:proofErr w:type="spellEnd"/>
          </w:p>
        </w:tc>
        <w:tc>
          <w:tcPr>
            <w:tcW w:w="1373" w:type="dxa"/>
            <w:tcBorders>
              <w:top w:val="nil"/>
              <w:left w:val="single" w:sz="4" w:space="0" w:color="auto"/>
              <w:bottom w:val="double" w:sz="6" w:space="0" w:color="auto"/>
              <w:right w:val="double" w:sz="6" w:space="0" w:color="auto"/>
            </w:tcBorders>
            <w:shd w:val="clear" w:color="auto" w:fill="auto"/>
            <w:vAlign w:val="center"/>
            <w:hideMark/>
          </w:tcPr>
          <w:p w14:paraId="726081F5" w14:textId="77777777" w:rsidR="00141D7A" w:rsidRPr="00141D7A" w:rsidRDefault="00141D7A" w:rsidP="00141D7A">
            <w:pPr>
              <w:ind w:left="0" w:right="0" w:firstLine="0"/>
              <w:jc w:val="center"/>
              <w:rPr>
                <w:b/>
                <w:bCs/>
                <w:sz w:val="20"/>
                <w:szCs w:val="20"/>
              </w:rPr>
            </w:pPr>
            <w:r w:rsidRPr="00141D7A">
              <w:rPr>
                <w:b/>
                <w:bCs/>
                <w:sz w:val="20"/>
                <w:szCs w:val="20"/>
              </w:rPr>
              <w:t>Укупно</w:t>
            </w:r>
          </w:p>
        </w:tc>
      </w:tr>
      <w:tr w:rsidR="00141D7A" w:rsidRPr="00141D7A" w14:paraId="37D82BFA" w14:textId="77777777" w:rsidTr="00141D7A">
        <w:trPr>
          <w:trHeight w:val="270"/>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291FA947" w14:textId="77777777" w:rsidR="00141D7A" w:rsidRPr="00141D7A" w:rsidRDefault="00141D7A" w:rsidP="00141D7A">
            <w:pPr>
              <w:ind w:left="0" w:right="0" w:firstLine="0"/>
              <w:jc w:val="center"/>
              <w:rPr>
                <w:sz w:val="20"/>
                <w:szCs w:val="20"/>
              </w:rPr>
            </w:pPr>
            <w:r w:rsidRPr="00141D7A">
              <w:rPr>
                <w:sz w:val="20"/>
                <w:szCs w:val="20"/>
              </w:rPr>
              <w:t>1</w:t>
            </w:r>
          </w:p>
        </w:tc>
        <w:tc>
          <w:tcPr>
            <w:tcW w:w="4967" w:type="dxa"/>
            <w:tcBorders>
              <w:top w:val="nil"/>
              <w:left w:val="nil"/>
              <w:bottom w:val="single" w:sz="4" w:space="0" w:color="auto"/>
              <w:right w:val="nil"/>
            </w:tcBorders>
            <w:shd w:val="clear" w:color="auto" w:fill="auto"/>
            <w:vAlign w:val="center"/>
            <w:hideMark/>
          </w:tcPr>
          <w:p w14:paraId="3EADC32A" w14:textId="77777777" w:rsidR="00141D7A" w:rsidRPr="00141D7A" w:rsidRDefault="00141D7A" w:rsidP="00141D7A">
            <w:pPr>
              <w:ind w:left="0" w:right="0" w:firstLine="0"/>
              <w:jc w:val="left"/>
              <w:rPr>
                <w:sz w:val="20"/>
                <w:szCs w:val="20"/>
              </w:rPr>
            </w:pPr>
            <w:r w:rsidRPr="00141D7A">
              <w:rPr>
                <w:sz w:val="20"/>
                <w:szCs w:val="20"/>
              </w:rPr>
              <w:t>Фудбалски клуб "Љубић" Прњавор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4E8D8" w14:textId="77777777" w:rsidR="00141D7A" w:rsidRPr="00141D7A" w:rsidRDefault="00141D7A" w:rsidP="00141D7A">
            <w:pPr>
              <w:ind w:left="0" w:right="0" w:firstLine="0"/>
              <w:jc w:val="right"/>
              <w:rPr>
                <w:sz w:val="20"/>
                <w:szCs w:val="20"/>
              </w:rPr>
            </w:pPr>
            <w:r w:rsidRPr="00141D7A">
              <w:rPr>
                <w:sz w:val="20"/>
                <w:szCs w:val="20"/>
              </w:rPr>
              <w:t>89.993,00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2055DFE" w14:textId="77777777" w:rsidR="00141D7A" w:rsidRPr="00141D7A" w:rsidRDefault="00141D7A" w:rsidP="00141D7A">
            <w:pPr>
              <w:ind w:left="0" w:right="0" w:firstLine="0"/>
              <w:jc w:val="right"/>
              <w:rPr>
                <w:sz w:val="20"/>
                <w:szCs w:val="20"/>
              </w:rPr>
            </w:pPr>
            <w:r w:rsidRPr="00141D7A">
              <w:rPr>
                <w:sz w:val="20"/>
                <w:szCs w:val="20"/>
              </w:rPr>
              <w:t>22.945,00</w:t>
            </w:r>
          </w:p>
        </w:tc>
        <w:tc>
          <w:tcPr>
            <w:tcW w:w="1373" w:type="dxa"/>
            <w:tcBorders>
              <w:top w:val="nil"/>
              <w:left w:val="nil"/>
              <w:bottom w:val="single" w:sz="4" w:space="0" w:color="auto"/>
              <w:right w:val="double" w:sz="6" w:space="0" w:color="auto"/>
            </w:tcBorders>
            <w:shd w:val="clear" w:color="000000" w:fill="FFFFFF"/>
            <w:noWrap/>
            <w:vAlign w:val="center"/>
            <w:hideMark/>
          </w:tcPr>
          <w:p w14:paraId="62F3A39A" w14:textId="77777777" w:rsidR="00141D7A" w:rsidRPr="00141D7A" w:rsidRDefault="00141D7A" w:rsidP="00141D7A">
            <w:pPr>
              <w:ind w:left="0" w:right="0" w:firstLine="0"/>
              <w:jc w:val="right"/>
              <w:rPr>
                <w:sz w:val="20"/>
                <w:szCs w:val="20"/>
              </w:rPr>
            </w:pPr>
            <w:r w:rsidRPr="00141D7A">
              <w:rPr>
                <w:sz w:val="20"/>
                <w:szCs w:val="20"/>
              </w:rPr>
              <w:t>112.938,00</w:t>
            </w:r>
          </w:p>
        </w:tc>
      </w:tr>
      <w:tr w:rsidR="00141D7A" w:rsidRPr="00141D7A" w14:paraId="1F99B8CD" w14:textId="77777777" w:rsidTr="00141D7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7B1BF846" w14:textId="77777777" w:rsidR="00141D7A" w:rsidRPr="00141D7A" w:rsidRDefault="00141D7A" w:rsidP="00141D7A">
            <w:pPr>
              <w:ind w:left="0" w:right="0" w:firstLine="0"/>
              <w:jc w:val="center"/>
              <w:rPr>
                <w:sz w:val="20"/>
                <w:szCs w:val="20"/>
              </w:rPr>
            </w:pPr>
            <w:r w:rsidRPr="00141D7A">
              <w:rPr>
                <w:sz w:val="20"/>
                <w:szCs w:val="20"/>
              </w:rPr>
              <w:t>2</w:t>
            </w:r>
          </w:p>
        </w:tc>
        <w:tc>
          <w:tcPr>
            <w:tcW w:w="4967" w:type="dxa"/>
            <w:tcBorders>
              <w:top w:val="nil"/>
              <w:left w:val="nil"/>
              <w:bottom w:val="nil"/>
              <w:right w:val="single" w:sz="4" w:space="0" w:color="auto"/>
            </w:tcBorders>
            <w:shd w:val="clear" w:color="auto" w:fill="auto"/>
            <w:vAlign w:val="center"/>
            <w:hideMark/>
          </w:tcPr>
          <w:p w14:paraId="7B108931" w14:textId="77777777" w:rsidR="00141D7A" w:rsidRPr="00141D7A" w:rsidRDefault="00141D7A" w:rsidP="00141D7A">
            <w:pPr>
              <w:ind w:left="0" w:right="0" w:firstLine="0"/>
              <w:jc w:val="left"/>
              <w:rPr>
                <w:sz w:val="20"/>
                <w:szCs w:val="20"/>
              </w:rPr>
            </w:pPr>
            <w:r w:rsidRPr="00141D7A">
              <w:rPr>
                <w:sz w:val="20"/>
                <w:szCs w:val="20"/>
              </w:rPr>
              <w:t>Клуб малог фудбала "Љубић" Прњавор</w:t>
            </w:r>
          </w:p>
        </w:tc>
        <w:tc>
          <w:tcPr>
            <w:tcW w:w="1417" w:type="dxa"/>
            <w:tcBorders>
              <w:top w:val="nil"/>
              <w:left w:val="nil"/>
              <w:bottom w:val="nil"/>
              <w:right w:val="single" w:sz="4" w:space="0" w:color="auto"/>
            </w:tcBorders>
            <w:shd w:val="clear" w:color="auto" w:fill="auto"/>
            <w:vAlign w:val="center"/>
            <w:hideMark/>
          </w:tcPr>
          <w:p w14:paraId="446C0F11" w14:textId="77777777" w:rsidR="00141D7A" w:rsidRPr="00141D7A" w:rsidRDefault="00141D7A" w:rsidP="00141D7A">
            <w:pPr>
              <w:ind w:left="0" w:right="0" w:firstLine="0"/>
              <w:jc w:val="right"/>
              <w:rPr>
                <w:sz w:val="20"/>
                <w:szCs w:val="20"/>
              </w:rPr>
            </w:pPr>
            <w:r w:rsidRPr="00141D7A">
              <w:rPr>
                <w:sz w:val="20"/>
                <w:szCs w:val="20"/>
              </w:rPr>
              <w:t>3.028,00</w:t>
            </w:r>
          </w:p>
        </w:tc>
        <w:tc>
          <w:tcPr>
            <w:tcW w:w="1320" w:type="dxa"/>
            <w:tcBorders>
              <w:top w:val="nil"/>
              <w:left w:val="nil"/>
              <w:bottom w:val="single" w:sz="4" w:space="0" w:color="auto"/>
              <w:right w:val="single" w:sz="4" w:space="0" w:color="auto"/>
            </w:tcBorders>
            <w:shd w:val="clear" w:color="auto" w:fill="auto"/>
            <w:vAlign w:val="center"/>
            <w:hideMark/>
          </w:tcPr>
          <w:p w14:paraId="008AD92B" w14:textId="77777777" w:rsidR="00141D7A" w:rsidRPr="00141D7A" w:rsidRDefault="00141D7A" w:rsidP="00141D7A">
            <w:pPr>
              <w:ind w:left="0" w:right="0" w:firstLine="0"/>
              <w:jc w:val="right"/>
              <w:rPr>
                <w:sz w:val="20"/>
                <w:szCs w:val="20"/>
              </w:rPr>
            </w:pPr>
            <w:r w:rsidRPr="00141D7A">
              <w:rPr>
                <w:sz w:val="20"/>
                <w:szCs w:val="20"/>
              </w:rPr>
              <w:t>11.740,00</w:t>
            </w:r>
          </w:p>
        </w:tc>
        <w:tc>
          <w:tcPr>
            <w:tcW w:w="1373" w:type="dxa"/>
            <w:tcBorders>
              <w:top w:val="nil"/>
              <w:left w:val="nil"/>
              <w:bottom w:val="single" w:sz="4" w:space="0" w:color="auto"/>
              <w:right w:val="double" w:sz="6" w:space="0" w:color="auto"/>
            </w:tcBorders>
            <w:shd w:val="clear" w:color="000000" w:fill="FFFFFF"/>
            <w:noWrap/>
            <w:vAlign w:val="center"/>
            <w:hideMark/>
          </w:tcPr>
          <w:p w14:paraId="69B9FFDD" w14:textId="77777777" w:rsidR="00141D7A" w:rsidRPr="00141D7A" w:rsidRDefault="00141D7A" w:rsidP="00141D7A">
            <w:pPr>
              <w:ind w:left="0" w:right="0" w:firstLine="0"/>
              <w:jc w:val="right"/>
              <w:rPr>
                <w:sz w:val="20"/>
                <w:szCs w:val="20"/>
              </w:rPr>
            </w:pPr>
            <w:r w:rsidRPr="00141D7A">
              <w:rPr>
                <w:sz w:val="20"/>
                <w:szCs w:val="20"/>
              </w:rPr>
              <w:t>14.768,00</w:t>
            </w:r>
          </w:p>
        </w:tc>
      </w:tr>
      <w:tr w:rsidR="00141D7A" w:rsidRPr="00141D7A" w14:paraId="526C346F" w14:textId="77777777" w:rsidTr="00141D7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6753448C" w14:textId="77777777" w:rsidR="00141D7A" w:rsidRPr="00141D7A" w:rsidRDefault="00141D7A" w:rsidP="00141D7A">
            <w:pPr>
              <w:ind w:left="0" w:right="0" w:firstLine="0"/>
              <w:jc w:val="center"/>
              <w:rPr>
                <w:sz w:val="20"/>
                <w:szCs w:val="20"/>
              </w:rPr>
            </w:pPr>
            <w:r w:rsidRPr="00141D7A">
              <w:rPr>
                <w:sz w:val="20"/>
                <w:szCs w:val="20"/>
              </w:rPr>
              <w:t>3</w:t>
            </w:r>
          </w:p>
        </w:tc>
        <w:tc>
          <w:tcPr>
            <w:tcW w:w="4967" w:type="dxa"/>
            <w:tcBorders>
              <w:top w:val="single" w:sz="4" w:space="0" w:color="auto"/>
              <w:left w:val="nil"/>
              <w:bottom w:val="nil"/>
              <w:right w:val="single" w:sz="4" w:space="0" w:color="auto"/>
            </w:tcBorders>
            <w:shd w:val="clear" w:color="auto" w:fill="auto"/>
            <w:vAlign w:val="center"/>
            <w:hideMark/>
          </w:tcPr>
          <w:p w14:paraId="007991EB" w14:textId="77777777" w:rsidR="00141D7A" w:rsidRPr="00141D7A" w:rsidRDefault="00141D7A" w:rsidP="00141D7A">
            <w:pPr>
              <w:ind w:left="0" w:right="0" w:firstLine="0"/>
              <w:jc w:val="left"/>
              <w:rPr>
                <w:sz w:val="20"/>
                <w:szCs w:val="20"/>
              </w:rPr>
            </w:pPr>
            <w:r w:rsidRPr="00141D7A">
              <w:rPr>
                <w:sz w:val="20"/>
                <w:szCs w:val="20"/>
              </w:rPr>
              <w:t xml:space="preserve">Фудбалски клуб "Борац" </w:t>
            </w:r>
            <w:proofErr w:type="spellStart"/>
            <w:r w:rsidRPr="00141D7A">
              <w:rPr>
                <w:sz w:val="20"/>
                <w:szCs w:val="20"/>
              </w:rPr>
              <w:t>Шибовска</w:t>
            </w:r>
            <w:proofErr w:type="spellEnd"/>
          </w:p>
        </w:tc>
        <w:tc>
          <w:tcPr>
            <w:tcW w:w="1417" w:type="dxa"/>
            <w:tcBorders>
              <w:top w:val="single" w:sz="4" w:space="0" w:color="auto"/>
              <w:left w:val="nil"/>
              <w:bottom w:val="nil"/>
              <w:right w:val="single" w:sz="4" w:space="0" w:color="auto"/>
            </w:tcBorders>
            <w:shd w:val="clear" w:color="auto" w:fill="auto"/>
            <w:vAlign w:val="center"/>
            <w:hideMark/>
          </w:tcPr>
          <w:p w14:paraId="52DF9CCB" w14:textId="77777777" w:rsidR="00141D7A" w:rsidRPr="00141D7A" w:rsidRDefault="00141D7A" w:rsidP="00141D7A">
            <w:pPr>
              <w:ind w:left="0" w:right="0" w:firstLine="0"/>
              <w:jc w:val="right"/>
              <w:rPr>
                <w:sz w:val="20"/>
                <w:szCs w:val="20"/>
              </w:rPr>
            </w:pPr>
            <w:r w:rsidRPr="00141D7A">
              <w:rPr>
                <w:sz w:val="20"/>
                <w:szCs w:val="20"/>
              </w:rPr>
              <w:t>5.224,00</w:t>
            </w:r>
          </w:p>
        </w:tc>
        <w:tc>
          <w:tcPr>
            <w:tcW w:w="1320" w:type="dxa"/>
            <w:tcBorders>
              <w:top w:val="nil"/>
              <w:left w:val="nil"/>
              <w:bottom w:val="single" w:sz="4" w:space="0" w:color="auto"/>
              <w:right w:val="single" w:sz="4" w:space="0" w:color="auto"/>
            </w:tcBorders>
            <w:shd w:val="clear" w:color="auto" w:fill="auto"/>
            <w:vAlign w:val="center"/>
            <w:hideMark/>
          </w:tcPr>
          <w:p w14:paraId="678EE8F8" w14:textId="77777777" w:rsidR="00141D7A" w:rsidRPr="00141D7A" w:rsidRDefault="00141D7A" w:rsidP="00141D7A">
            <w:pPr>
              <w:ind w:left="0" w:right="0" w:firstLine="0"/>
              <w:jc w:val="right"/>
              <w:rPr>
                <w:sz w:val="20"/>
                <w:szCs w:val="20"/>
              </w:rPr>
            </w:pPr>
            <w:r w:rsidRPr="00141D7A">
              <w:rPr>
                <w:sz w:val="20"/>
                <w:szCs w:val="20"/>
              </w:rPr>
              <w:t>2.250,00</w:t>
            </w:r>
          </w:p>
        </w:tc>
        <w:tc>
          <w:tcPr>
            <w:tcW w:w="1373" w:type="dxa"/>
            <w:tcBorders>
              <w:top w:val="nil"/>
              <w:left w:val="nil"/>
              <w:bottom w:val="single" w:sz="4" w:space="0" w:color="auto"/>
              <w:right w:val="double" w:sz="6" w:space="0" w:color="auto"/>
            </w:tcBorders>
            <w:shd w:val="clear" w:color="000000" w:fill="FFFFFF"/>
            <w:noWrap/>
            <w:vAlign w:val="center"/>
            <w:hideMark/>
          </w:tcPr>
          <w:p w14:paraId="708C537F" w14:textId="77777777" w:rsidR="00141D7A" w:rsidRPr="00141D7A" w:rsidRDefault="00141D7A" w:rsidP="00141D7A">
            <w:pPr>
              <w:ind w:left="0" w:right="0" w:firstLine="0"/>
              <w:jc w:val="right"/>
              <w:rPr>
                <w:sz w:val="20"/>
                <w:szCs w:val="20"/>
              </w:rPr>
            </w:pPr>
            <w:r w:rsidRPr="00141D7A">
              <w:rPr>
                <w:sz w:val="20"/>
                <w:szCs w:val="20"/>
              </w:rPr>
              <w:t>7.474,00</w:t>
            </w:r>
          </w:p>
        </w:tc>
      </w:tr>
      <w:tr w:rsidR="00141D7A" w:rsidRPr="00141D7A" w14:paraId="04F6A53B" w14:textId="77777777" w:rsidTr="00141D7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1C246590" w14:textId="77777777" w:rsidR="00141D7A" w:rsidRPr="00141D7A" w:rsidRDefault="00141D7A" w:rsidP="00141D7A">
            <w:pPr>
              <w:ind w:left="0" w:right="0" w:firstLine="0"/>
              <w:jc w:val="center"/>
              <w:rPr>
                <w:sz w:val="20"/>
                <w:szCs w:val="20"/>
              </w:rPr>
            </w:pPr>
            <w:r w:rsidRPr="00141D7A">
              <w:rPr>
                <w:sz w:val="20"/>
                <w:szCs w:val="20"/>
              </w:rPr>
              <w:t>4</w:t>
            </w:r>
          </w:p>
        </w:tc>
        <w:tc>
          <w:tcPr>
            <w:tcW w:w="4967" w:type="dxa"/>
            <w:tcBorders>
              <w:top w:val="single" w:sz="4" w:space="0" w:color="auto"/>
              <w:left w:val="nil"/>
              <w:bottom w:val="single" w:sz="4" w:space="0" w:color="auto"/>
              <w:right w:val="nil"/>
            </w:tcBorders>
            <w:shd w:val="clear" w:color="auto" w:fill="auto"/>
            <w:vAlign w:val="center"/>
            <w:hideMark/>
          </w:tcPr>
          <w:p w14:paraId="3B58F39E" w14:textId="77777777" w:rsidR="00141D7A" w:rsidRPr="00141D7A" w:rsidRDefault="00141D7A" w:rsidP="00141D7A">
            <w:pPr>
              <w:ind w:left="0" w:right="0" w:firstLine="0"/>
              <w:jc w:val="left"/>
              <w:rPr>
                <w:sz w:val="20"/>
                <w:szCs w:val="20"/>
              </w:rPr>
            </w:pPr>
            <w:r w:rsidRPr="00141D7A">
              <w:rPr>
                <w:sz w:val="20"/>
                <w:szCs w:val="20"/>
              </w:rPr>
              <w:t>Клуб малог фудбала "Обилић" Прњавор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6D7FA" w14:textId="77777777" w:rsidR="00141D7A" w:rsidRPr="00141D7A" w:rsidRDefault="00141D7A" w:rsidP="00141D7A">
            <w:pPr>
              <w:ind w:left="0" w:right="0" w:firstLine="0"/>
              <w:jc w:val="right"/>
              <w:rPr>
                <w:sz w:val="20"/>
                <w:szCs w:val="20"/>
              </w:rPr>
            </w:pPr>
            <w:r w:rsidRPr="00141D7A">
              <w:rPr>
                <w:sz w:val="20"/>
                <w:szCs w:val="20"/>
              </w:rPr>
              <w:t>6.028,00</w:t>
            </w:r>
          </w:p>
        </w:tc>
        <w:tc>
          <w:tcPr>
            <w:tcW w:w="1320" w:type="dxa"/>
            <w:tcBorders>
              <w:top w:val="nil"/>
              <w:left w:val="nil"/>
              <w:bottom w:val="single" w:sz="4" w:space="0" w:color="auto"/>
              <w:right w:val="single" w:sz="4" w:space="0" w:color="auto"/>
            </w:tcBorders>
            <w:shd w:val="clear" w:color="auto" w:fill="auto"/>
            <w:vAlign w:val="center"/>
            <w:hideMark/>
          </w:tcPr>
          <w:p w14:paraId="76187B04" w14:textId="77777777" w:rsidR="00141D7A" w:rsidRPr="00141D7A" w:rsidRDefault="00141D7A" w:rsidP="00141D7A">
            <w:pPr>
              <w:ind w:left="0" w:right="0" w:firstLine="0"/>
              <w:jc w:val="right"/>
              <w:rPr>
                <w:sz w:val="20"/>
                <w:szCs w:val="20"/>
              </w:rPr>
            </w:pPr>
            <w:r w:rsidRPr="00141D7A">
              <w:rPr>
                <w:sz w:val="20"/>
                <w:szCs w:val="20"/>
              </w:rPr>
              <w:t>0,00</w:t>
            </w:r>
          </w:p>
        </w:tc>
        <w:tc>
          <w:tcPr>
            <w:tcW w:w="1373" w:type="dxa"/>
            <w:tcBorders>
              <w:top w:val="nil"/>
              <w:left w:val="nil"/>
              <w:bottom w:val="single" w:sz="4" w:space="0" w:color="auto"/>
              <w:right w:val="double" w:sz="6" w:space="0" w:color="auto"/>
            </w:tcBorders>
            <w:shd w:val="clear" w:color="000000" w:fill="FFFFFF"/>
            <w:noWrap/>
            <w:vAlign w:val="center"/>
            <w:hideMark/>
          </w:tcPr>
          <w:p w14:paraId="2434498E" w14:textId="77777777" w:rsidR="00141D7A" w:rsidRPr="00141D7A" w:rsidRDefault="00141D7A" w:rsidP="00141D7A">
            <w:pPr>
              <w:ind w:left="0" w:right="0" w:firstLine="0"/>
              <w:jc w:val="right"/>
              <w:rPr>
                <w:sz w:val="20"/>
                <w:szCs w:val="20"/>
              </w:rPr>
            </w:pPr>
            <w:r w:rsidRPr="00141D7A">
              <w:rPr>
                <w:sz w:val="20"/>
                <w:szCs w:val="20"/>
              </w:rPr>
              <w:t>6.028,00</w:t>
            </w:r>
          </w:p>
        </w:tc>
      </w:tr>
      <w:tr w:rsidR="00141D7A" w:rsidRPr="00141D7A" w14:paraId="3076D66C" w14:textId="77777777" w:rsidTr="00141D7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052D7758" w14:textId="77777777" w:rsidR="00141D7A" w:rsidRPr="00141D7A" w:rsidRDefault="00141D7A" w:rsidP="00141D7A">
            <w:pPr>
              <w:ind w:left="0" w:right="0" w:firstLine="0"/>
              <w:jc w:val="center"/>
              <w:rPr>
                <w:sz w:val="20"/>
                <w:szCs w:val="20"/>
              </w:rPr>
            </w:pPr>
            <w:r w:rsidRPr="00141D7A">
              <w:rPr>
                <w:sz w:val="20"/>
                <w:szCs w:val="20"/>
              </w:rPr>
              <w:t>5</w:t>
            </w:r>
          </w:p>
        </w:tc>
        <w:tc>
          <w:tcPr>
            <w:tcW w:w="4967" w:type="dxa"/>
            <w:tcBorders>
              <w:top w:val="nil"/>
              <w:left w:val="nil"/>
              <w:bottom w:val="nil"/>
              <w:right w:val="single" w:sz="4" w:space="0" w:color="auto"/>
            </w:tcBorders>
            <w:shd w:val="clear" w:color="auto" w:fill="auto"/>
            <w:vAlign w:val="center"/>
            <w:hideMark/>
          </w:tcPr>
          <w:p w14:paraId="3C481335" w14:textId="77777777" w:rsidR="00141D7A" w:rsidRPr="00141D7A" w:rsidRDefault="00141D7A" w:rsidP="00141D7A">
            <w:pPr>
              <w:ind w:left="0" w:right="0" w:firstLine="0"/>
              <w:jc w:val="left"/>
              <w:rPr>
                <w:sz w:val="20"/>
                <w:szCs w:val="20"/>
              </w:rPr>
            </w:pPr>
            <w:r w:rsidRPr="00141D7A">
              <w:rPr>
                <w:sz w:val="20"/>
                <w:szCs w:val="20"/>
              </w:rPr>
              <w:t xml:space="preserve">Фудбалски клуб "Будућност" Д. </w:t>
            </w:r>
            <w:proofErr w:type="spellStart"/>
            <w:r w:rsidRPr="00141D7A">
              <w:rPr>
                <w:sz w:val="20"/>
                <w:szCs w:val="20"/>
              </w:rPr>
              <w:t>Гаљиповци</w:t>
            </w:r>
            <w:proofErr w:type="spellEnd"/>
          </w:p>
        </w:tc>
        <w:tc>
          <w:tcPr>
            <w:tcW w:w="1417" w:type="dxa"/>
            <w:tcBorders>
              <w:top w:val="nil"/>
              <w:left w:val="nil"/>
              <w:bottom w:val="nil"/>
              <w:right w:val="single" w:sz="4" w:space="0" w:color="auto"/>
            </w:tcBorders>
            <w:shd w:val="clear" w:color="auto" w:fill="auto"/>
            <w:vAlign w:val="center"/>
            <w:hideMark/>
          </w:tcPr>
          <w:p w14:paraId="3415A07C" w14:textId="77777777" w:rsidR="00141D7A" w:rsidRPr="00141D7A" w:rsidRDefault="00141D7A" w:rsidP="00141D7A">
            <w:pPr>
              <w:ind w:left="0" w:right="0" w:firstLine="0"/>
              <w:jc w:val="right"/>
              <w:rPr>
                <w:sz w:val="20"/>
                <w:szCs w:val="20"/>
              </w:rPr>
            </w:pPr>
            <w:r w:rsidRPr="00141D7A">
              <w:rPr>
                <w:sz w:val="20"/>
                <w:szCs w:val="20"/>
              </w:rPr>
              <w:t>3.028,00</w:t>
            </w:r>
          </w:p>
        </w:tc>
        <w:tc>
          <w:tcPr>
            <w:tcW w:w="1320" w:type="dxa"/>
            <w:tcBorders>
              <w:top w:val="nil"/>
              <w:left w:val="nil"/>
              <w:bottom w:val="single" w:sz="4" w:space="0" w:color="auto"/>
              <w:right w:val="single" w:sz="4" w:space="0" w:color="auto"/>
            </w:tcBorders>
            <w:shd w:val="clear" w:color="auto" w:fill="auto"/>
            <w:vAlign w:val="center"/>
            <w:hideMark/>
          </w:tcPr>
          <w:p w14:paraId="3CBA92C8" w14:textId="77777777" w:rsidR="00141D7A" w:rsidRPr="00141D7A" w:rsidRDefault="00141D7A" w:rsidP="00141D7A">
            <w:pPr>
              <w:ind w:left="0" w:right="0" w:firstLine="0"/>
              <w:jc w:val="right"/>
              <w:rPr>
                <w:sz w:val="20"/>
                <w:szCs w:val="20"/>
              </w:rPr>
            </w:pPr>
            <w:r w:rsidRPr="00141D7A">
              <w:rPr>
                <w:sz w:val="20"/>
                <w:szCs w:val="20"/>
              </w:rPr>
              <w:t>0,00</w:t>
            </w:r>
          </w:p>
        </w:tc>
        <w:tc>
          <w:tcPr>
            <w:tcW w:w="1373" w:type="dxa"/>
            <w:tcBorders>
              <w:top w:val="nil"/>
              <w:left w:val="nil"/>
              <w:bottom w:val="single" w:sz="4" w:space="0" w:color="auto"/>
              <w:right w:val="double" w:sz="6" w:space="0" w:color="auto"/>
            </w:tcBorders>
            <w:shd w:val="clear" w:color="000000" w:fill="FFFFFF"/>
            <w:noWrap/>
            <w:vAlign w:val="center"/>
            <w:hideMark/>
          </w:tcPr>
          <w:p w14:paraId="5C9DE569" w14:textId="77777777" w:rsidR="00141D7A" w:rsidRPr="00141D7A" w:rsidRDefault="00141D7A" w:rsidP="00141D7A">
            <w:pPr>
              <w:ind w:left="0" w:right="0" w:firstLine="0"/>
              <w:jc w:val="right"/>
              <w:rPr>
                <w:sz w:val="20"/>
                <w:szCs w:val="20"/>
              </w:rPr>
            </w:pPr>
            <w:r w:rsidRPr="00141D7A">
              <w:rPr>
                <w:sz w:val="20"/>
                <w:szCs w:val="20"/>
              </w:rPr>
              <w:t>3.028,00</w:t>
            </w:r>
          </w:p>
        </w:tc>
      </w:tr>
      <w:tr w:rsidR="00141D7A" w:rsidRPr="00141D7A" w14:paraId="24B7D6AD" w14:textId="77777777" w:rsidTr="00141D7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5A0CA894" w14:textId="77777777" w:rsidR="00141D7A" w:rsidRPr="00141D7A" w:rsidRDefault="00141D7A" w:rsidP="00141D7A">
            <w:pPr>
              <w:ind w:left="0" w:right="0" w:firstLine="0"/>
              <w:jc w:val="center"/>
              <w:rPr>
                <w:sz w:val="20"/>
                <w:szCs w:val="20"/>
              </w:rPr>
            </w:pPr>
            <w:r w:rsidRPr="00141D7A">
              <w:rPr>
                <w:sz w:val="20"/>
                <w:szCs w:val="20"/>
              </w:rPr>
              <w:t>6</w:t>
            </w:r>
          </w:p>
        </w:tc>
        <w:tc>
          <w:tcPr>
            <w:tcW w:w="4967" w:type="dxa"/>
            <w:tcBorders>
              <w:top w:val="single" w:sz="4" w:space="0" w:color="auto"/>
              <w:left w:val="nil"/>
              <w:bottom w:val="single" w:sz="4" w:space="0" w:color="auto"/>
              <w:right w:val="single" w:sz="4" w:space="0" w:color="auto"/>
            </w:tcBorders>
            <w:shd w:val="clear" w:color="auto" w:fill="auto"/>
            <w:vAlign w:val="center"/>
            <w:hideMark/>
          </w:tcPr>
          <w:p w14:paraId="32AC0A36" w14:textId="77777777" w:rsidR="00141D7A" w:rsidRPr="00141D7A" w:rsidRDefault="00141D7A" w:rsidP="00141D7A">
            <w:pPr>
              <w:ind w:left="0" w:right="0" w:firstLine="0"/>
              <w:jc w:val="left"/>
              <w:rPr>
                <w:sz w:val="20"/>
                <w:szCs w:val="20"/>
              </w:rPr>
            </w:pPr>
            <w:r w:rsidRPr="00141D7A">
              <w:rPr>
                <w:sz w:val="20"/>
                <w:szCs w:val="20"/>
              </w:rPr>
              <w:t>Карате клуб "</w:t>
            </w:r>
            <w:proofErr w:type="spellStart"/>
            <w:r w:rsidRPr="00141D7A">
              <w:rPr>
                <w:sz w:val="20"/>
                <w:szCs w:val="20"/>
              </w:rPr>
              <w:t>Ипон</w:t>
            </w:r>
            <w:proofErr w:type="spellEnd"/>
            <w:r w:rsidRPr="00141D7A">
              <w:rPr>
                <w:sz w:val="20"/>
                <w:szCs w:val="20"/>
              </w:rPr>
              <w:t>" Прњавор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D10884C" w14:textId="77777777" w:rsidR="00141D7A" w:rsidRPr="00141D7A" w:rsidRDefault="00141D7A" w:rsidP="00141D7A">
            <w:pPr>
              <w:ind w:left="0" w:right="0" w:firstLine="0"/>
              <w:jc w:val="right"/>
              <w:rPr>
                <w:sz w:val="20"/>
                <w:szCs w:val="20"/>
              </w:rPr>
            </w:pPr>
            <w:r w:rsidRPr="00141D7A">
              <w:rPr>
                <w:sz w:val="20"/>
                <w:szCs w:val="20"/>
              </w:rPr>
              <w:t>5.250,00</w:t>
            </w:r>
          </w:p>
        </w:tc>
        <w:tc>
          <w:tcPr>
            <w:tcW w:w="1320" w:type="dxa"/>
            <w:tcBorders>
              <w:top w:val="nil"/>
              <w:left w:val="nil"/>
              <w:bottom w:val="single" w:sz="4" w:space="0" w:color="auto"/>
              <w:right w:val="single" w:sz="4" w:space="0" w:color="auto"/>
            </w:tcBorders>
            <w:shd w:val="clear" w:color="auto" w:fill="auto"/>
            <w:vAlign w:val="center"/>
            <w:hideMark/>
          </w:tcPr>
          <w:p w14:paraId="4E497472" w14:textId="77777777" w:rsidR="00141D7A" w:rsidRPr="00141D7A" w:rsidRDefault="00141D7A" w:rsidP="00141D7A">
            <w:pPr>
              <w:ind w:left="0" w:right="0" w:firstLine="0"/>
              <w:jc w:val="right"/>
              <w:rPr>
                <w:sz w:val="20"/>
                <w:szCs w:val="20"/>
              </w:rPr>
            </w:pPr>
            <w:r w:rsidRPr="00141D7A">
              <w:rPr>
                <w:sz w:val="20"/>
                <w:szCs w:val="20"/>
              </w:rPr>
              <w:t>0,00</w:t>
            </w:r>
          </w:p>
        </w:tc>
        <w:tc>
          <w:tcPr>
            <w:tcW w:w="1373" w:type="dxa"/>
            <w:tcBorders>
              <w:top w:val="nil"/>
              <w:left w:val="nil"/>
              <w:bottom w:val="single" w:sz="4" w:space="0" w:color="auto"/>
              <w:right w:val="double" w:sz="6" w:space="0" w:color="auto"/>
            </w:tcBorders>
            <w:shd w:val="clear" w:color="000000" w:fill="FFFFFF"/>
            <w:noWrap/>
            <w:vAlign w:val="center"/>
            <w:hideMark/>
          </w:tcPr>
          <w:p w14:paraId="73051307" w14:textId="77777777" w:rsidR="00141D7A" w:rsidRPr="00141D7A" w:rsidRDefault="00141D7A" w:rsidP="00141D7A">
            <w:pPr>
              <w:ind w:left="0" w:right="0" w:firstLine="0"/>
              <w:jc w:val="right"/>
              <w:rPr>
                <w:sz w:val="20"/>
                <w:szCs w:val="20"/>
              </w:rPr>
            </w:pPr>
            <w:r w:rsidRPr="00141D7A">
              <w:rPr>
                <w:sz w:val="20"/>
                <w:szCs w:val="20"/>
              </w:rPr>
              <w:t>5.250,00</w:t>
            </w:r>
          </w:p>
        </w:tc>
      </w:tr>
      <w:tr w:rsidR="00141D7A" w:rsidRPr="00141D7A" w14:paraId="394976C4" w14:textId="77777777" w:rsidTr="00141D7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3BB36A50" w14:textId="77777777" w:rsidR="00141D7A" w:rsidRPr="00141D7A" w:rsidRDefault="00141D7A" w:rsidP="00141D7A">
            <w:pPr>
              <w:ind w:left="0" w:right="0" w:firstLine="0"/>
              <w:jc w:val="center"/>
              <w:rPr>
                <w:sz w:val="20"/>
                <w:szCs w:val="20"/>
              </w:rPr>
            </w:pPr>
            <w:r w:rsidRPr="00141D7A">
              <w:rPr>
                <w:sz w:val="20"/>
                <w:szCs w:val="20"/>
              </w:rPr>
              <w:lastRenderedPageBreak/>
              <w:t>7</w:t>
            </w:r>
          </w:p>
        </w:tc>
        <w:tc>
          <w:tcPr>
            <w:tcW w:w="4967" w:type="dxa"/>
            <w:tcBorders>
              <w:top w:val="nil"/>
              <w:left w:val="nil"/>
              <w:bottom w:val="single" w:sz="4" w:space="0" w:color="auto"/>
              <w:right w:val="nil"/>
            </w:tcBorders>
            <w:shd w:val="clear" w:color="auto" w:fill="auto"/>
            <w:vAlign w:val="center"/>
            <w:hideMark/>
          </w:tcPr>
          <w:p w14:paraId="6D025321" w14:textId="77777777" w:rsidR="00141D7A" w:rsidRPr="00141D7A" w:rsidRDefault="00141D7A" w:rsidP="00141D7A">
            <w:pPr>
              <w:ind w:left="0" w:right="0" w:firstLine="0"/>
              <w:jc w:val="left"/>
              <w:rPr>
                <w:sz w:val="20"/>
                <w:szCs w:val="20"/>
              </w:rPr>
            </w:pPr>
            <w:r w:rsidRPr="00141D7A">
              <w:rPr>
                <w:sz w:val="20"/>
                <w:szCs w:val="20"/>
              </w:rPr>
              <w:t>Карате клуб "Бијели лавови" Прњавор</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0D3C118D" w14:textId="77777777" w:rsidR="00141D7A" w:rsidRPr="00141D7A" w:rsidRDefault="00141D7A" w:rsidP="00141D7A">
            <w:pPr>
              <w:ind w:left="0" w:right="0" w:firstLine="0"/>
              <w:jc w:val="right"/>
              <w:rPr>
                <w:sz w:val="20"/>
                <w:szCs w:val="20"/>
              </w:rPr>
            </w:pPr>
            <w:r w:rsidRPr="00141D7A">
              <w:rPr>
                <w:sz w:val="20"/>
                <w:szCs w:val="20"/>
              </w:rPr>
              <w:t>3.750,00</w:t>
            </w:r>
          </w:p>
        </w:tc>
        <w:tc>
          <w:tcPr>
            <w:tcW w:w="1320" w:type="dxa"/>
            <w:tcBorders>
              <w:top w:val="nil"/>
              <w:left w:val="nil"/>
              <w:bottom w:val="single" w:sz="4" w:space="0" w:color="auto"/>
              <w:right w:val="single" w:sz="4" w:space="0" w:color="auto"/>
            </w:tcBorders>
            <w:shd w:val="clear" w:color="auto" w:fill="auto"/>
            <w:vAlign w:val="center"/>
            <w:hideMark/>
          </w:tcPr>
          <w:p w14:paraId="547A0BBD" w14:textId="77777777" w:rsidR="00141D7A" w:rsidRPr="00141D7A" w:rsidRDefault="00141D7A" w:rsidP="00141D7A">
            <w:pPr>
              <w:ind w:left="0" w:right="0" w:firstLine="0"/>
              <w:jc w:val="right"/>
              <w:rPr>
                <w:sz w:val="20"/>
                <w:szCs w:val="20"/>
              </w:rPr>
            </w:pPr>
            <w:r w:rsidRPr="00141D7A">
              <w:rPr>
                <w:sz w:val="20"/>
                <w:szCs w:val="20"/>
              </w:rPr>
              <w:t>0,00</w:t>
            </w:r>
          </w:p>
        </w:tc>
        <w:tc>
          <w:tcPr>
            <w:tcW w:w="1373" w:type="dxa"/>
            <w:tcBorders>
              <w:top w:val="nil"/>
              <w:left w:val="nil"/>
              <w:bottom w:val="single" w:sz="4" w:space="0" w:color="auto"/>
              <w:right w:val="double" w:sz="6" w:space="0" w:color="auto"/>
            </w:tcBorders>
            <w:shd w:val="clear" w:color="000000" w:fill="FFFFFF"/>
            <w:noWrap/>
            <w:vAlign w:val="center"/>
            <w:hideMark/>
          </w:tcPr>
          <w:p w14:paraId="6921305E" w14:textId="77777777" w:rsidR="00141D7A" w:rsidRPr="00141D7A" w:rsidRDefault="00141D7A" w:rsidP="00141D7A">
            <w:pPr>
              <w:ind w:left="0" w:right="0" w:firstLine="0"/>
              <w:jc w:val="right"/>
              <w:rPr>
                <w:sz w:val="20"/>
                <w:szCs w:val="20"/>
              </w:rPr>
            </w:pPr>
            <w:r w:rsidRPr="00141D7A">
              <w:rPr>
                <w:sz w:val="20"/>
                <w:szCs w:val="20"/>
              </w:rPr>
              <w:t>3.750,00</w:t>
            </w:r>
          </w:p>
        </w:tc>
      </w:tr>
      <w:tr w:rsidR="00141D7A" w:rsidRPr="00141D7A" w14:paraId="05102710" w14:textId="77777777" w:rsidTr="00141D7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525E1744" w14:textId="77777777" w:rsidR="00141D7A" w:rsidRPr="00141D7A" w:rsidRDefault="00141D7A" w:rsidP="00141D7A">
            <w:pPr>
              <w:ind w:left="0" w:right="0" w:firstLine="0"/>
              <w:jc w:val="center"/>
              <w:rPr>
                <w:sz w:val="20"/>
                <w:szCs w:val="20"/>
              </w:rPr>
            </w:pPr>
            <w:r w:rsidRPr="00141D7A">
              <w:rPr>
                <w:sz w:val="20"/>
                <w:szCs w:val="20"/>
              </w:rPr>
              <w:t>8</w:t>
            </w:r>
          </w:p>
        </w:tc>
        <w:tc>
          <w:tcPr>
            <w:tcW w:w="4967" w:type="dxa"/>
            <w:tcBorders>
              <w:top w:val="nil"/>
              <w:left w:val="nil"/>
              <w:bottom w:val="single" w:sz="4" w:space="0" w:color="auto"/>
              <w:right w:val="nil"/>
            </w:tcBorders>
            <w:shd w:val="clear" w:color="auto" w:fill="auto"/>
            <w:vAlign w:val="center"/>
            <w:hideMark/>
          </w:tcPr>
          <w:p w14:paraId="7EAF7247" w14:textId="77777777" w:rsidR="00141D7A" w:rsidRPr="00141D7A" w:rsidRDefault="00141D7A" w:rsidP="00141D7A">
            <w:pPr>
              <w:ind w:left="0" w:right="0" w:firstLine="0"/>
              <w:jc w:val="left"/>
              <w:rPr>
                <w:sz w:val="20"/>
                <w:szCs w:val="20"/>
              </w:rPr>
            </w:pPr>
            <w:r w:rsidRPr="00141D7A">
              <w:rPr>
                <w:sz w:val="20"/>
                <w:szCs w:val="20"/>
              </w:rPr>
              <w:t>Теквондо клуб "Прњавор" Прњавор</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2BC0012F" w14:textId="77777777" w:rsidR="00141D7A" w:rsidRPr="00141D7A" w:rsidRDefault="00141D7A" w:rsidP="00141D7A">
            <w:pPr>
              <w:ind w:left="0" w:right="0" w:firstLine="0"/>
              <w:jc w:val="right"/>
              <w:rPr>
                <w:sz w:val="20"/>
                <w:szCs w:val="20"/>
              </w:rPr>
            </w:pPr>
            <w:r w:rsidRPr="00141D7A">
              <w:rPr>
                <w:sz w:val="20"/>
                <w:szCs w:val="20"/>
              </w:rPr>
              <w:t>10.873,00</w:t>
            </w:r>
          </w:p>
        </w:tc>
        <w:tc>
          <w:tcPr>
            <w:tcW w:w="1320" w:type="dxa"/>
            <w:tcBorders>
              <w:top w:val="nil"/>
              <w:left w:val="nil"/>
              <w:bottom w:val="single" w:sz="4" w:space="0" w:color="auto"/>
              <w:right w:val="single" w:sz="4" w:space="0" w:color="auto"/>
            </w:tcBorders>
            <w:shd w:val="clear" w:color="auto" w:fill="auto"/>
            <w:vAlign w:val="center"/>
            <w:hideMark/>
          </w:tcPr>
          <w:p w14:paraId="7FFA376B" w14:textId="77777777" w:rsidR="00141D7A" w:rsidRPr="00141D7A" w:rsidRDefault="00141D7A" w:rsidP="00141D7A">
            <w:pPr>
              <w:ind w:left="0" w:right="0" w:firstLine="0"/>
              <w:jc w:val="right"/>
              <w:rPr>
                <w:sz w:val="20"/>
                <w:szCs w:val="20"/>
              </w:rPr>
            </w:pPr>
            <w:r w:rsidRPr="00141D7A">
              <w:rPr>
                <w:sz w:val="20"/>
                <w:szCs w:val="20"/>
              </w:rPr>
              <w:t>0,00</w:t>
            </w:r>
          </w:p>
        </w:tc>
        <w:tc>
          <w:tcPr>
            <w:tcW w:w="1373" w:type="dxa"/>
            <w:tcBorders>
              <w:top w:val="nil"/>
              <w:left w:val="nil"/>
              <w:bottom w:val="single" w:sz="4" w:space="0" w:color="auto"/>
              <w:right w:val="double" w:sz="6" w:space="0" w:color="auto"/>
            </w:tcBorders>
            <w:shd w:val="clear" w:color="000000" w:fill="FFFFFF"/>
            <w:noWrap/>
            <w:vAlign w:val="center"/>
            <w:hideMark/>
          </w:tcPr>
          <w:p w14:paraId="3D2D11C9" w14:textId="77777777" w:rsidR="00141D7A" w:rsidRPr="00141D7A" w:rsidRDefault="00141D7A" w:rsidP="00141D7A">
            <w:pPr>
              <w:ind w:left="0" w:right="0" w:firstLine="0"/>
              <w:jc w:val="right"/>
              <w:rPr>
                <w:sz w:val="20"/>
                <w:szCs w:val="20"/>
              </w:rPr>
            </w:pPr>
            <w:r w:rsidRPr="00141D7A">
              <w:rPr>
                <w:sz w:val="20"/>
                <w:szCs w:val="20"/>
              </w:rPr>
              <w:t>10.873,00</w:t>
            </w:r>
          </w:p>
        </w:tc>
      </w:tr>
      <w:tr w:rsidR="00141D7A" w:rsidRPr="00141D7A" w14:paraId="75C17D59" w14:textId="77777777" w:rsidTr="00141D7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57B73886" w14:textId="77777777" w:rsidR="00141D7A" w:rsidRPr="00141D7A" w:rsidRDefault="00141D7A" w:rsidP="00141D7A">
            <w:pPr>
              <w:ind w:left="0" w:right="0" w:firstLine="0"/>
              <w:jc w:val="center"/>
              <w:rPr>
                <w:sz w:val="20"/>
                <w:szCs w:val="20"/>
              </w:rPr>
            </w:pPr>
            <w:r w:rsidRPr="00141D7A">
              <w:rPr>
                <w:sz w:val="20"/>
                <w:szCs w:val="20"/>
              </w:rPr>
              <w:t>9</w:t>
            </w:r>
          </w:p>
        </w:tc>
        <w:tc>
          <w:tcPr>
            <w:tcW w:w="4967" w:type="dxa"/>
            <w:tcBorders>
              <w:top w:val="nil"/>
              <w:left w:val="nil"/>
              <w:bottom w:val="single" w:sz="4" w:space="0" w:color="auto"/>
              <w:right w:val="nil"/>
            </w:tcBorders>
            <w:shd w:val="clear" w:color="auto" w:fill="auto"/>
            <w:vAlign w:val="center"/>
            <w:hideMark/>
          </w:tcPr>
          <w:p w14:paraId="2B0050DC" w14:textId="77777777" w:rsidR="00141D7A" w:rsidRPr="00141D7A" w:rsidRDefault="00141D7A" w:rsidP="00141D7A">
            <w:pPr>
              <w:ind w:left="0" w:right="0" w:firstLine="0"/>
              <w:jc w:val="left"/>
              <w:rPr>
                <w:sz w:val="20"/>
                <w:szCs w:val="20"/>
              </w:rPr>
            </w:pPr>
            <w:r w:rsidRPr="00141D7A">
              <w:rPr>
                <w:sz w:val="20"/>
                <w:szCs w:val="20"/>
              </w:rPr>
              <w:t>Кик-бокс клуб "Деспот" Прњавор</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462ADC24" w14:textId="77777777" w:rsidR="00141D7A" w:rsidRPr="00141D7A" w:rsidRDefault="00141D7A" w:rsidP="00141D7A">
            <w:pPr>
              <w:ind w:left="0" w:right="0" w:firstLine="0"/>
              <w:jc w:val="right"/>
              <w:rPr>
                <w:sz w:val="20"/>
                <w:szCs w:val="20"/>
              </w:rPr>
            </w:pPr>
            <w:r w:rsidRPr="00141D7A">
              <w:rPr>
                <w:sz w:val="20"/>
                <w:szCs w:val="20"/>
              </w:rPr>
              <w:t>2.630,00</w:t>
            </w:r>
          </w:p>
        </w:tc>
        <w:tc>
          <w:tcPr>
            <w:tcW w:w="1320" w:type="dxa"/>
            <w:tcBorders>
              <w:top w:val="nil"/>
              <w:left w:val="nil"/>
              <w:bottom w:val="single" w:sz="4" w:space="0" w:color="auto"/>
              <w:right w:val="single" w:sz="4" w:space="0" w:color="auto"/>
            </w:tcBorders>
            <w:shd w:val="clear" w:color="auto" w:fill="auto"/>
            <w:vAlign w:val="center"/>
            <w:hideMark/>
          </w:tcPr>
          <w:p w14:paraId="754C3135" w14:textId="77777777" w:rsidR="00141D7A" w:rsidRPr="00141D7A" w:rsidRDefault="00141D7A" w:rsidP="00141D7A">
            <w:pPr>
              <w:ind w:left="0" w:right="0" w:firstLine="0"/>
              <w:jc w:val="right"/>
              <w:rPr>
                <w:sz w:val="20"/>
                <w:szCs w:val="20"/>
              </w:rPr>
            </w:pPr>
            <w:r w:rsidRPr="00141D7A">
              <w:rPr>
                <w:sz w:val="20"/>
                <w:szCs w:val="20"/>
              </w:rPr>
              <w:t>0,00</w:t>
            </w:r>
          </w:p>
        </w:tc>
        <w:tc>
          <w:tcPr>
            <w:tcW w:w="1373" w:type="dxa"/>
            <w:tcBorders>
              <w:top w:val="nil"/>
              <w:left w:val="nil"/>
              <w:bottom w:val="single" w:sz="4" w:space="0" w:color="auto"/>
              <w:right w:val="double" w:sz="6" w:space="0" w:color="auto"/>
            </w:tcBorders>
            <w:shd w:val="clear" w:color="000000" w:fill="FFFFFF"/>
            <w:noWrap/>
            <w:vAlign w:val="center"/>
            <w:hideMark/>
          </w:tcPr>
          <w:p w14:paraId="0708C02F" w14:textId="77777777" w:rsidR="00141D7A" w:rsidRPr="00141D7A" w:rsidRDefault="00141D7A" w:rsidP="00141D7A">
            <w:pPr>
              <w:ind w:left="0" w:right="0" w:firstLine="0"/>
              <w:jc w:val="right"/>
              <w:rPr>
                <w:sz w:val="20"/>
                <w:szCs w:val="20"/>
              </w:rPr>
            </w:pPr>
            <w:r w:rsidRPr="00141D7A">
              <w:rPr>
                <w:sz w:val="20"/>
                <w:szCs w:val="20"/>
              </w:rPr>
              <w:t>2.630,00</w:t>
            </w:r>
          </w:p>
        </w:tc>
      </w:tr>
      <w:tr w:rsidR="00141D7A" w:rsidRPr="00141D7A" w14:paraId="364E8B11" w14:textId="77777777" w:rsidTr="00141D7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1AF2BAF7" w14:textId="77777777" w:rsidR="00141D7A" w:rsidRPr="00141D7A" w:rsidRDefault="00141D7A" w:rsidP="00141D7A">
            <w:pPr>
              <w:ind w:left="0" w:right="0" w:firstLine="0"/>
              <w:jc w:val="center"/>
              <w:rPr>
                <w:sz w:val="20"/>
                <w:szCs w:val="20"/>
              </w:rPr>
            </w:pPr>
            <w:r w:rsidRPr="00141D7A">
              <w:rPr>
                <w:sz w:val="20"/>
                <w:szCs w:val="20"/>
              </w:rPr>
              <w:t>10</w:t>
            </w:r>
          </w:p>
        </w:tc>
        <w:tc>
          <w:tcPr>
            <w:tcW w:w="4967" w:type="dxa"/>
            <w:tcBorders>
              <w:top w:val="nil"/>
              <w:left w:val="nil"/>
              <w:bottom w:val="nil"/>
              <w:right w:val="nil"/>
            </w:tcBorders>
            <w:shd w:val="clear" w:color="auto" w:fill="auto"/>
            <w:vAlign w:val="center"/>
            <w:hideMark/>
          </w:tcPr>
          <w:p w14:paraId="6CFB647A" w14:textId="77777777" w:rsidR="00141D7A" w:rsidRPr="00141D7A" w:rsidRDefault="00141D7A" w:rsidP="00141D7A">
            <w:pPr>
              <w:ind w:left="0" w:right="0" w:firstLine="0"/>
              <w:jc w:val="left"/>
              <w:rPr>
                <w:sz w:val="20"/>
                <w:szCs w:val="20"/>
              </w:rPr>
            </w:pPr>
            <w:r w:rsidRPr="00141D7A">
              <w:rPr>
                <w:sz w:val="20"/>
                <w:szCs w:val="20"/>
              </w:rPr>
              <w:t>Кик-бокс клуб "Прњавор" Прњавор</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034A98DB" w14:textId="77777777" w:rsidR="00141D7A" w:rsidRPr="00141D7A" w:rsidRDefault="00141D7A" w:rsidP="00141D7A">
            <w:pPr>
              <w:ind w:left="0" w:right="0" w:firstLine="0"/>
              <w:jc w:val="right"/>
              <w:rPr>
                <w:sz w:val="20"/>
                <w:szCs w:val="20"/>
              </w:rPr>
            </w:pPr>
            <w:r w:rsidRPr="00141D7A">
              <w:rPr>
                <w:sz w:val="20"/>
                <w:szCs w:val="20"/>
              </w:rPr>
              <w:t>2.247,00</w:t>
            </w:r>
          </w:p>
        </w:tc>
        <w:tc>
          <w:tcPr>
            <w:tcW w:w="1320" w:type="dxa"/>
            <w:tcBorders>
              <w:top w:val="nil"/>
              <w:left w:val="nil"/>
              <w:bottom w:val="single" w:sz="4" w:space="0" w:color="auto"/>
              <w:right w:val="single" w:sz="4" w:space="0" w:color="auto"/>
            </w:tcBorders>
            <w:shd w:val="clear" w:color="auto" w:fill="auto"/>
            <w:vAlign w:val="center"/>
            <w:hideMark/>
          </w:tcPr>
          <w:p w14:paraId="5FD6B8D6" w14:textId="77777777" w:rsidR="00141D7A" w:rsidRPr="00141D7A" w:rsidRDefault="00141D7A" w:rsidP="00141D7A">
            <w:pPr>
              <w:ind w:left="0" w:right="0" w:firstLine="0"/>
              <w:jc w:val="right"/>
              <w:rPr>
                <w:sz w:val="20"/>
                <w:szCs w:val="20"/>
              </w:rPr>
            </w:pPr>
            <w:r w:rsidRPr="00141D7A">
              <w:rPr>
                <w:sz w:val="20"/>
                <w:szCs w:val="20"/>
              </w:rPr>
              <w:t>0,00</w:t>
            </w:r>
          </w:p>
        </w:tc>
        <w:tc>
          <w:tcPr>
            <w:tcW w:w="1373" w:type="dxa"/>
            <w:tcBorders>
              <w:top w:val="nil"/>
              <w:left w:val="nil"/>
              <w:bottom w:val="single" w:sz="4" w:space="0" w:color="auto"/>
              <w:right w:val="double" w:sz="6" w:space="0" w:color="auto"/>
            </w:tcBorders>
            <w:shd w:val="clear" w:color="000000" w:fill="FFFFFF"/>
            <w:noWrap/>
            <w:vAlign w:val="center"/>
            <w:hideMark/>
          </w:tcPr>
          <w:p w14:paraId="4B7DDB30" w14:textId="77777777" w:rsidR="00141D7A" w:rsidRPr="00141D7A" w:rsidRDefault="00141D7A" w:rsidP="00141D7A">
            <w:pPr>
              <w:ind w:left="0" w:right="0" w:firstLine="0"/>
              <w:jc w:val="right"/>
              <w:rPr>
                <w:sz w:val="20"/>
                <w:szCs w:val="20"/>
              </w:rPr>
            </w:pPr>
            <w:r w:rsidRPr="00141D7A">
              <w:rPr>
                <w:sz w:val="20"/>
                <w:szCs w:val="20"/>
              </w:rPr>
              <w:t>2.247,00</w:t>
            </w:r>
          </w:p>
        </w:tc>
      </w:tr>
      <w:tr w:rsidR="00141D7A" w:rsidRPr="00141D7A" w14:paraId="7EE10A3A" w14:textId="77777777" w:rsidTr="00E97428">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7E39E1B7" w14:textId="77777777" w:rsidR="00141D7A" w:rsidRPr="00141D7A" w:rsidRDefault="00141D7A" w:rsidP="00141D7A">
            <w:pPr>
              <w:ind w:left="0" w:right="0" w:firstLine="0"/>
              <w:jc w:val="center"/>
              <w:rPr>
                <w:sz w:val="20"/>
                <w:szCs w:val="20"/>
              </w:rPr>
            </w:pPr>
            <w:r w:rsidRPr="00141D7A">
              <w:rPr>
                <w:sz w:val="20"/>
                <w:szCs w:val="20"/>
              </w:rPr>
              <w:t>11</w:t>
            </w:r>
          </w:p>
        </w:tc>
        <w:tc>
          <w:tcPr>
            <w:tcW w:w="4967" w:type="dxa"/>
            <w:tcBorders>
              <w:top w:val="single" w:sz="4" w:space="0" w:color="auto"/>
              <w:left w:val="nil"/>
              <w:bottom w:val="single" w:sz="4" w:space="0" w:color="auto"/>
              <w:right w:val="single" w:sz="4" w:space="0" w:color="auto"/>
            </w:tcBorders>
            <w:shd w:val="clear" w:color="auto" w:fill="auto"/>
            <w:vAlign w:val="center"/>
            <w:hideMark/>
          </w:tcPr>
          <w:p w14:paraId="0D9521D2" w14:textId="77777777" w:rsidR="00141D7A" w:rsidRPr="00141D7A" w:rsidRDefault="00141D7A" w:rsidP="00141D7A">
            <w:pPr>
              <w:ind w:left="0" w:right="0" w:firstLine="0"/>
              <w:jc w:val="left"/>
              <w:rPr>
                <w:sz w:val="20"/>
                <w:szCs w:val="20"/>
              </w:rPr>
            </w:pPr>
            <w:r w:rsidRPr="00141D7A">
              <w:rPr>
                <w:sz w:val="20"/>
                <w:szCs w:val="20"/>
              </w:rPr>
              <w:t>Џудо клуб "Соко-М" Прњавор</w:t>
            </w:r>
          </w:p>
        </w:tc>
        <w:tc>
          <w:tcPr>
            <w:tcW w:w="1417" w:type="dxa"/>
            <w:tcBorders>
              <w:top w:val="nil"/>
              <w:left w:val="nil"/>
              <w:bottom w:val="single" w:sz="4" w:space="0" w:color="auto"/>
              <w:right w:val="single" w:sz="4" w:space="0" w:color="auto"/>
            </w:tcBorders>
            <w:shd w:val="clear" w:color="auto" w:fill="auto"/>
            <w:vAlign w:val="center"/>
            <w:hideMark/>
          </w:tcPr>
          <w:p w14:paraId="2D3F1DFA" w14:textId="77777777" w:rsidR="00141D7A" w:rsidRPr="00141D7A" w:rsidRDefault="00141D7A" w:rsidP="00141D7A">
            <w:pPr>
              <w:ind w:left="0" w:right="0" w:firstLine="0"/>
              <w:jc w:val="right"/>
              <w:rPr>
                <w:sz w:val="20"/>
                <w:szCs w:val="20"/>
              </w:rPr>
            </w:pPr>
            <w:r w:rsidRPr="00141D7A">
              <w:rPr>
                <w:sz w:val="20"/>
                <w:szCs w:val="20"/>
              </w:rPr>
              <w:t>7.875,00</w:t>
            </w:r>
          </w:p>
        </w:tc>
        <w:tc>
          <w:tcPr>
            <w:tcW w:w="1320" w:type="dxa"/>
            <w:tcBorders>
              <w:top w:val="nil"/>
              <w:left w:val="nil"/>
              <w:bottom w:val="single" w:sz="4" w:space="0" w:color="auto"/>
              <w:right w:val="single" w:sz="4" w:space="0" w:color="auto"/>
            </w:tcBorders>
            <w:shd w:val="clear" w:color="auto" w:fill="auto"/>
            <w:vAlign w:val="center"/>
            <w:hideMark/>
          </w:tcPr>
          <w:p w14:paraId="696DCB7F" w14:textId="77777777" w:rsidR="00141D7A" w:rsidRPr="00141D7A" w:rsidRDefault="00141D7A" w:rsidP="00141D7A">
            <w:pPr>
              <w:ind w:left="0" w:right="0" w:firstLine="0"/>
              <w:jc w:val="right"/>
              <w:rPr>
                <w:sz w:val="20"/>
                <w:szCs w:val="20"/>
              </w:rPr>
            </w:pPr>
            <w:r w:rsidRPr="00141D7A">
              <w:rPr>
                <w:sz w:val="20"/>
                <w:szCs w:val="20"/>
              </w:rPr>
              <w:t>0,00</w:t>
            </w:r>
          </w:p>
        </w:tc>
        <w:tc>
          <w:tcPr>
            <w:tcW w:w="1373" w:type="dxa"/>
            <w:tcBorders>
              <w:top w:val="nil"/>
              <w:left w:val="nil"/>
              <w:bottom w:val="single" w:sz="4" w:space="0" w:color="auto"/>
              <w:right w:val="double" w:sz="6" w:space="0" w:color="auto"/>
            </w:tcBorders>
            <w:shd w:val="clear" w:color="000000" w:fill="FFFFFF"/>
            <w:noWrap/>
            <w:vAlign w:val="center"/>
            <w:hideMark/>
          </w:tcPr>
          <w:p w14:paraId="3424B283" w14:textId="77777777" w:rsidR="00141D7A" w:rsidRPr="00141D7A" w:rsidRDefault="00141D7A" w:rsidP="00141D7A">
            <w:pPr>
              <w:ind w:left="0" w:right="0" w:firstLine="0"/>
              <w:jc w:val="right"/>
              <w:rPr>
                <w:sz w:val="20"/>
                <w:szCs w:val="20"/>
              </w:rPr>
            </w:pPr>
            <w:r w:rsidRPr="00141D7A">
              <w:rPr>
                <w:sz w:val="20"/>
                <w:szCs w:val="20"/>
              </w:rPr>
              <w:t>7.875,00</w:t>
            </w:r>
          </w:p>
        </w:tc>
      </w:tr>
      <w:tr w:rsidR="00141D7A" w:rsidRPr="00141D7A" w14:paraId="18936F4B" w14:textId="77777777" w:rsidTr="00E97428">
        <w:trPr>
          <w:trHeight w:val="255"/>
        </w:trPr>
        <w:tc>
          <w:tcPr>
            <w:tcW w:w="539"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1A524D95" w14:textId="77777777" w:rsidR="00141D7A" w:rsidRPr="00141D7A" w:rsidRDefault="00141D7A" w:rsidP="00141D7A">
            <w:pPr>
              <w:ind w:left="0" w:right="0" w:firstLine="0"/>
              <w:jc w:val="center"/>
              <w:rPr>
                <w:sz w:val="20"/>
                <w:szCs w:val="20"/>
              </w:rPr>
            </w:pPr>
            <w:r w:rsidRPr="00141D7A">
              <w:rPr>
                <w:sz w:val="20"/>
                <w:szCs w:val="20"/>
              </w:rPr>
              <w:t>12</w:t>
            </w:r>
          </w:p>
        </w:tc>
        <w:tc>
          <w:tcPr>
            <w:tcW w:w="4967" w:type="dxa"/>
            <w:tcBorders>
              <w:top w:val="single" w:sz="4" w:space="0" w:color="auto"/>
              <w:left w:val="nil"/>
              <w:bottom w:val="single" w:sz="4" w:space="0" w:color="auto"/>
              <w:right w:val="nil"/>
            </w:tcBorders>
            <w:shd w:val="clear" w:color="auto" w:fill="auto"/>
            <w:vAlign w:val="center"/>
            <w:hideMark/>
          </w:tcPr>
          <w:p w14:paraId="62770001" w14:textId="77777777" w:rsidR="00141D7A" w:rsidRPr="00141D7A" w:rsidRDefault="00141D7A" w:rsidP="00141D7A">
            <w:pPr>
              <w:ind w:left="0" w:right="0" w:firstLine="0"/>
              <w:jc w:val="left"/>
              <w:rPr>
                <w:sz w:val="20"/>
                <w:szCs w:val="20"/>
              </w:rPr>
            </w:pPr>
            <w:r w:rsidRPr="00141D7A">
              <w:rPr>
                <w:sz w:val="20"/>
                <w:szCs w:val="20"/>
              </w:rPr>
              <w:t>Шаховски клуб "</w:t>
            </w:r>
            <w:proofErr w:type="spellStart"/>
            <w:r w:rsidRPr="00141D7A">
              <w:rPr>
                <w:sz w:val="20"/>
                <w:szCs w:val="20"/>
              </w:rPr>
              <w:t>Пошк</w:t>
            </w:r>
            <w:proofErr w:type="spellEnd"/>
            <w:r w:rsidRPr="00141D7A">
              <w:rPr>
                <w:sz w:val="20"/>
                <w:szCs w:val="20"/>
              </w:rPr>
              <w:t xml:space="preserve">" </w:t>
            </w:r>
            <w:proofErr w:type="spellStart"/>
            <w:r w:rsidRPr="00141D7A">
              <w:rPr>
                <w:sz w:val="20"/>
                <w:szCs w:val="20"/>
              </w:rPr>
              <w:t>Поточани</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80D05" w14:textId="77777777" w:rsidR="00141D7A" w:rsidRPr="00141D7A" w:rsidRDefault="00141D7A" w:rsidP="00141D7A">
            <w:pPr>
              <w:ind w:left="0" w:right="0" w:firstLine="0"/>
              <w:jc w:val="right"/>
              <w:rPr>
                <w:sz w:val="20"/>
                <w:szCs w:val="20"/>
              </w:rPr>
            </w:pPr>
            <w:r w:rsidRPr="00141D7A">
              <w:rPr>
                <w:sz w:val="20"/>
                <w:szCs w:val="20"/>
              </w:rPr>
              <w:t>4.747,00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9282674" w14:textId="77777777" w:rsidR="00141D7A" w:rsidRPr="00141D7A" w:rsidRDefault="00141D7A" w:rsidP="00141D7A">
            <w:pPr>
              <w:ind w:left="0" w:right="0" w:firstLine="0"/>
              <w:jc w:val="right"/>
              <w:rPr>
                <w:sz w:val="20"/>
                <w:szCs w:val="20"/>
              </w:rPr>
            </w:pPr>
            <w:r w:rsidRPr="00141D7A">
              <w:rPr>
                <w:sz w:val="20"/>
                <w:szCs w:val="20"/>
              </w:rPr>
              <w:t>0,00</w:t>
            </w:r>
          </w:p>
        </w:tc>
        <w:tc>
          <w:tcPr>
            <w:tcW w:w="1373" w:type="dxa"/>
            <w:tcBorders>
              <w:top w:val="single" w:sz="4" w:space="0" w:color="auto"/>
              <w:left w:val="nil"/>
              <w:bottom w:val="single" w:sz="4" w:space="0" w:color="auto"/>
              <w:right w:val="double" w:sz="6" w:space="0" w:color="auto"/>
            </w:tcBorders>
            <w:shd w:val="clear" w:color="000000" w:fill="FFFFFF"/>
            <w:noWrap/>
            <w:vAlign w:val="center"/>
            <w:hideMark/>
          </w:tcPr>
          <w:p w14:paraId="6457D501" w14:textId="77777777" w:rsidR="00141D7A" w:rsidRPr="00141D7A" w:rsidRDefault="00141D7A" w:rsidP="00141D7A">
            <w:pPr>
              <w:ind w:left="0" w:right="0" w:firstLine="0"/>
              <w:jc w:val="right"/>
              <w:rPr>
                <w:sz w:val="20"/>
                <w:szCs w:val="20"/>
              </w:rPr>
            </w:pPr>
            <w:r w:rsidRPr="00141D7A">
              <w:rPr>
                <w:sz w:val="20"/>
                <w:szCs w:val="20"/>
              </w:rPr>
              <w:t>4.747,00</w:t>
            </w:r>
          </w:p>
        </w:tc>
      </w:tr>
      <w:tr w:rsidR="00141D7A" w:rsidRPr="00141D7A" w14:paraId="16087D67" w14:textId="77777777" w:rsidTr="00141D7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6B21413F" w14:textId="77777777" w:rsidR="00141D7A" w:rsidRPr="00141D7A" w:rsidRDefault="00141D7A" w:rsidP="00141D7A">
            <w:pPr>
              <w:ind w:left="0" w:right="0" w:firstLine="0"/>
              <w:jc w:val="center"/>
              <w:rPr>
                <w:sz w:val="20"/>
                <w:szCs w:val="20"/>
              </w:rPr>
            </w:pPr>
            <w:r w:rsidRPr="00141D7A">
              <w:rPr>
                <w:sz w:val="20"/>
                <w:szCs w:val="20"/>
              </w:rPr>
              <w:t>13</w:t>
            </w:r>
          </w:p>
        </w:tc>
        <w:tc>
          <w:tcPr>
            <w:tcW w:w="4967" w:type="dxa"/>
            <w:tcBorders>
              <w:top w:val="nil"/>
              <w:left w:val="nil"/>
              <w:bottom w:val="single" w:sz="4" w:space="0" w:color="auto"/>
              <w:right w:val="single" w:sz="4" w:space="0" w:color="auto"/>
            </w:tcBorders>
            <w:shd w:val="clear" w:color="auto" w:fill="auto"/>
            <w:vAlign w:val="center"/>
            <w:hideMark/>
          </w:tcPr>
          <w:p w14:paraId="75D10625" w14:textId="77777777" w:rsidR="00141D7A" w:rsidRPr="00141D7A" w:rsidRDefault="00141D7A" w:rsidP="00141D7A">
            <w:pPr>
              <w:ind w:left="0" w:right="0" w:firstLine="0"/>
              <w:jc w:val="left"/>
              <w:rPr>
                <w:sz w:val="20"/>
                <w:szCs w:val="20"/>
              </w:rPr>
            </w:pPr>
            <w:r w:rsidRPr="00141D7A">
              <w:rPr>
                <w:sz w:val="20"/>
                <w:szCs w:val="20"/>
              </w:rPr>
              <w:t>Атлетски клуб "Прњавор" Прњавор</w:t>
            </w:r>
          </w:p>
        </w:tc>
        <w:tc>
          <w:tcPr>
            <w:tcW w:w="1417" w:type="dxa"/>
            <w:tcBorders>
              <w:top w:val="nil"/>
              <w:left w:val="nil"/>
              <w:bottom w:val="single" w:sz="4" w:space="0" w:color="auto"/>
              <w:right w:val="single" w:sz="4" w:space="0" w:color="auto"/>
            </w:tcBorders>
            <w:shd w:val="clear" w:color="auto" w:fill="auto"/>
            <w:noWrap/>
            <w:vAlign w:val="center"/>
            <w:hideMark/>
          </w:tcPr>
          <w:p w14:paraId="6EE5A7CF" w14:textId="77777777" w:rsidR="00141D7A" w:rsidRPr="00141D7A" w:rsidRDefault="00141D7A" w:rsidP="00141D7A">
            <w:pPr>
              <w:ind w:left="0" w:right="0" w:firstLine="0"/>
              <w:jc w:val="right"/>
              <w:rPr>
                <w:sz w:val="20"/>
                <w:szCs w:val="20"/>
              </w:rPr>
            </w:pPr>
            <w:r w:rsidRPr="00141D7A">
              <w:rPr>
                <w:sz w:val="20"/>
                <w:szCs w:val="20"/>
              </w:rPr>
              <w:t>10.490,00</w:t>
            </w:r>
          </w:p>
        </w:tc>
        <w:tc>
          <w:tcPr>
            <w:tcW w:w="1320" w:type="dxa"/>
            <w:tcBorders>
              <w:top w:val="nil"/>
              <w:left w:val="nil"/>
              <w:bottom w:val="single" w:sz="4" w:space="0" w:color="auto"/>
              <w:right w:val="single" w:sz="4" w:space="0" w:color="auto"/>
            </w:tcBorders>
            <w:shd w:val="clear" w:color="auto" w:fill="auto"/>
            <w:vAlign w:val="center"/>
            <w:hideMark/>
          </w:tcPr>
          <w:p w14:paraId="7B639F77" w14:textId="77777777" w:rsidR="00141D7A" w:rsidRPr="00141D7A" w:rsidRDefault="00141D7A" w:rsidP="00141D7A">
            <w:pPr>
              <w:ind w:left="0" w:right="0" w:firstLine="0"/>
              <w:jc w:val="right"/>
              <w:rPr>
                <w:sz w:val="20"/>
                <w:szCs w:val="20"/>
              </w:rPr>
            </w:pPr>
            <w:r w:rsidRPr="00141D7A">
              <w:rPr>
                <w:sz w:val="20"/>
                <w:szCs w:val="20"/>
              </w:rPr>
              <w:t>0,00</w:t>
            </w:r>
          </w:p>
        </w:tc>
        <w:tc>
          <w:tcPr>
            <w:tcW w:w="1373" w:type="dxa"/>
            <w:tcBorders>
              <w:top w:val="nil"/>
              <w:left w:val="nil"/>
              <w:bottom w:val="single" w:sz="4" w:space="0" w:color="auto"/>
              <w:right w:val="double" w:sz="6" w:space="0" w:color="auto"/>
            </w:tcBorders>
            <w:shd w:val="clear" w:color="000000" w:fill="FFFFFF"/>
            <w:noWrap/>
            <w:vAlign w:val="center"/>
            <w:hideMark/>
          </w:tcPr>
          <w:p w14:paraId="37E98E65" w14:textId="77777777" w:rsidR="00141D7A" w:rsidRPr="00141D7A" w:rsidRDefault="00141D7A" w:rsidP="00141D7A">
            <w:pPr>
              <w:ind w:left="0" w:right="0" w:firstLine="0"/>
              <w:jc w:val="right"/>
              <w:rPr>
                <w:sz w:val="20"/>
                <w:szCs w:val="20"/>
              </w:rPr>
            </w:pPr>
            <w:r w:rsidRPr="00141D7A">
              <w:rPr>
                <w:sz w:val="20"/>
                <w:szCs w:val="20"/>
              </w:rPr>
              <w:t>10.490,00</w:t>
            </w:r>
          </w:p>
        </w:tc>
      </w:tr>
      <w:tr w:rsidR="00141D7A" w:rsidRPr="00141D7A" w14:paraId="1213DFA0" w14:textId="77777777" w:rsidTr="00141D7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5EBFA18C" w14:textId="77777777" w:rsidR="00141D7A" w:rsidRPr="00141D7A" w:rsidRDefault="00141D7A" w:rsidP="00141D7A">
            <w:pPr>
              <w:ind w:left="0" w:right="0" w:firstLine="0"/>
              <w:jc w:val="center"/>
              <w:rPr>
                <w:sz w:val="20"/>
                <w:szCs w:val="20"/>
              </w:rPr>
            </w:pPr>
            <w:r w:rsidRPr="00141D7A">
              <w:rPr>
                <w:sz w:val="20"/>
                <w:szCs w:val="20"/>
              </w:rPr>
              <w:t>14</w:t>
            </w:r>
          </w:p>
        </w:tc>
        <w:tc>
          <w:tcPr>
            <w:tcW w:w="4967" w:type="dxa"/>
            <w:tcBorders>
              <w:top w:val="nil"/>
              <w:left w:val="nil"/>
              <w:bottom w:val="single" w:sz="4" w:space="0" w:color="auto"/>
              <w:right w:val="nil"/>
            </w:tcBorders>
            <w:shd w:val="clear" w:color="auto" w:fill="auto"/>
            <w:vAlign w:val="center"/>
            <w:hideMark/>
          </w:tcPr>
          <w:p w14:paraId="78A55C7C" w14:textId="77777777" w:rsidR="00141D7A" w:rsidRPr="00141D7A" w:rsidRDefault="00141D7A" w:rsidP="00141D7A">
            <w:pPr>
              <w:ind w:left="0" w:right="0" w:firstLine="0"/>
              <w:jc w:val="left"/>
              <w:rPr>
                <w:sz w:val="20"/>
                <w:szCs w:val="20"/>
              </w:rPr>
            </w:pPr>
            <w:r w:rsidRPr="00141D7A">
              <w:rPr>
                <w:sz w:val="20"/>
                <w:szCs w:val="20"/>
              </w:rPr>
              <w:t>Одбојкашки клуб "</w:t>
            </w:r>
            <w:proofErr w:type="spellStart"/>
            <w:r w:rsidRPr="00141D7A">
              <w:rPr>
                <w:sz w:val="20"/>
                <w:szCs w:val="20"/>
              </w:rPr>
              <w:t>Укрина</w:t>
            </w:r>
            <w:proofErr w:type="spellEnd"/>
            <w:r w:rsidRPr="00141D7A">
              <w:rPr>
                <w:sz w:val="20"/>
                <w:szCs w:val="20"/>
              </w:rPr>
              <w:t>" Прњавор</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7AD9FF13" w14:textId="77777777" w:rsidR="00141D7A" w:rsidRPr="00141D7A" w:rsidRDefault="00141D7A" w:rsidP="00141D7A">
            <w:pPr>
              <w:ind w:left="0" w:right="0" w:firstLine="0"/>
              <w:jc w:val="right"/>
              <w:rPr>
                <w:sz w:val="20"/>
                <w:szCs w:val="20"/>
              </w:rPr>
            </w:pPr>
            <w:r w:rsidRPr="00141D7A">
              <w:rPr>
                <w:sz w:val="20"/>
                <w:szCs w:val="20"/>
              </w:rPr>
              <w:t>7.875,00</w:t>
            </w:r>
          </w:p>
        </w:tc>
        <w:tc>
          <w:tcPr>
            <w:tcW w:w="1320" w:type="dxa"/>
            <w:tcBorders>
              <w:top w:val="nil"/>
              <w:left w:val="nil"/>
              <w:bottom w:val="single" w:sz="4" w:space="0" w:color="auto"/>
              <w:right w:val="single" w:sz="4" w:space="0" w:color="auto"/>
            </w:tcBorders>
            <w:shd w:val="clear" w:color="auto" w:fill="auto"/>
            <w:vAlign w:val="center"/>
            <w:hideMark/>
          </w:tcPr>
          <w:p w14:paraId="181B69D3" w14:textId="77777777" w:rsidR="00141D7A" w:rsidRPr="00141D7A" w:rsidRDefault="00141D7A" w:rsidP="00141D7A">
            <w:pPr>
              <w:ind w:left="0" w:right="0" w:firstLine="0"/>
              <w:jc w:val="right"/>
              <w:rPr>
                <w:sz w:val="20"/>
                <w:szCs w:val="20"/>
              </w:rPr>
            </w:pPr>
            <w:r w:rsidRPr="00141D7A">
              <w:rPr>
                <w:sz w:val="20"/>
                <w:szCs w:val="20"/>
              </w:rPr>
              <w:t>0,00</w:t>
            </w:r>
          </w:p>
        </w:tc>
        <w:tc>
          <w:tcPr>
            <w:tcW w:w="1373" w:type="dxa"/>
            <w:tcBorders>
              <w:top w:val="nil"/>
              <w:left w:val="nil"/>
              <w:bottom w:val="single" w:sz="4" w:space="0" w:color="auto"/>
              <w:right w:val="double" w:sz="6" w:space="0" w:color="auto"/>
            </w:tcBorders>
            <w:shd w:val="clear" w:color="000000" w:fill="FFFFFF"/>
            <w:noWrap/>
            <w:vAlign w:val="center"/>
            <w:hideMark/>
          </w:tcPr>
          <w:p w14:paraId="6EB7891C" w14:textId="77777777" w:rsidR="00141D7A" w:rsidRPr="00141D7A" w:rsidRDefault="00141D7A" w:rsidP="00141D7A">
            <w:pPr>
              <w:ind w:left="0" w:right="0" w:firstLine="0"/>
              <w:jc w:val="right"/>
              <w:rPr>
                <w:sz w:val="20"/>
                <w:szCs w:val="20"/>
              </w:rPr>
            </w:pPr>
            <w:r w:rsidRPr="00141D7A">
              <w:rPr>
                <w:sz w:val="20"/>
                <w:szCs w:val="20"/>
              </w:rPr>
              <w:t>7.875,00</w:t>
            </w:r>
          </w:p>
        </w:tc>
      </w:tr>
      <w:tr w:rsidR="00141D7A" w:rsidRPr="00141D7A" w14:paraId="55BEC578" w14:textId="77777777" w:rsidTr="00141D7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1F76B8B2" w14:textId="77777777" w:rsidR="00141D7A" w:rsidRPr="00141D7A" w:rsidRDefault="00141D7A" w:rsidP="00141D7A">
            <w:pPr>
              <w:ind w:left="0" w:right="0" w:firstLine="0"/>
              <w:jc w:val="center"/>
              <w:rPr>
                <w:sz w:val="20"/>
                <w:szCs w:val="20"/>
              </w:rPr>
            </w:pPr>
            <w:r w:rsidRPr="00141D7A">
              <w:rPr>
                <w:sz w:val="20"/>
                <w:szCs w:val="20"/>
              </w:rPr>
              <w:t>15</w:t>
            </w:r>
          </w:p>
        </w:tc>
        <w:tc>
          <w:tcPr>
            <w:tcW w:w="4967" w:type="dxa"/>
            <w:tcBorders>
              <w:top w:val="nil"/>
              <w:left w:val="nil"/>
              <w:bottom w:val="single" w:sz="4" w:space="0" w:color="auto"/>
              <w:right w:val="single" w:sz="4" w:space="0" w:color="auto"/>
            </w:tcBorders>
            <w:shd w:val="clear" w:color="auto" w:fill="auto"/>
            <w:vAlign w:val="center"/>
            <w:hideMark/>
          </w:tcPr>
          <w:p w14:paraId="289847A7" w14:textId="77777777" w:rsidR="00141D7A" w:rsidRPr="00141D7A" w:rsidRDefault="00141D7A" w:rsidP="00141D7A">
            <w:pPr>
              <w:ind w:left="0" w:right="0" w:firstLine="0"/>
              <w:jc w:val="left"/>
              <w:rPr>
                <w:sz w:val="20"/>
                <w:szCs w:val="20"/>
              </w:rPr>
            </w:pPr>
            <w:r w:rsidRPr="00141D7A">
              <w:rPr>
                <w:sz w:val="20"/>
                <w:szCs w:val="20"/>
              </w:rPr>
              <w:t xml:space="preserve">Кошаркашки клуб "Младост </w:t>
            </w:r>
            <w:proofErr w:type="spellStart"/>
            <w:r w:rsidRPr="00141D7A">
              <w:rPr>
                <w:sz w:val="20"/>
                <w:szCs w:val="20"/>
              </w:rPr>
              <w:t>булдогс</w:t>
            </w:r>
            <w:proofErr w:type="spellEnd"/>
            <w:r w:rsidRPr="00141D7A">
              <w:rPr>
                <w:sz w:val="20"/>
                <w:szCs w:val="20"/>
              </w:rPr>
              <w:t>" Прњавор</w:t>
            </w:r>
          </w:p>
        </w:tc>
        <w:tc>
          <w:tcPr>
            <w:tcW w:w="1417" w:type="dxa"/>
            <w:tcBorders>
              <w:top w:val="nil"/>
              <w:left w:val="nil"/>
              <w:bottom w:val="single" w:sz="4" w:space="0" w:color="auto"/>
              <w:right w:val="single" w:sz="4" w:space="0" w:color="auto"/>
            </w:tcBorders>
            <w:shd w:val="clear" w:color="auto" w:fill="auto"/>
            <w:vAlign w:val="center"/>
            <w:hideMark/>
          </w:tcPr>
          <w:p w14:paraId="750193FA" w14:textId="77777777" w:rsidR="00141D7A" w:rsidRPr="00141D7A" w:rsidRDefault="00141D7A" w:rsidP="00141D7A">
            <w:pPr>
              <w:ind w:left="0" w:right="0" w:firstLine="0"/>
              <w:jc w:val="right"/>
              <w:rPr>
                <w:sz w:val="20"/>
                <w:szCs w:val="20"/>
              </w:rPr>
            </w:pPr>
            <w:r w:rsidRPr="00141D7A">
              <w:rPr>
                <w:sz w:val="20"/>
                <w:szCs w:val="20"/>
              </w:rPr>
              <w:t>29.500,00</w:t>
            </w:r>
          </w:p>
        </w:tc>
        <w:tc>
          <w:tcPr>
            <w:tcW w:w="1320" w:type="dxa"/>
            <w:tcBorders>
              <w:top w:val="nil"/>
              <w:left w:val="nil"/>
              <w:bottom w:val="single" w:sz="4" w:space="0" w:color="auto"/>
              <w:right w:val="single" w:sz="4" w:space="0" w:color="auto"/>
            </w:tcBorders>
            <w:shd w:val="clear" w:color="auto" w:fill="auto"/>
            <w:vAlign w:val="center"/>
            <w:hideMark/>
          </w:tcPr>
          <w:p w14:paraId="5896D481" w14:textId="77777777" w:rsidR="00141D7A" w:rsidRPr="00141D7A" w:rsidRDefault="00141D7A" w:rsidP="00141D7A">
            <w:pPr>
              <w:ind w:left="0" w:right="0" w:firstLine="0"/>
              <w:jc w:val="right"/>
              <w:rPr>
                <w:sz w:val="20"/>
                <w:szCs w:val="20"/>
              </w:rPr>
            </w:pPr>
            <w:r w:rsidRPr="00141D7A">
              <w:rPr>
                <w:sz w:val="20"/>
                <w:szCs w:val="20"/>
              </w:rPr>
              <w:t>0,00</w:t>
            </w:r>
          </w:p>
        </w:tc>
        <w:tc>
          <w:tcPr>
            <w:tcW w:w="1373" w:type="dxa"/>
            <w:tcBorders>
              <w:top w:val="nil"/>
              <w:left w:val="nil"/>
              <w:bottom w:val="single" w:sz="4" w:space="0" w:color="auto"/>
              <w:right w:val="double" w:sz="6" w:space="0" w:color="auto"/>
            </w:tcBorders>
            <w:shd w:val="clear" w:color="000000" w:fill="FFFFFF"/>
            <w:noWrap/>
            <w:vAlign w:val="center"/>
            <w:hideMark/>
          </w:tcPr>
          <w:p w14:paraId="2D634E47" w14:textId="77777777" w:rsidR="00141D7A" w:rsidRPr="00141D7A" w:rsidRDefault="00141D7A" w:rsidP="00141D7A">
            <w:pPr>
              <w:ind w:left="0" w:right="0" w:firstLine="0"/>
              <w:jc w:val="right"/>
              <w:rPr>
                <w:sz w:val="20"/>
                <w:szCs w:val="20"/>
              </w:rPr>
            </w:pPr>
            <w:r w:rsidRPr="00141D7A">
              <w:rPr>
                <w:sz w:val="20"/>
                <w:szCs w:val="20"/>
              </w:rPr>
              <w:t>29.500,00</w:t>
            </w:r>
          </w:p>
        </w:tc>
      </w:tr>
      <w:tr w:rsidR="00141D7A" w:rsidRPr="00141D7A" w14:paraId="444175F3" w14:textId="77777777" w:rsidTr="00E66CBB">
        <w:trPr>
          <w:trHeight w:val="281"/>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12AA77F8" w14:textId="77777777" w:rsidR="00141D7A" w:rsidRPr="00141D7A" w:rsidRDefault="00141D7A" w:rsidP="00141D7A">
            <w:pPr>
              <w:ind w:left="0" w:right="0" w:firstLine="0"/>
              <w:jc w:val="center"/>
              <w:rPr>
                <w:sz w:val="20"/>
                <w:szCs w:val="20"/>
              </w:rPr>
            </w:pPr>
            <w:r w:rsidRPr="00141D7A">
              <w:rPr>
                <w:sz w:val="20"/>
                <w:szCs w:val="20"/>
              </w:rPr>
              <w:t>16</w:t>
            </w:r>
          </w:p>
        </w:tc>
        <w:tc>
          <w:tcPr>
            <w:tcW w:w="4967" w:type="dxa"/>
            <w:tcBorders>
              <w:top w:val="nil"/>
              <w:left w:val="nil"/>
              <w:bottom w:val="nil"/>
              <w:right w:val="single" w:sz="4" w:space="0" w:color="auto"/>
            </w:tcBorders>
            <w:shd w:val="clear" w:color="auto" w:fill="auto"/>
            <w:vAlign w:val="center"/>
            <w:hideMark/>
          </w:tcPr>
          <w:p w14:paraId="30C923BC" w14:textId="77777777" w:rsidR="00141D7A" w:rsidRPr="0095423B" w:rsidRDefault="00141D7A" w:rsidP="00E66CBB">
            <w:pPr>
              <w:ind w:left="0" w:right="0" w:firstLine="0"/>
              <w:jc w:val="left"/>
              <w:rPr>
                <w:sz w:val="20"/>
                <w:szCs w:val="20"/>
                <w:lang w:val="sr-Latn-RS"/>
              </w:rPr>
            </w:pPr>
            <w:r w:rsidRPr="00141D7A">
              <w:rPr>
                <w:sz w:val="20"/>
                <w:szCs w:val="20"/>
              </w:rPr>
              <w:t xml:space="preserve">Средства за набавку пехара поводом избора спортисте </w:t>
            </w:r>
          </w:p>
        </w:tc>
        <w:tc>
          <w:tcPr>
            <w:tcW w:w="1417" w:type="dxa"/>
            <w:tcBorders>
              <w:top w:val="nil"/>
              <w:left w:val="nil"/>
              <w:bottom w:val="single" w:sz="4" w:space="0" w:color="auto"/>
              <w:right w:val="single" w:sz="4" w:space="0" w:color="auto"/>
            </w:tcBorders>
            <w:shd w:val="clear" w:color="auto" w:fill="auto"/>
            <w:vAlign w:val="center"/>
            <w:hideMark/>
          </w:tcPr>
          <w:p w14:paraId="2F6CB771" w14:textId="77777777" w:rsidR="00141D7A" w:rsidRPr="00141D7A" w:rsidRDefault="00141D7A" w:rsidP="00141D7A">
            <w:pPr>
              <w:ind w:left="0" w:right="0" w:firstLine="0"/>
              <w:jc w:val="right"/>
              <w:rPr>
                <w:sz w:val="20"/>
                <w:szCs w:val="20"/>
              </w:rPr>
            </w:pPr>
            <w:r w:rsidRPr="00141D7A">
              <w:rPr>
                <w:sz w:val="20"/>
                <w:szCs w:val="20"/>
              </w:rPr>
              <w:t>925,00</w:t>
            </w:r>
          </w:p>
        </w:tc>
        <w:tc>
          <w:tcPr>
            <w:tcW w:w="1320" w:type="dxa"/>
            <w:tcBorders>
              <w:top w:val="nil"/>
              <w:left w:val="nil"/>
              <w:bottom w:val="single" w:sz="4" w:space="0" w:color="auto"/>
              <w:right w:val="single" w:sz="4" w:space="0" w:color="auto"/>
            </w:tcBorders>
            <w:shd w:val="clear" w:color="auto" w:fill="auto"/>
            <w:vAlign w:val="center"/>
            <w:hideMark/>
          </w:tcPr>
          <w:p w14:paraId="78C64336" w14:textId="77777777" w:rsidR="00141D7A" w:rsidRPr="00141D7A" w:rsidRDefault="00141D7A" w:rsidP="00141D7A">
            <w:pPr>
              <w:ind w:left="0" w:right="0" w:firstLine="0"/>
              <w:jc w:val="right"/>
              <w:rPr>
                <w:sz w:val="20"/>
                <w:szCs w:val="20"/>
              </w:rPr>
            </w:pPr>
            <w:r w:rsidRPr="00141D7A">
              <w:rPr>
                <w:sz w:val="20"/>
                <w:szCs w:val="20"/>
              </w:rPr>
              <w:t>0,00</w:t>
            </w:r>
          </w:p>
        </w:tc>
        <w:tc>
          <w:tcPr>
            <w:tcW w:w="1373" w:type="dxa"/>
            <w:tcBorders>
              <w:top w:val="nil"/>
              <w:left w:val="nil"/>
              <w:bottom w:val="single" w:sz="4" w:space="0" w:color="auto"/>
              <w:right w:val="double" w:sz="6" w:space="0" w:color="auto"/>
            </w:tcBorders>
            <w:shd w:val="clear" w:color="000000" w:fill="FFFFFF"/>
            <w:noWrap/>
            <w:vAlign w:val="center"/>
            <w:hideMark/>
          </w:tcPr>
          <w:p w14:paraId="690D74A9" w14:textId="77777777" w:rsidR="00141D7A" w:rsidRPr="00141D7A" w:rsidRDefault="00141D7A" w:rsidP="00141D7A">
            <w:pPr>
              <w:ind w:left="0" w:right="0" w:firstLine="0"/>
              <w:jc w:val="right"/>
              <w:rPr>
                <w:sz w:val="20"/>
                <w:szCs w:val="20"/>
              </w:rPr>
            </w:pPr>
            <w:r w:rsidRPr="00141D7A">
              <w:rPr>
                <w:sz w:val="20"/>
                <w:szCs w:val="20"/>
              </w:rPr>
              <w:t>925,00</w:t>
            </w:r>
          </w:p>
        </w:tc>
      </w:tr>
      <w:tr w:rsidR="00141D7A" w:rsidRPr="00141D7A" w14:paraId="03D04F02" w14:textId="77777777" w:rsidTr="00141D7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1E56BD1A" w14:textId="77777777" w:rsidR="00141D7A" w:rsidRPr="00141D7A" w:rsidRDefault="00141D7A" w:rsidP="00141D7A">
            <w:pPr>
              <w:ind w:left="0" w:right="0" w:firstLine="0"/>
              <w:jc w:val="center"/>
              <w:rPr>
                <w:sz w:val="20"/>
                <w:szCs w:val="20"/>
              </w:rPr>
            </w:pPr>
            <w:r w:rsidRPr="00141D7A">
              <w:rPr>
                <w:sz w:val="20"/>
                <w:szCs w:val="20"/>
              </w:rPr>
              <w:t>17</w:t>
            </w:r>
          </w:p>
        </w:tc>
        <w:tc>
          <w:tcPr>
            <w:tcW w:w="4967" w:type="dxa"/>
            <w:tcBorders>
              <w:top w:val="single" w:sz="4" w:space="0" w:color="auto"/>
              <w:left w:val="nil"/>
              <w:bottom w:val="single" w:sz="4" w:space="0" w:color="auto"/>
              <w:right w:val="single" w:sz="4" w:space="0" w:color="auto"/>
            </w:tcBorders>
            <w:shd w:val="clear" w:color="auto" w:fill="auto"/>
            <w:vAlign w:val="center"/>
            <w:hideMark/>
          </w:tcPr>
          <w:p w14:paraId="00A14F6A" w14:textId="77777777" w:rsidR="00141D7A" w:rsidRPr="00141D7A" w:rsidRDefault="00141D7A" w:rsidP="00141D7A">
            <w:pPr>
              <w:ind w:left="0" w:right="0" w:firstLine="0"/>
              <w:jc w:val="left"/>
              <w:rPr>
                <w:sz w:val="20"/>
                <w:szCs w:val="20"/>
              </w:rPr>
            </w:pPr>
            <w:r w:rsidRPr="00141D7A">
              <w:rPr>
                <w:sz w:val="20"/>
                <w:szCs w:val="20"/>
              </w:rPr>
              <w:t>Спортски савез општине Прњавор</w:t>
            </w:r>
          </w:p>
        </w:tc>
        <w:tc>
          <w:tcPr>
            <w:tcW w:w="1417" w:type="dxa"/>
            <w:tcBorders>
              <w:top w:val="nil"/>
              <w:left w:val="nil"/>
              <w:bottom w:val="single" w:sz="4" w:space="0" w:color="auto"/>
              <w:right w:val="single" w:sz="4" w:space="0" w:color="auto"/>
            </w:tcBorders>
            <w:shd w:val="clear" w:color="auto" w:fill="auto"/>
            <w:vAlign w:val="center"/>
            <w:hideMark/>
          </w:tcPr>
          <w:p w14:paraId="47703521" w14:textId="77777777" w:rsidR="00141D7A" w:rsidRPr="00141D7A" w:rsidRDefault="00141D7A" w:rsidP="00141D7A">
            <w:pPr>
              <w:ind w:left="0" w:right="0" w:firstLine="0"/>
              <w:jc w:val="right"/>
              <w:rPr>
                <w:sz w:val="20"/>
                <w:szCs w:val="20"/>
              </w:rPr>
            </w:pPr>
            <w:r w:rsidRPr="00141D7A">
              <w:rPr>
                <w:sz w:val="20"/>
                <w:szCs w:val="20"/>
              </w:rPr>
              <w:t>4.000,00</w:t>
            </w:r>
          </w:p>
        </w:tc>
        <w:tc>
          <w:tcPr>
            <w:tcW w:w="1320" w:type="dxa"/>
            <w:tcBorders>
              <w:top w:val="nil"/>
              <w:left w:val="nil"/>
              <w:bottom w:val="single" w:sz="4" w:space="0" w:color="auto"/>
              <w:right w:val="single" w:sz="4" w:space="0" w:color="auto"/>
            </w:tcBorders>
            <w:shd w:val="clear" w:color="auto" w:fill="auto"/>
            <w:vAlign w:val="center"/>
            <w:hideMark/>
          </w:tcPr>
          <w:p w14:paraId="36B2FF7E" w14:textId="77777777" w:rsidR="00141D7A" w:rsidRPr="00141D7A" w:rsidRDefault="00141D7A" w:rsidP="00141D7A">
            <w:pPr>
              <w:ind w:left="0" w:right="0" w:firstLine="0"/>
              <w:jc w:val="right"/>
              <w:rPr>
                <w:sz w:val="20"/>
                <w:szCs w:val="20"/>
              </w:rPr>
            </w:pPr>
            <w:r w:rsidRPr="00141D7A">
              <w:rPr>
                <w:sz w:val="20"/>
                <w:szCs w:val="20"/>
              </w:rPr>
              <w:t>1.384,84</w:t>
            </w:r>
          </w:p>
        </w:tc>
        <w:tc>
          <w:tcPr>
            <w:tcW w:w="1373" w:type="dxa"/>
            <w:tcBorders>
              <w:top w:val="nil"/>
              <w:left w:val="nil"/>
              <w:bottom w:val="single" w:sz="4" w:space="0" w:color="auto"/>
              <w:right w:val="double" w:sz="6" w:space="0" w:color="auto"/>
            </w:tcBorders>
            <w:shd w:val="clear" w:color="000000" w:fill="FFFFFF"/>
            <w:noWrap/>
            <w:vAlign w:val="center"/>
            <w:hideMark/>
          </w:tcPr>
          <w:p w14:paraId="0C00552D" w14:textId="77777777" w:rsidR="00141D7A" w:rsidRPr="00141D7A" w:rsidRDefault="00141D7A" w:rsidP="00141D7A">
            <w:pPr>
              <w:ind w:left="0" w:right="0" w:firstLine="0"/>
              <w:jc w:val="right"/>
              <w:rPr>
                <w:sz w:val="20"/>
                <w:szCs w:val="20"/>
              </w:rPr>
            </w:pPr>
            <w:r w:rsidRPr="00141D7A">
              <w:rPr>
                <w:sz w:val="20"/>
                <w:szCs w:val="20"/>
              </w:rPr>
              <w:t>5.384,84</w:t>
            </w:r>
          </w:p>
        </w:tc>
      </w:tr>
      <w:tr w:rsidR="00141D7A" w:rsidRPr="00141D7A" w14:paraId="74F346F9" w14:textId="77777777" w:rsidTr="00141D7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6973A0EB" w14:textId="77777777" w:rsidR="00141D7A" w:rsidRPr="00141D7A" w:rsidRDefault="00141D7A" w:rsidP="00141D7A">
            <w:pPr>
              <w:ind w:left="0" w:right="0" w:firstLine="0"/>
              <w:jc w:val="center"/>
              <w:rPr>
                <w:sz w:val="20"/>
                <w:szCs w:val="20"/>
              </w:rPr>
            </w:pPr>
            <w:r w:rsidRPr="00141D7A">
              <w:rPr>
                <w:sz w:val="20"/>
                <w:szCs w:val="20"/>
              </w:rPr>
              <w:t>18</w:t>
            </w:r>
          </w:p>
        </w:tc>
        <w:tc>
          <w:tcPr>
            <w:tcW w:w="4967" w:type="dxa"/>
            <w:tcBorders>
              <w:top w:val="nil"/>
              <w:left w:val="nil"/>
              <w:bottom w:val="single" w:sz="4" w:space="0" w:color="auto"/>
              <w:right w:val="single" w:sz="4" w:space="0" w:color="auto"/>
            </w:tcBorders>
            <w:shd w:val="clear" w:color="auto" w:fill="auto"/>
            <w:vAlign w:val="center"/>
            <w:hideMark/>
          </w:tcPr>
          <w:p w14:paraId="13F1431F" w14:textId="77777777" w:rsidR="00141D7A" w:rsidRPr="00141D7A" w:rsidRDefault="00141D7A" w:rsidP="00141D7A">
            <w:pPr>
              <w:ind w:left="0" w:right="0" w:firstLine="0"/>
              <w:jc w:val="left"/>
              <w:rPr>
                <w:sz w:val="20"/>
                <w:szCs w:val="20"/>
              </w:rPr>
            </w:pPr>
            <w:r w:rsidRPr="00141D7A">
              <w:rPr>
                <w:sz w:val="20"/>
                <w:szCs w:val="20"/>
              </w:rPr>
              <w:t>Атлетски клуб "Сан" Прњавор</w:t>
            </w:r>
          </w:p>
        </w:tc>
        <w:tc>
          <w:tcPr>
            <w:tcW w:w="1417" w:type="dxa"/>
            <w:tcBorders>
              <w:top w:val="nil"/>
              <w:left w:val="nil"/>
              <w:bottom w:val="single" w:sz="4" w:space="0" w:color="auto"/>
              <w:right w:val="single" w:sz="4" w:space="0" w:color="auto"/>
            </w:tcBorders>
            <w:shd w:val="clear" w:color="auto" w:fill="auto"/>
            <w:noWrap/>
            <w:vAlign w:val="center"/>
            <w:hideMark/>
          </w:tcPr>
          <w:p w14:paraId="29A8B762" w14:textId="77777777" w:rsidR="00141D7A" w:rsidRPr="00141D7A" w:rsidRDefault="00141D7A" w:rsidP="00141D7A">
            <w:pPr>
              <w:ind w:left="0" w:right="0" w:firstLine="0"/>
              <w:jc w:val="right"/>
              <w:rPr>
                <w:sz w:val="20"/>
                <w:szCs w:val="20"/>
              </w:rPr>
            </w:pPr>
            <w:r w:rsidRPr="00141D7A">
              <w:rPr>
                <w:sz w:val="20"/>
                <w:szCs w:val="20"/>
              </w:rPr>
              <w:t>2.750,00</w:t>
            </w:r>
          </w:p>
        </w:tc>
        <w:tc>
          <w:tcPr>
            <w:tcW w:w="1320" w:type="dxa"/>
            <w:tcBorders>
              <w:top w:val="nil"/>
              <w:left w:val="nil"/>
              <w:bottom w:val="single" w:sz="4" w:space="0" w:color="auto"/>
              <w:right w:val="single" w:sz="4" w:space="0" w:color="auto"/>
            </w:tcBorders>
            <w:shd w:val="clear" w:color="auto" w:fill="auto"/>
            <w:vAlign w:val="center"/>
            <w:hideMark/>
          </w:tcPr>
          <w:p w14:paraId="488FEA24" w14:textId="77777777" w:rsidR="00141D7A" w:rsidRPr="00141D7A" w:rsidRDefault="00141D7A" w:rsidP="00141D7A">
            <w:pPr>
              <w:ind w:left="0" w:right="0" w:firstLine="0"/>
              <w:jc w:val="right"/>
              <w:rPr>
                <w:sz w:val="20"/>
                <w:szCs w:val="20"/>
              </w:rPr>
            </w:pPr>
            <w:r w:rsidRPr="00141D7A">
              <w:rPr>
                <w:sz w:val="20"/>
                <w:szCs w:val="20"/>
              </w:rPr>
              <w:t>500,00</w:t>
            </w:r>
          </w:p>
        </w:tc>
        <w:tc>
          <w:tcPr>
            <w:tcW w:w="1373" w:type="dxa"/>
            <w:tcBorders>
              <w:top w:val="nil"/>
              <w:left w:val="nil"/>
              <w:bottom w:val="single" w:sz="4" w:space="0" w:color="auto"/>
              <w:right w:val="double" w:sz="6" w:space="0" w:color="auto"/>
            </w:tcBorders>
            <w:shd w:val="clear" w:color="000000" w:fill="FFFFFF"/>
            <w:noWrap/>
            <w:vAlign w:val="center"/>
            <w:hideMark/>
          </w:tcPr>
          <w:p w14:paraId="5416421D" w14:textId="77777777" w:rsidR="00141D7A" w:rsidRPr="00141D7A" w:rsidRDefault="00141D7A" w:rsidP="00141D7A">
            <w:pPr>
              <w:ind w:left="0" w:right="0" w:firstLine="0"/>
              <w:jc w:val="right"/>
              <w:rPr>
                <w:sz w:val="20"/>
                <w:szCs w:val="20"/>
              </w:rPr>
            </w:pPr>
            <w:r w:rsidRPr="00141D7A">
              <w:rPr>
                <w:sz w:val="20"/>
                <w:szCs w:val="20"/>
              </w:rPr>
              <w:t>3.250,00</w:t>
            </w:r>
          </w:p>
        </w:tc>
      </w:tr>
      <w:tr w:rsidR="00141D7A" w:rsidRPr="00141D7A" w14:paraId="6DE7ABD2" w14:textId="77777777" w:rsidTr="00141D7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33F6A2A3" w14:textId="77777777" w:rsidR="00141D7A" w:rsidRPr="00141D7A" w:rsidRDefault="00141D7A" w:rsidP="00141D7A">
            <w:pPr>
              <w:ind w:left="0" w:right="0" w:firstLine="0"/>
              <w:jc w:val="center"/>
              <w:rPr>
                <w:sz w:val="20"/>
                <w:szCs w:val="20"/>
              </w:rPr>
            </w:pPr>
            <w:r w:rsidRPr="00141D7A">
              <w:rPr>
                <w:sz w:val="20"/>
                <w:szCs w:val="20"/>
              </w:rPr>
              <w:t>19</w:t>
            </w:r>
          </w:p>
        </w:tc>
        <w:tc>
          <w:tcPr>
            <w:tcW w:w="4967" w:type="dxa"/>
            <w:tcBorders>
              <w:top w:val="nil"/>
              <w:left w:val="nil"/>
              <w:bottom w:val="single" w:sz="4" w:space="0" w:color="auto"/>
              <w:right w:val="nil"/>
            </w:tcBorders>
            <w:shd w:val="clear" w:color="auto" w:fill="auto"/>
            <w:vAlign w:val="center"/>
            <w:hideMark/>
          </w:tcPr>
          <w:p w14:paraId="17CA1B83" w14:textId="77777777" w:rsidR="00141D7A" w:rsidRPr="00141D7A" w:rsidRDefault="00141D7A" w:rsidP="00141D7A">
            <w:pPr>
              <w:ind w:left="0" w:right="0" w:firstLine="0"/>
              <w:jc w:val="left"/>
              <w:rPr>
                <w:sz w:val="20"/>
                <w:szCs w:val="20"/>
              </w:rPr>
            </w:pPr>
            <w:r w:rsidRPr="00141D7A">
              <w:rPr>
                <w:sz w:val="20"/>
                <w:szCs w:val="20"/>
              </w:rPr>
              <w:t>Рукометни клуб "Слога" Прњавор</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3F8E3154" w14:textId="77777777" w:rsidR="00141D7A" w:rsidRPr="00141D7A" w:rsidRDefault="00141D7A" w:rsidP="00141D7A">
            <w:pPr>
              <w:ind w:left="0" w:right="0" w:firstLine="0"/>
              <w:jc w:val="right"/>
              <w:rPr>
                <w:sz w:val="20"/>
                <w:szCs w:val="20"/>
              </w:rPr>
            </w:pPr>
            <w:r w:rsidRPr="00141D7A">
              <w:rPr>
                <w:sz w:val="20"/>
                <w:szCs w:val="20"/>
              </w:rPr>
              <w:t>12.625,00</w:t>
            </w:r>
          </w:p>
        </w:tc>
        <w:tc>
          <w:tcPr>
            <w:tcW w:w="1320" w:type="dxa"/>
            <w:tcBorders>
              <w:top w:val="nil"/>
              <w:left w:val="nil"/>
              <w:bottom w:val="single" w:sz="4" w:space="0" w:color="auto"/>
              <w:right w:val="single" w:sz="4" w:space="0" w:color="auto"/>
            </w:tcBorders>
            <w:shd w:val="clear" w:color="auto" w:fill="auto"/>
            <w:vAlign w:val="center"/>
            <w:hideMark/>
          </w:tcPr>
          <w:p w14:paraId="4D073AF5" w14:textId="77777777" w:rsidR="00141D7A" w:rsidRPr="00141D7A" w:rsidRDefault="00141D7A" w:rsidP="00141D7A">
            <w:pPr>
              <w:ind w:left="0" w:right="0" w:firstLine="0"/>
              <w:jc w:val="right"/>
              <w:rPr>
                <w:sz w:val="20"/>
                <w:szCs w:val="20"/>
              </w:rPr>
            </w:pPr>
            <w:r w:rsidRPr="00141D7A">
              <w:rPr>
                <w:sz w:val="20"/>
                <w:szCs w:val="20"/>
              </w:rPr>
              <w:t>2.000,00</w:t>
            </w:r>
          </w:p>
        </w:tc>
        <w:tc>
          <w:tcPr>
            <w:tcW w:w="1373" w:type="dxa"/>
            <w:tcBorders>
              <w:top w:val="nil"/>
              <w:left w:val="nil"/>
              <w:bottom w:val="single" w:sz="4" w:space="0" w:color="auto"/>
              <w:right w:val="double" w:sz="6" w:space="0" w:color="auto"/>
            </w:tcBorders>
            <w:shd w:val="clear" w:color="000000" w:fill="FFFFFF"/>
            <w:noWrap/>
            <w:vAlign w:val="center"/>
            <w:hideMark/>
          </w:tcPr>
          <w:p w14:paraId="296DA1DF" w14:textId="77777777" w:rsidR="00141D7A" w:rsidRPr="00141D7A" w:rsidRDefault="00141D7A" w:rsidP="00141D7A">
            <w:pPr>
              <w:ind w:left="0" w:right="0" w:firstLine="0"/>
              <w:jc w:val="right"/>
              <w:rPr>
                <w:sz w:val="20"/>
                <w:szCs w:val="20"/>
              </w:rPr>
            </w:pPr>
            <w:r w:rsidRPr="00141D7A">
              <w:rPr>
                <w:sz w:val="20"/>
                <w:szCs w:val="20"/>
              </w:rPr>
              <w:t>14.625,00</w:t>
            </w:r>
          </w:p>
        </w:tc>
      </w:tr>
      <w:tr w:rsidR="00141D7A" w:rsidRPr="00141D7A" w14:paraId="3AF62338" w14:textId="77777777" w:rsidTr="00141D7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6BB77FE3" w14:textId="77777777" w:rsidR="00141D7A" w:rsidRPr="00141D7A" w:rsidRDefault="00141D7A" w:rsidP="00141D7A">
            <w:pPr>
              <w:ind w:left="0" w:right="0" w:firstLine="0"/>
              <w:jc w:val="center"/>
              <w:rPr>
                <w:sz w:val="20"/>
                <w:szCs w:val="20"/>
              </w:rPr>
            </w:pPr>
            <w:r w:rsidRPr="00141D7A">
              <w:rPr>
                <w:sz w:val="20"/>
                <w:szCs w:val="20"/>
              </w:rPr>
              <w:t>20</w:t>
            </w:r>
          </w:p>
        </w:tc>
        <w:tc>
          <w:tcPr>
            <w:tcW w:w="4967" w:type="dxa"/>
            <w:tcBorders>
              <w:top w:val="nil"/>
              <w:left w:val="nil"/>
              <w:bottom w:val="single" w:sz="4" w:space="0" w:color="auto"/>
              <w:right w:val="nil"/>
            </w:tcBorders>
            <w:shd w:val="clear" w:color="auto" w:fill="auto"/>
            <w:vAlign w:val="center"/>
            <w:hideMark/>
          </w:tcPr>
          <w:p w14:paraId="79B2172E" w14:textId="77777777" w:rsidR="00141D7A" w:rsidRPr="00141D7A" w:rsidRDefault="00141D7A" w:rsidP="00141D7A">
            <w:pPr>
              <w:ind w:left="0" w:right="0" w:firstLine="0"/>
              <w:jc w:val="left"/>
              <w:rPr>
                <w:sz w:val="20"/>
                <w:szCs w:val="20"/>
              </w:rPr>
            </w:pPr>
            <w:r w:rsidRPr="00141D7A">
              <w:rPr>
                <w:sz w:val="20"/>
                <w:szCs w:val="20"/>
              </w:rPr>
              <w:t>Општински фудбалски савез Прњавор</w:t>
            </w:r>
          </w:p>
        </w:tc>
        <w:tc>
          <w:tcPr>
            <w:tcW w:w="1417" w:type="dxa"/>
            <w:tcBorders>
              <w:top w:val="nil"/>
              <w:left w:val="single" w:sz="4" w:space="0" w:color="auto"/>
              <w:bottom w:val="nil"/>
              <w:right w:val="single" w:sz="4" w:space="0" w:color="auto"/>
            </w:tcBorders>
            <w:shd w:val="clear" w:color="auto" w:fill="auto"/>
            <w:vAlign w:val="center"/>
            <w:hideMark/>
          </w:tcPr>
          <w:p w14:paraId="40303952" w14:textId="77777777" w:rsidR="00141D7A" w:rsidRPr="00141D7A" w:rsidRDefault="00141D7A" w:rsidP="00141D7A">
            <w:pPr>
              <w:ind w:left="0" w:right="0" w:firstLine="0"/>
              <w:jc w:val="right"/>
              <w:rPr>
                <w:sz w:val="20"/>
                <w:szCs w:val="20"/>
              </w:rPr>
            </w:pPr>
            <w:r w:rsidRPr="00141D7A">
              <w:rPr>
                <w:sz w:val="20"/>
                <w:szCs w:val="20"/>
              </w:rPr>
              <w:t>0,00</w:t>
            </w:r>
          </w:p>
        </w:tc>
        <w:tc>
          <w:tcPr>
            <w:tcW w:w="1320" w:type="dxa"/>
            <w:tcBorders>
              <w:top w:val="nil"/>
              <w:left w:val="nil"/>
              <w:bottom w:val="single" w:sz="4" w:space="0" w:color="auto"/>
              <w:right w:val="single" w:sz="4" w:space="0" w:color="auto"/>
            </w:tcBorders>
            <w:shd w:val="clear" w:color="auto" w:fill="auto"/>
            <w:vAlign w:val="center"/>
            <w:hideMark/>
          </w:tcPr>
          <w:p w14:paraId="1513D123" w14:textId="77777777" w:rsidR="00141D7A" w:rsidRPr="00141D7A" w:rsidRDefault="00141D7A" w:rsidP="00141D7A">
            <w:pPr>
              <w:ind w:left="0" w:right="0" w:firstLine="0"/>
              <w:jc w:val="right"/>
              <w:rPr>
                <w:sz w:val="20"/>
                <w:szCs w:val="20"/>
              </w:rPr>
            </w:pPr>
            <w:r w:rsidRPr="00141D7A">
              <w:rPr>
                <w:sz w:val="20"/>
                <w:szCs w:val="20"/>
              </w:rPr>
              <w:t>10.930,00</w:t>
            </w:r>
          </w:p>
        </w:tc>
        <w:tc>
          <w:tcPr>
            <w:tcW w:w="1373" w:type="dxa"/>
            <w:tcBorders>
              <w:top w:val="nil"/>
              <w:left w:val="nil"/>
              <w:bottom w:val="single" w:sz="4" w:space="0" w:color="auto"/>
              <w:right w:val="double" w:sz="6" w:space="0" w:color="auto"/>
            </w:tcBorders>
            <w:shd w:val="clear" w:color="000000" w:fill="FFFFFF"/>
            <w:noWrap/>
            <w:vAlign w:val="center"/>
            <w:hideMark/>
          </w:tcPr>
          <w:p w14:paraId="344AF718" w14:textId="77777777" w:rsidR="00141D7A" w:rsidRPr="00141D7A" w:rsidRDefault="00141D7A" w:rsidP="00141D7A">
            <w:pPr>
              <w:ind w:left="0" w:right="0" w:firstLine="0"/>
              <w:jc w:val="right"/>
              <w:rPr>
                <w:sz w:val="20"/>
                <w:szCs w:val="20"/>
              </w:rPr>
            </w:pPr>
            <w:r w:rsidRPr="00141D7A">
              <w:rPr>
                <w:sz w:val="20"/>
                <w:szCs w:val="20"/>
              </w:rPr>
              <w:t>10.930,00</w:t>
            </w:r>
          </w:p>
        </w:tc>
      </w:tr>
      <w:tr w:rsidR="00141D7A" w:rsidRPr="00141D7A" w14:paraId="38FD15E5" w14:textId="77777777" w:rsidTr="00141D7A">
        <w:trPr>
          <w:trHeight w:val="25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0FB1EA79" w14:textId="77777777" w:rsidR="00141D7A" w:rsidRPr="00141D7A" w:rsidRDefault="00141D7A" w:rsidP="00141D7A">
            <w:pPr>
              <w:ind w:left="0" w:right="0" w:firstLine="0"/>
              <w:jc w:val="center"/>
              <w:rPr>
                <w:sz w:val="20"/>
                <w:szCs w:val="20"/>
              </w:rPr>
            </w:pPr>
            <w:r w:rsidRPr="00141D7A">
              <w:rPr>
                <w:sz w:val="20"/>
                <w:szCs w:val="20"/>
              </w:rPr>
              <w:t>21</w:t>
            </w:r>
          </w:p>
        </w:tc>
        <w:tc>
          <w:tcPr>
            <w:tcW w:w="4967" w:type="dxa"/>
            <w:tcBorders>
              <w:top w:val="single" w:sz="4" w:space="0" w:color="auto"/>
              <w:left w:val="nil"/>
              <w:bottom w:val="single" w:sz="4" w:space="0" w:color="auto"/>
              <w:right w:val="single" w:sz="4" w:space="0" w:color="auto"/>
            </w:tcBorders>
            <w:shd w:val="clear" w:color="auto" w:fill="auto"/>
            <w:vAlign w:val="center"/>
            <w:hideMark/>
          </w:tcPr>
          <w:p w14:paraId="377CD03E" w14:textId="77777777" w:rsidR="00141D7A" w:rsidRPr="00141D7A" w:rsidRDefault="00141D7A" w:rsidP="00141D7A">
            <w:pPr>
              <w:ind w:left="0" w:right="0" w:firstLine="0"/>
              <w:jc w:val="left"/>
              <w:rPr>
                <w:sz w:val="20"/>
                <w:szCs w:val="20"/>
              </w:rPr>
            </w:pPr>
            <w:r w:rsidRPr="00141D7A">
              <w:rPr>
                <w:sz w:val="20"/>
                <w:szCs w:val="20"/>
              </w:rPr>
              <w:t>Боксерски клуб "Ринг" Прњавор</w:t>
            </w:r>
          </w:p>
        </w:tc>
        <w:tc>
          <w:tcPr>
            <w:tcW w:w="1417" w:type="dxa"/>
            <w:tcBorders>
              <w:top w:val="single" w:sz="4" w:space="0" w:color="auto"/>
              <w:left w:val="nil"/>
              <w:bottom w:val="nil"/>
              <w:right w:val="single" w:sz="4" w:space="0" w:color="auto"/>
            </w:tcBorders>
            <w:shd w:val="clear" w:color="auto" w:fill="auto"/>
            <w:vAlign w:val="center"/>
            <w:hideMark/>
          </w:tcPr>
          <w:p w14:paraId="4A4D9B69" w14:textId="77777777" w:rsidR="00141D7A" w:rsidRPr="00141D7A" w:rsidRDefault="00141D7A" w:rsidP="00141D7A">
            <w:pPr>
              <w:ind w:left="0" w:right="0" w:firstLine="0"/>
              <w:jc w:val="right"/>
              <w:rPr>
                <w:sz w:val="20"/>
                <w:szCs w:val="20"/>
              </w:rPr>
            </w:pPr>
            <w:r w:rsidRPr="00141D7A">
              <w:rPr>
                <w:sz w:val="20"/>
                <w:szCs w:val="20"/>
              </w:rPr>
              <w:t>0,00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E4FF086" w14:textId="77777777" w:rsidR="00141D7A" w:rsidRPr="00141D7A" w:rsidRDefault="00141D7A" w:rsidP="00141D7A">
            <w:pPr>
              <w:ind w:left="0" w:right="0" w:firstLine="0"/>
              <w:jc w:val="right"/>
              <w:rPr>
                <w:sz w:val="20"/>
                <w:szCs w:val="20"/>
              </w:rPr>
            </w:pPr>
            <w:r w:rsidRPr="00141D7A">
              <w:rPr>
                <w:sz w:val="20"/>
                <w:szCs w:val="20"/>
              </w:rPr>
              <w:t>1.100,00</w:t>
            </w:r>
          </w:p>
        </w:tc>
        <w:tc>
          <w:tcPr>
            <w:tcW w:w="1373" w:type="dxa"/>
            <w:tcBorders>
              <w:top w:val="single" w:sz="4" w:space="0" w:color="auto"/>
              <w:left w:val="nil"/>
              <w:bottom w:val="single" w:sz="4" w:space="0" w:color="auto"/>
              <w:right w:val="double" w:sz="6" w:space="0" w:color="auto"/>
            </w:tcBorders>
            <w:shd w:val="clear" w:color="000000" w:fill="FFFFFF"/>
            <w:noWrap/>
            <w:vAlign w:val="center"/>
            <w:hideMark/>
          </w:tcPr>
          <w:p w14:paraId="7BCB154D" w14:textId="77777777" w:rsidR="00141D7A" w:rsidRPr="00141D7A" w:rsidRDefault="00141D7A" w:rsidP="00141D7A">
            <w:pPr>
              <w:ind w:left="0" w:right="0" w:firstLine="0"/>
              <w:jc w:val="right"/>
              <w:rPr>
                <w:sz w:val="20"/>
                <w:szCs w:val="20"/>
              </w:rPr>
            </w:pPr>
            <w:r w:rsidRPr="00141D7A">
              <w:rPr>
                <w:sz w:val="20"/>
                <w:szCs w:val="20"/>
              </w:rPr>
              <w:t>1.100,00</w:t>
            </w:r>
          </w:p>
        </w:tc>
      </w:tr>
      <w:tr w:rsidR="00141D7A" w:rsidRPr="00141D7A" w14:paraId="7762E6AD" w14:textId="77777777" w:rsidTr="00141D7A">
        <w:trPr>
          <w:trHeight w:val="510"/>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603DD3D2" w14:textId="77777777" w:rsidR="00141D7A" w:rsidRPr="00141D7A" w:rsidRDefault="00141D7A" w:rsidP="00141D7A">
            <w:pPr>
              <w:ind w:left="0" w:right="0" w:firstLine="0"/>
              <w:jc w:val="center"/>
              <w:rPr>
                <w:sz w:val="20"/>
                <w:szCs w:val="20"/>
              </w:rPr>
            </w:pPr>
            <w:r w:rsidRPr="00141D7A">
              <w:rPr>
                <w:sz w:val="20"/>
                <w:szCs w:val="20"/>
              </w:rPr>
              <w:t>22</w:t>
            </w:r>
          </w:p>
        </w:tc>
        <w:tc>
          <w:tcPr>
            <w:tcW w:w="4967" w:type="dxa"/>
            <w:tcBorders>
              <w:top w:val="nil"/>
              <w:left w:val="nil"/>
              <w:bottom w:val="nil"/>
              <w:right w:val="single" w:sz="4" w:space="0" w:color="auto"/>
            </w:tcBorders>
            <w:shd w:val="clear" w:color="auto" w:fill="auto"/>
            <w:vAlign w:val="center"/>
            <w:hideMark/>
          </w:tcPr>
          <w:p w14:paraId="3EF41321" w14:textId="77777777" w:rsidR="00141D7A" w:rsidRPr="00141D7A" w:rsidRDefault="00141D7A" w:rsidP="00141D7A">
            <w:pPr>
              <w:ind w:left="0" w:right="0" w:firstLine="0"/>
              <w:jc w:val="left"/>
              <w:rPr>
                <w:sz w:val="20"/>
                <w:szCs w:val="20"/>
              </w:rPr>
            </w:pPr>
            <w:r w:rsidRPr="00141D7A">
              <w:rPr>
                <w:sz w:val="20"/>
                <w:szCs w:val="20"/>
              </w:rPr>
              <w:t>Спортско друштво за узгој и заштиту ситних животиња "Феникс" Прњавор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48EABC9" w14:textId="77777777" w:rsidR="00141D7A" w:rsidRPr="00141D7A" w:rsidRDefault="00141D7A" w:rsidP="00141D7A">
            <w:pPr>
              <w:ind w:left="0" w:right="0" w:firstLine="0"/>
              <w:jc w:val="right"/>
              <w:rPr>
                <w:sz w:val="20"/>
                <w:szCs w:val="20"/>
              </w:rPr>
            </w:pPr>
            <w:r w:rsidRPr="00141D7A">
              <w:rPr>
                <w:sz w:val="20"/>
                <w:szCs w:val="20"/>
              </w:rPr>
              <w:t>0,00</w:t>
            </w:r>
          </w:p>
        </w:tc>
        <w:tc>
          <w:tcPr>
            <w:tcW w:w="1320" w:type="dxa"/>
            <w:tcBorders>
              <w:top w:val="nil"/>
              <w:left w:val="nil"/>
              <w:bottom w:val="single" w:sz="4" w:space="0" w:color="auto"/>
              <w:right w:val="single" w:sz="4" w:space="0" w:color="auto"/>
            </w:tcBorders>
            <w:shd w:val="clear" w:color="auto" w:fill="auto"/>
            <w:vAlign w:val="center"/>
            <w:hideMark/>
          </w:tcPr>
          <w:p w14:paraId="60610CD8" w14:textId="77777777" w:rsidR="00141D7A" w:rsidRPr="00141D7A" w:rsidRDefault="00141D7A" w:rsidP="00141D7A">
            <w:pPr>
              <w:ind w:left="0" w:right="0" w:firstLine="0"/>
              <w:jc w:val="right"/>
              <w:rPr>
                <w:sz w:val="20"/>
                <w:szCs w:val="20"/>
              </w:rPr>
            </w:pPr>
            <w:r w:rsidRPr="00141D7A">
              <w:rPr>
                <w:sz w:val="20"/>
                <w:szCs w:val="20"/>
              </w:rPr>
              <w:t>1.200,00</w:t>
            </w:r>
          </w:p>
        </w:tc>
        <w:tc>
          <w:tcPr>
            <w:tcW w:w="1373" w:type="dxa"/>
            <w:tcBorders>
              <w:top w:val="nil"/>
              <w:left w:val="nil"/>
              <w:bottom w:val="single" w:sz="4" w:space="0" w:color="auto"/>
              <w:right w:val="double" w:sz="6" w:space="0" w:color="auto"/>
            </w:tcBorders>
            <w:shd w:val="clear" w:color="000000" w:fill="FFFFFF"/>
            <w:noWrap/>
            <w:vAlign w:val="center"/>
            <w:hideMark/>
          </w:tcPr>
          <w:p w14:paraId="0636979C" w14:textId="77777777" w:rsidR="00141D7A" w:rsidRPr="00141D7A" w:rsidRDefault="00141D7A" w:rsidP="00141D7A">
            <w:pPr>
              <w:ind w:left="0" w:right="0" w:firstLine="0"/>
              <w:jc w:val="right"/>
              <w:rPr>
                <w:sz w:val="20"/>
                <w:szCs w:val="20"/>
              </w:rPr>
            </w:pPr>
            <w:r w:rsidRPr="00141D7A">
              <w:rPr>
                <w:sz w:val="20"/>
                <w:szCs w:val="20"/>
              </w:rPr>
              <w:t>1.200,00</w:t>
            </w:r>
          </w:p>
        </w:tc>
      </w:tr>
      <w:tr w:rsidR="00141D7A" w:rsidRPr="00141D7A" w14:paraId="70014905" w14:textId="77777777" w:rsidTr="00141D7A">
        <w:trPr>
          <w:trHeight w:val="270"/>
        </w:trPr>
        <w:tc>
          <w:tcPr>
            <w:tcW w:w="539" w:type="dxa"/>
            <w:tcBorders>
              <w:top w:val="nil"/>
              <w:left w:val="double" w:sz="6" w:space="0" w:color="auto"/>
              <w:bottom w:val="double" w:sz="6" w:space="0" w:color="auto"/>
              <w:right w:val="single" w:sz="4" w:space="0" w:color="auto"/>
            </w:tcBorders>
            <w:shd w:val="clear" w:color="auto" w:fill="auto"/>
            <w:noWrap/>
            <w:vAlign w:val="center"/>
            <w:hideMark/>
          </w:tcPr>
          <w:p w14:paraId="28388518" w14:textId="77777777" w:rsidR="00141D7A" w:rsidRPr="00141D7A" w:rsidRDefault="00141D7A" w:rsidP="00141D7A">
            <w:pPr>
              <w:ind w:left="0" w:right="0" w:firstLine="0"/>
              <w:jc w:val="center"/>
              <w:rPr>
                <w:sz w:val="20"/>
                <w:szCs w:val="20"/>
              </w:rPr>
            </w:pPr>
            <w:r w:rsidRPr="00141D7A">
              <w:rPr>
                <w:sz w:val="20"/>
                <w:szCs w:val="20"/>
              </w:rPr>
              <w:t>23</w:t>
            </w:r>
          </w:p>
        </w:tc>
        <w:tc>
          <w:tcPr>
            <w:tcW w:w="4967" w:type="dxa"/>
            <w:tcBorders>
              <w:top w:val="single" w:sz="4" w:space="0" w:color="auto"/>
              <w:left w:val="nil"/>
              <w:bottom w:val="double" w:sz="6" w:space="0" w:color="auto"/>
              <w:right w:val="single" w:sz="4" w:space="0" w:color="auto"/>
            </w:tcBorders>
            <w:shd w:val="clear" w:color="auto" w:fill="auto"/>
            <w:vAlign w:val="center"/>
            <w:hideMark/>
          </w:tcPr>
          <w:p w14:paraId="1B56A224" w14:textId="77777777" w:rsidR="00141D7A" w:rsidRPr="00141D7A" w:rsidRDefault="00141D7A" w:rsidP="00141D7A">
            <w:pPr>
              <w:ind w:left="0" w:right="0" w:firstLine="0"/>
              <w:jc w:val="left"/>
              <w:rPr>
                <w:sz w:val="20"/>
                <w:szCs w:val="20"/>
              </w:rPr>
            </w:pPr>
            <w:proofErr w:type="spellStart"/>
            <w:r w:rsidRPr="00141D7A">
              <w:rPr>
                <w:sz w:val="20"/>
                <w:szCs w:val="20"/>
              </w:rPr>
              <w:t>Airsoft</w:t>
            </w:r>
            <w:proofErr w:type="spellEnd"/>
            <w:r w:rsidRPr="00141D7A">
              <w:rPr>
                <w:sz w:val="20"/>
                <w:szCs w:val="20"/>
              </w:rPr>
              <w:t xml:space="preserve"> </w:t>
            </w:r>
            <w:proofErr w:type="spellStart"/>
            <w:r w:rsidRPr="00141D7A">
              <w:rPr>
                <w:sz w:val="20"/>
                <w:szCs w:val="20"/>
              </w:rPr>
              <w:t>club</w:t>
            </w:r>
            <w:proofErr w:type="spellEnd"/>
            <w:r w:rsidRPr="00141D7A">
              <w:rPr>
                <w:sz w:val="20"/>
                <w:szCs w:val="20"/>
              </w:rPr>
              <w:t xml:space="preserve"> "Гвоздени пук" Прњавор</w:t>
            </w:r>
          </w:p>
        </w:tc>
        <w:tc>
          <w:tcPr>
            <w:tcW w:w="1417" w:type="dxa"/>
            <w:tcBorders>
              <w:top w:val="nil"/>
              <w:left w:val="nil"/>
              <w:bottom w:val="double" w:sz="6" w:space="0" w:color="auto"/>
              <w:right w:val="single" w:sz="4" w:space="0" w:color="auto"/>
            </w:tcBorders>
            <w:shd w:val="clear" w:color="auto" w:fill="auto"/>
            <w:vAlign w:val="center"/>
            <w:hideMark/>
          </w:tcPr>
          <w:p w14:paraId="6597104C" w14:textId="77777777" w:rsidR="00141D7A" w:rsidRPr="00141D7A" w:rsidRDefault="00141D7A" w:rsidP="00141D7A">
            <w:pPr>
              <w:ind w:left="0" w:right="0" w:firstLine="0"/>
              <w:jc w:val="right"/>
              <w:rPr>
                <w:sz w:val="20"/>
                <w:szCs w:val="20"/>
              </w:rPr>
            </w:pPr>
            <w:r w:rsidRPr="00141D7A">
              <w:rPr>
                <w:sz w:val="20"/>
                <w:szCs w:val="20"/>
              </w:rPr>
              <w:t>0,00</w:t>
            </w:r>
          </w:p>
        </w:tc>
        <w:tc>
          <w:tcPr>
            <w:tcW w:w="1320" w:type="dxa"/>
            <w:tcBorders>
              <w:top w:val="nil"/>
              <w:left w:val="nil"/>
              <w:bottom w:val="double" w:sz="6" w:space="0" w:color="auto"/>
              <w:right w:val="single" w:sz="4" w:space="0" w:color="auto"/>
            </w:tcBorders>
            <w:shd w:val="clear" w:color="auto" w:fill="auto"/>
            <w:vAlign w:val="center"/>
            <w:hideMark/>
          </w:tcPr>
          <w:p w14:paraId="6F592FEA" w14:textId="77777777" w:rsidR="00141D7A" w:rsidRPr="00141D7A" w:rsidRDefault="00141D7A" w:rsidP="00141D7A">
            <w:pPr>
              <w:ind w:left="0" w:right="0" w:firstLine="0"/>
              <w:jc w:val="right"/>
              <w:rPr>
                <w:sz w:val="20"/>
                <w:szCs w:val="20"/>
              </w:rPr>
            </w:pPr>
            <w:r w:rsidRPr="00141D7A">
              <w:rPr>
                <w:sz w:val="20"/>
                <w:szCs w:val="20"/>
              </w:rPr>
              <w:t>1.000,00</w:t>
            </w:r>
          </w:p>
        </w:tc>
        <w:tc>
          <w:tcPr>
            <w:tcW w:w="1373" w:type="dxa"/>
            <w:tcBorders>
              <w:top w:val="nil"/>
              <w:left w:val="nil"/>
              <w:bottom w:val="double" w:sz="6" w:space="0" w:color="auto"/>
              <w:right w:val="double" w:sz="6" w:space="0" w:color="auto"/>
            </w:tcBorders>
            <w:shd w:val="clear" w:color="000000" w:fill="FFFFFF"/>
            <w:noWrap/>
            <w:vAlign w:val="center"/>
            <w:hideMark/>
          </w:tcPr>
          <w:p w14:paraId="4B900AF5" w14:textId="77777777" w:rsidR="00141D7A" w:rsidRPr="00141D7A" w:rsidRDefault="00141D7A" w:rsidP="00141D7A">
            <w:pPr>
              <w:ind w:left="0" w:right="0" w:firstLine="0"/>
              <w:jc w:val="right"/>
              <w:rPr>
                <w:sz w:val="20"/>
                <w:szCs w:val="20"/>
              </w:rPr>
            </w:pPr>
            <w:r w:rsidRPr="00141D7A">
              <w:rPr>
                <w:sz w:val="20"/>
                <w:szCs w:val="20"/>
              </w:rPr>
              <w:t>1.000,00</w:t>
            </w:r>
          </w:p>
        </w:tc>
      </w:tr>
      <w:tr w:rsidR="00141D7A" w:rsidRPr="00141D7A" w14:paraId="01BB0D95" w14:textId="77777777" w:rsidTr="00141D7A">
        <w:trPr>
          <w:trHeight w:val="345"/>
        </w:trPr>
        <w:tc>
          <w:tcPr>
            <w:tcW w:w="5506" w:type="dxa"/>
            <w:gridSpan w:val="2"/>
            <w:tcBorders>
              <w:top w:val="double" w:sz="6" w:space="0" w:color="auto"/>
              <w:left w:val="double" w:sz="6" w:space="0" w:color="auto"/>
              <w:bottom w:val="double" w:sz="6" w:space="0" w:color="auto"/>
              <w:right w:val="single" w:sz="4" w:space="0" w:color="auto"/>
            </w:tcBorders>
            <w:shd w:val="clear" w:color="auto" w:fill="auto"/>
            <w:vAlign w:val="center"/>
            <w:hideMark/>
          </w:tcPr>
          <w:p w14:paraId="7C5B33DB" w14:textId="77777777" w:rsidR="00141D7A" w:rsidRPr="00141D7A" w:rsidRDefault="00141D7A" w:rsidP="00141D7A">
            <w:pPr>
              <w:ind w:left="0" w:right="0" w:firstLine="0"/>
              <w:jc w:val="center"/>
              <w:rPr>
                <w:b/>
                <w:bCs/>
                <w:sz w:val="20"/>
                <w:szCs w:val="20"/>
              </w:rPr>
            </w:pPr>
            <w:r w:rsidRPr="00141D7A">
              <w:rPr>
                <w:b/>
                <w:bCs/>
                <w:sz w:val="20"/>
                <w:szCs w:val="20"/>
              </w:rPr>
              <w:t>У К У П Н О</w:t>
            </w:r>
          </w:p>
        </w:tc>
        <w:tc>
          <w:tcPr>
            <w:tcW w:w="1417" w:type="dxa"/>
            <w:tcBorders>
              <w:top w:val="double" w:sz="6" w:space="0" w:color="auto"/>
              <w:left w:val="nil"/>
              <w:bottom w:val="double" w:sz="6" w:space="0" w:color="auto"/>
              <w:right w:val="nil"/>
            </w:tcBorders>
            <w:shd w:val="clear" w:color="auto" w:fill="auto"/>
            <w:noWrap/>
            <w:vAlign w:val="center"/>
            <w:hideMark/>
          </w:tcPr>
          <w:p w14:paraId="51E16041" w14:textId="77777777" w:rsidR="00141D7A" w:rsidRPr="00141D7A" w:rsidRDefault="00141D7A" w:rsidP="00141D7A">
            <w:pPr>
              <w:ind w:left="0" w:right="0" w:firstLine="0"/>
              <w:jc w:val="right"/>
              <w:rPr>
                <w:b/>
                <w:bCs/>
                <w:sz w:val="20"/>
                <w:szCs w:val="20"/>
              </w:rPr>
            </w:pPr>
            <w:r w:rsidRPr="00141D7A">
              <w:rPr>
                <w:b/>
                <w:bCs/>
                <w:sz w:val="20"/>
                <w:szCs w:val="20"/>
              </w:rPr>
              <w:t>212.838,00</w:t>
            </w:r>
          </w:p>
        </w:tc>
        <w:tc>
          <w:tcPr>
            <w:tcW w:w="1320" w:type="dxa"/>
            <w:tcBorders>
              <w:top w:val="double" w:sz="6" w:space="0" w:color="auto"/>
              <w:left w:val="single" w:sz="4" w:space="0" w:color="auto"/>
              <w:bottom w:val="double" w:sz="6" w:space="0" w:color="auto"/>
              <w:right w:val="nil"/>
            </w:tcBorders>
            <w:shd w:val="clear" w:color="auto" w:fill="auto"/>
            <w:noWrap/>
            <w:vAlign w:val="center"/>
            <w:hideMark/>
          </w:tcPr>
          <w:p w14:paraId="4E3675A7" w14:textId="77777777" w:rsidR="00141D7A" w:rsidRPr="00141D7A" w:rsidRDefault="00141D7A" w:rsidP="00141D7A">
            <w:pPr>
              <w:ind w:left="0" w:right="0" w:firstLine="0"/>
              <w:jc w:val="right"/>
              <w:rPr>
                <w:b/>
                <w:bCs/>
                <w:sz w:val="20"/>
                <w:szCs w:val="20"/>
              </w:rPr>
            </w:pPr>
            <w:r w:rsidRPr="00141D7A">
              <w:rPr>
                <w:b/>
                <w:bCs/>
                <w:sz w:val="20"/>
                <w:szCs w:val="20"/>
              </w:rPr>
              <w:t>55.049,84</w:t>
            </w:r>
          </w:p>
        </w:tc>
        <w:tc>
          <w:tcPr>
            <w:tcW w:w="1373" w:type="dxa"/>
            <w:tcBorders>
              <w:top w:val="double" w:sz="6" w:space="0" w:color="auto"/>
              <w:left w:val="single" w:sz="4" w:space="0" w:color="auto"/>
              <w:bottom w:val="double" w:sz="6" w:space="0" w:color="auto"/>
              <w:right w:val="double" w:sz="6" w:space="0" w:color="auto"/>
            </w:tcBorders>
            <w:shd w:val="clear" w:color="auto" w:fill="auto"/>
            <w:noWrap/>
            <w:vAlign w:val="center"/>
            <w:hideMark/>
          </w:tcPr>
          <w:p w14:paraId="1A4C71EB" w14:textId="77777777" w:rsidR="00141D7A" w:rsidRPr="00141D7A" w:rsidRDefault="00141D7A" w:rsidP="00141D7A">
            <w:pPr>
              <w:ind w:left="0" w:right="0" w:firstLine="0"/>
              <w:jc w:val="right"/>
              <w:rPr>
                <w:b/>
                <w:bCs/>
                <w:sz w:val="20"/>
                <w:szCs w:val="20"/>
              </w:rPr>
            </w:pPr>
            <w:r w:rsidRPr="00141D7A">
              <w:rPr>
                <w:b/>
                <w:bCs/>
                <w:sz w:val="20"/>
                <w:szCs w:val="20"/>
              </w:rPr>
              <w:t>267.887,84</w:t>
            </w:r>
          </w:p>
        </w:tc>
      </w:tr>
    </w:tbl>
    <w:p w14:paraId="0004AC01" w14:textId="77777777" w:rsidR="00A54222" w:rsidRPr="00D07C4E" w:rsidRDefault="00A54222" w:rsidP="003E0BA8">
      <w:pPr>
        <w:tabs>
          <w:tab w:val="right" w:leader="dot" w:pos="9214"/>
        </w:tabs>
        <w:ind w:left="0" w:firstLine="0"/>
        <w:rPr>
          <w:b/>
        </w:rPr>
      </w:pPr>
    </w:p>
    <w:p w14:paraId="4E474F8C" w14:textId="77777777" w:rsidR="003E0BA8" w:rsidRDefault="003E0BA8" w:rsidP="003E0BA8">
      <w:pPr>
        <w:spacing w:before="120"/>
        <w:ind w:left="0" w:firstLine="0"/>
      </w:pPr>
      <w:r>
        <w:tab/>
        <w:t>Средства за</w:t>
      </w:r>
      <w:r w:rsidR="00E97428">
        <w:rPr>
          <w:lang w:val="sr-Cyrl-BA"/>
        </w:rPr>
        <w:t xml:space="preserve"> </w:t>
      </w:r>
      <w:r w:rsidRPr="00937B51">
        <w:rPr>
          <w:b/>
          <w:i/>
        </w:rPr>
        <w:t>Помоћ удружењима из области културе и осталим удружењима</w:t>
      </w:r>
      <w:r w:rsidRPr="00AB1A67">
        <w:t xml:space="preserve"> (</w:t>
      </w:r>
      <w:proofErr w:type="spellStart"/>
      <w:r w:rsidRPr="00AB1A67">
        <w:t>потр</w:t>
      </w:r>
      <w:proofErr w:type="spellEnd"/>
      <w:r w:rsidRPr="00AB1A67">
        <w:t xml:space="preserve">. јед. 00750150) </w:t>
      </w:r>
      <w:r>
        <w:t xml:space="preserve">у </w:t>
      </w:r>
      <w:proofErr w:type="spellStart"/>
      <w:r>
        <w:t>извјештајном</w:t>
      </w:r>
      <w:proofErr w:type="spellEnd"/>
      <w:r>
        <w:t xml:space="preserve"> периоду искоришћена су у укупном износу од </w:t>
      </w:r>
      <w:r w:rsidR="00E97428">
        <w:t>15.400</w:t>
      </w:r>
      <w:r>
        <w:t xml:space="preserve">,00 КМ, што је </w:t>
      </w:r>
      <w:r w:rsidR="00E97428">
        <w:t>55,40</w:t>
      </w:r>
      <w:r>
        <w:t>% од планираних средстава</w:t>
      </w:r>
      <w:r w:rsidR="00E81B7D">
        <w:t xml:space="preserve"> са извршеним </w:t>
      </w:r>
      <w:proofErr w:type="spellStart"/>
      <w:r w:rsidR="00E81B7D">
        <w:t>реалокацијама</w:t>
      </w:r>
      <w:proofErr w:type="spellEnd"/>
      <w:r>
        <w:t xml:space="preserve">. Редовно планирана средства за ове </w:t>
      </w:r>
      <w:proofErr w:type="spellStart"/>
      <w:r>
        <w:t>намјене</w:t>
      </w:r>
      <w:proofErr w:type="spellEnd"/>
      <w:r>
        <w:t xml:space="preserve"> </w:t>
      </w:r>
      <w:proofErr w:type="spellStart"/>
      <w:r>
        <w:t>расподијељена</w:t>
      </w:r>
      <w:proofErr w:type="spellEnd"/>
      <w:r>
        <w:t xml:space="preserve"> су на основу Одлуке о </w:t>
      </w:r>
      <w:proofErr w:type="spellStart"/>
      <w:r>
        <w:t>расподјели</w:t>
      </w:r>
      <w:proofErr w:type="spellEnd"/>
      <w:r>
        <w:t xml:space="preserve"> средстава удружењима из области културе и осталим удружењима („Службени гласник општине Прњавор“, број </w:t>
      </w:r>
      <w:r w:rsidR="007C760D">
        <w:t>8/20</w:t>
      </w:r>
      <w:r>
        <w:t xml:space="preserve">) у износу од </w:t>
      </w:r>
      <w:r w:rsidR="00E97428">
        <w:t>10.100</w:t>
      </w:r>
      <w:r>
        <w:t xml:space="preserve">,00 КМ, док је из буџетске резерве </w:t>
      </w:r>
      <w:r w:rsidR="00673550">
        <w:t xml:space="preserve">за ове </w:t>
      </w:r>
      <w:proofErr w:type="spellStart"/>
      <w:r w:rsidR="00673550">
        <w:t>намјене</w:t>
      </w:r>
      <w:proofErr w:type="spellEnd"/>
      <w:r w:rsidR="00673550">
        <w:t xml:space="preserve"> </w:t>
      </w:r>
      <w:proofErr w:type="spellStart"/>
      <w:r w:rsidR="00673550">
        <w:t>обезбијеђено</w:t>
      </w:r>
      <w:proofErr w:type="spellEnd"/>
      <w:r w:rsidR="00E97428">
        <w:t xml:space="preserve"> </w:t>
      </w:r>
      <w:r w:rsidR="002A6DDA">
        <w:t>5</w:t>
      </w:r>
      <w:r w:rsidR="007C760D">
        <w:t>.300</w:t>
      </w:r>
      <w:r>
        <w:t xml:space="preserve">,00 КМ. Одлука о </w:t>
      </w:r>
      <w:proofErr w:type="spellStart"/>
      <w:r>
        <w:t>расподјели</w:t>
      </w:r>
      <w:proofErr w:type="spellEnd"/>
      <w:r>
        <w:t xml:space="preserve"> средстава удружењима из области културе и осталим удружењима донесена је </w:t>
      </w:r>
      <w:r w:rsidR="00673550">
        <w:t xml:space="preserve">на основу вредновања програма/пројеката за финансирање из буџета </w:t>
      </w:r>
      <w:r w:rsidR="00C93602">
        <w:t xml:space="preserve">општине Прњавор, </w:t>
      </w:r>
      <w:r>
        <w:t xml:space="preserve">у складу са Правилником о критеријумима, начину и поступку </w:t>
      </w:r>
      <w:proofErr w:type="spellStart"/>
      <w:r>
        <w:t>расподјеле</w:t>
      </w:r>
      <w:proofErr w:type="spellEnd"/>
      <w:r>
        <w:t xml:space="preserve"> средстава удружењима из области културе и осталим удружењима („Службени гласник општине Прњавор“, бр. </w:t>
      </w:r>
      <w:r w:rsidR="00A54222">
        <w:t>2/18</w:t>
      </w:r>
      <w:r w:rsidR="00E97428">
        <w:t>)</w:t>
      </w:r>
      <w:r w:rsidR="005725F5">
        <w:t xml:space="preserve">. </w:t>
      </w:r>
      <w:r>
        <w:t xml:space="preserve">Преглед </w:t>
      </w:r>
      <w:proofErr w:type="spellStart"/>
      <w:r>
        <w:t>расподијељених</w:t>
      </w:r>
      <w:proofErr w:type="spellEnd"/>
      <w:r>
        <w:t xml:space="preserve"> средстава удружењима из области културе и осталим удруж</w:t>
      </w:r>
      <w:r w:rsidR="007849A4">
        <w:t xml:space="preserve">ењима у </w:t>
      </w:r>
      <w:r w:rsidR="007C760D">
        <w:t>2020</w:t>
      </w:r>
      <w:r w:rsidR="00E97428">
        <w:t xml:space="preserve">. </w:t>
      </w:r>
      <w:proofErr w:type="spellStart"/>
      <w:r w:rsidR="00E97428">
        <w:t>годин</w:t>
      </w:r>
      <w:proofErr w:type="spellEnd"/>
      <w:r w:rsidR="00E97428">
        <w:rPr>
          <w:lang w:val="sr-Cyrl-BA"/>
        </w:rPr>
        <w:t>и</w:t>
      </w:r>
      <w:r>
        <w:t xml:space="preserve"> дат је у наредној табели.</w:t>
      </w:r>
    </w:p>
    <w:p w14:paraId="20C38CA4" w14:textId="77777777" w:rsidR="00262AEB" w:rsidRDefault="00262AEB" w:rsidP="003E0BA8">
      <w:pPr>
        <w:ind w:left="0" w:firstLine="0"/>
      </w:pPr>
    </w:p>
    <w:p w14:paraId="08F73005" w14:textId="77777777" w:rsidR="003E0BA8" w:rsidRDefault="003E0BA8" w:rsidP="003E0BA8">
      <w:pPr>
        <w:ind w:left="0" w:firstLine="0"/>
        <w:jc w:val="center"/>
        <w:rPr>
          <w:lang w:val="sr-Cyrl-BA"/>
        </w:rPr>
      </w:pPr>
      <w:r w:rsidRPr="00210595">
        <w:rPr>
          <w:lang w:val="sr-Cyrl-BA"/>
        </w:rPr>
        <w:t>Табела</w:t>
      </w:r>
      <w:r>
        <w:t xml:space="preserve"> бр. </w:t>
      </w:r>
      <w:r w:rsidR="00E97428">
        <w:rPr>
          <w:lang w:val="sr-Cyrl-BA"/>
        </w:rPr>
        <w:t>8</w:t>
      </w:r>
      <w:r>
        <w:rPr>
          <w:lang w:val="sr-Cyrl-BA"/>
        </w:rPr>
        <w:t xml:space="preserve">. </w:t>
      </w:r>
      <w:proofErr w:type="spellStart"/>
      <w:r>
        <w:rPr>
          <w:lang w:val="sr-Cyrl-BA"/>
        </w:rPr>
        <w:t>Преглед</w:t>
      </w:r>
      <w:proofErr w:type="spellEnd"/>
      <w:r>
        <w:rPr>
          <w:lang w:val="sr-Cyrl-BA"/>
        </w:rPr>
        <w:t xml:space="preserve"> </w:t>
      </w:r>
      <w:proofErr w:type="spellStart"/>
      <w:r>
        <w:rPr>
          <w:lang w:val="sr-Cyrl-BA"/>
        </w:rPr>
        <w:t>дозначених</w:t>
      </w:r>
      <w:proofErr w:type="spellEnd"/>
      <w:r>
        <w:rPr>
          <w:lang w:val="sr-Cyrl-BA"/>
        </w:rPr>
        <w:t xml:space="preserve"> средстава удружењима из области културе и осталим удруж</w:t>
      </w:r>
      <w:r w:rsidR="00FB5473">
        <w:rPr>
          <w:lang w:val="sr-Cyrl-BA"/>
        </w:rPr>
        <w:t>ењима у период</w:t>
      </w:r>
      <w:r w:rsidR="00E97428">
        <w:rPr>
          <w:lang w:val="sr-Cyrl-BA"/>
        </w:rPr>
        <w:t>у 01.01-31.12</w:t>
      </w:r>
      <w:r w:rsidR="007C760D">
        <w:rPr>
          <w:lang w:val="sr-Cyrl-BA"/>
        </w:rPr>
        <w:t>.2020</w:t>
      </w:r>
      <w:r>
        <w:rPr>
          <w:lang w:val="sr-Cyrl-BA"/>
        </w:rPr>
        <w:t>. године</w:t>
      </w:r>
    </w:p>
    <w:tbl>
      <w:tblPr>
        <w:tblW w:w="9521" w:type="dxa"/>
        <w:tblInd w:w="85" w:type="dxa"/>
        <w:tblLook w:val="04A0" w:firstRow="1" w:lastRow="0" w:firstColumn="1" w:lastColumn="0" w:noHBand="0" w:noVBand="1"/>
      </w:tblPr>
      <w:tblGrid>
        <w:gridCol w:w="539"/>
        <w:gridCol w:w="5020"/>
        <w:gridCol w:w="1240"/>
        <w:gridCol w:w="1320"/>
        <w:gridCol w:w="1402"/>
      </w:tblGrid>
      <w:tr w:rsidR="00E97428" w:rsidRPr="00E97428" w14:paraId="14A419F7" w14:textId="77777777" w:rsidTr="00E97428">
        <w:trPr>
          <w:trHeight w:val="330"/>
          <w:tblHeader/>
        </w:trPr>
        <w:tc>
          <w:tcPr>
            <w:tcW w:w="539"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14:paraId="0DF9EB63" w14:textId="77777777" w:rsidR="00E97428" w:rsidRPr="00E97428" w:rsidRDefault="00E97428" w:rsidP="00E97428">
            <w:pPr>
              <w:ind w:left="0" w:right="0" w:firstLine="0"/>
              <w:jc w:val="center"/>
              <w:rPr>
                <w:b/>
                <w:bCs/>
                <w:sz w:val="20"/>
                <w:szCs w:val="20"/>
                <w:lang w:val="sr-Latn-BA" w:eastAsia="sr-Latn-BA"/>
              </w:rPr>
            </w:pPr>
            <w:proofErr w:type="spellStart"/>
            <w:r w:rsidRPr="00E97428">
              <w:rPr>
                <w:b/>
                <w:bCs/>
                <w:sz w:val="20"/>
                <w:szCs w:val="20"/>
                <w:lang w:val="sr-Latn-BA" w:eastAsia="sr-Latn-BA"/>
              </w:rPr>
              <w:t>Р.б</w:t>
            </w:r>
            <w:proofErr w:type="spellEnd"/>
            <w:r w:rsidRPr="00E97428">
              <w:rPr>
                <w:b/>
                <w:bCs/>
                <w:sz w:val="20"/>
                <w:szCs w:val="20"/>
                <w:lang w:val="sr-Latn-BA" w:eastAsia="sr-Latn-BA"/>
              </w:rPr>
              <w:t>.</w:t>
            </w:r>
          </w:p>
        </w:tc>
        <w:tc>
          <w:tcPr>
            <w:tcW w:w="5020" w:type="dxa"/>
            <w:vMerge w:val="restart"/>
            <w:tcBorders>
              <w:top w:val="double" w:sz="6" w:space="0" w:color="auto"/>
              <w:left w:val="nil"/>
              <w:bottom w:val="double" w:sz="6" w:space="0" w:color="000000"/>
              <w:right w:val="single" w:sz="4" w:space="0" w:color="auto"/>
            </w:tcBorders>
            <w:shd w:val="clear" w:color="auto" w:fill="auto"/>
            <w:vAlign w:val="center"/>
            <w:hideMark/>
          </w:tcPr>
          <w:p w14:paraId="47C7F7F3" w14:textId="77777777" w:rsidR="00E97428" w:rsidRPr="00E97428" w:rsidRDefault="00E97428" w:rsidP="00E97428">
            <w:pPr>
              <w:ind w:left="0" w:right="0" w:firstLine="0"/>
              <w:jc w:val="center"/>
              <w:rPr>
                <w:b/>
                <w:bCs/>
                <w:sz w:val="20"/>
                <w:szCs w:val="20"/>
                <w:lang w:val="sr-Latn-BA" w:eastAsia="sr-Latn-BA"/>
              </w:rPr>
            </w:pPr>
            <w:proofErr w:type="spellStart"/>
            <w:r w:rsidRPr="00E97428">
              <w:rPr>
                <w:b/>
                <w:bCs/>
                <w:sz w:val="20"/>
                <w:szCs w:val="20"/>
                <w:lang w:val="sr-Latn-BA" w:eastAsia="sr-Latn-BA"/>
              </w:rPr>
              <w:t>Назив</w:t>
            </w:r>
            <w:proofErr w:type="spellEnd"/>
            <w:r w:rsidRPr="00E97428">
              <w:rPr>
                <w:b/>
                <w:bCs/>
                <w:sz w:val="20"/>
                <w:szCs w:val="20"/>
                <w:lang w:val="sr-Latn-BA" w:eastAsia="sr-Latn-BA"/>
              </w:rPr>
              <w:t xml:space="preserve"> </w:t>
            </w:r>
            <w:proofErr w:type="spellStart"/>
            <w:r w:rsidRPr="00E97428">
              <w:rPr>
                <w:b/>
                <w:bCs/>
                <w:sz w:val="20"/>
                <w:szCs w:val="20"/>
                <w:lang w:val="sr-Latn-BA" w:eastAsia="sr-Latn-BA"/>
              </w:rPr>
              <w:t>удружења</w:t>
            </w:r>
            <w:proofErr w:type="spellEnd"/>
          </w:p>
        </w:tc>
        <w:tc>
          <w:tcPr>
            <w:tcW w:w="3962" w:type="dxa"/>
            <w:gridSpan w:val="3"/>
            <w:tcBorders>
              <w:top w:val="double" w:sz="6" w:space="0" w:color="auto"/>
              <w:left w:val="nil"/>
              <w:bottom w:val="single" w:sz="4" w:space="0" w:color="auto"/>
              <w:right w:val="double" w:sz="6" w:space="0" w:color="000000"/>
            </w:tcBorders>
            <w:shd w:val="clear" w:color="auto" w:fill="auto"/>
            <w:vAlign w:val="center"/>
            <w:hideMark/>
          </w:tcPr>
          <w:p w14:paraId="5D800DF3" w14:textId="77777777" w:rsidR="00E97428" w:rsidRPr="00E97428" w:rsidRDefault="00E97428" w:rsidP="00E97428">
            <w:pPr>
              <w:ind w:left="0" w:right="0" w:firstLine="0"/>
              <w:jc w:val="center"/>
              <w:rPr>
                <w:b/>
                <w:bCs/>
                <w:sz w:val="20"/>
                <w:szCs w:val="20"/>
                <w:lang w:val="sr-Latn-BA" w:eastAsia="sr-Latn-BA"/>
              </w:rPr>
            </w:pPr>
            <w:proofErr w:type="spellStart"/>
            <w:r w:rsidRPr="00E97428">
              <w:rPr>
                <w:b/>
                <w:bCs/>
                <w:sz w:val="20"/>
                <w:szCs w:val="20"/>
                <w:lang w:val="sr-Latn-BA" w:eastAsia="sr-Latn-BA"/>
              </w:rPr>
              <w:t>Износ</w:t>
            </w:r>
            <w:proofErr w:type="spellEnd"/>
            <w:r w:rsidRPr="00E97428">
              <w:rPr>
                <w:b/>
                <w:bCs/>
                <w:sz w:val="20"/>
                <w:szCs w:val="20"/>
                <w:lang w:val="sr-Latn-BA" w:eastAsia="sr-Latn-BA"/>
              </w:rPr>
              <w:t xml:space="preserve"> (КМ)</w:t>
            </w:r>
          </w:p>
        </w:tc>
      </w:tr>
      <w:tr w:rsidR="00E97428" w:rsidRPr="00E97428" w14:paraId="76E2BC1E" w14:textId="77777777" w:rsidTr="00E97428">
        <w:trPr>
          <w:trHeight w:val="270"/>
          <w:tblHeader/>
        </w:trPr>
        <w:tc>
          <w:tcPr>
            <w:tcW w:w="539" w:type="dxa"/>
            <w:vMerge/>
            <w:tcBorders>
              <w:top w:val="double" w:sz="6" w:space="0" w:color="auto"/>
              <w:left w:val="double" w:sz="6" w:space="0" w:color="auto"/>
              <w:bottom w:val="double" w:sz="6" w:space="0" w:color="000000"/>
              <w:right w:val="single" w:sz="4" w:space="0" w:color="auto"/>
            </w:tcBorders>
            <w:vAlign w:val="center"/>
            <w:hideMark/>
          </w:tcPr>
          <w:p w14:paraId="7684E7C7" w14:textId="77777777" w:rsidR="00E97428" w:rsidRPr="00E97428" w:rsidRDefault="00E97428" w:rsidP="00E97428">
            <w:pPr>
              <w:ind w:left="0" w:right="0" w:firstLine="0"/>
              <w:jc w:val="left"/>
              <w:rPr>
                <w:b/>
                <w:bCs/>
                <w:sz w:val="20"/>
                <w:szCs w:val="20"/>
                <w:lang w:val="sr-Latn-BA" w:eastAsia="sr-Latn-BA"/>
              </w:rPr>
            </w:pPr>
          </w:p>
        </w:tc>
        <w:tc>
          <w:tcPr>
            <w:tcW w:w="5020" w:type="dxa"/>
            <w:vMerge/>
            <w:tcBorders>
              <w:top w:val="double" w:sz="6" w:space="0" w:color="auto"/>
              <w:left w:val="nil"/>
              <w:bottom w:val="double" w:sz="6" w:space="0" w:color="000000"/>
              <w:right w:val="single" w:sz="4" w:space="0" w:color="auto"/>
            </w:tcBorders>
            <w:vAlign w:val="center"/>
            <w:hideMark/>
          </w:tcPr>
          <w:p w14:paraId="63BCAF55" w14:textId="77777777" w:rsidR="00E97428" w:rsidRPr="00E97428" w:rsidRDefault="00E97428" w:rsidP="00E97428">
            <w:pPr>
              <w:ind w:left="0" w:right="0" w:firstLine="0"/>
              <w:jc w:val="left"/>
              <w:rPr>
                <w:b/>
                <w:bCs/>
                <w:sz w:val="20"/>
                <w:szCs w:val="20"/>
                <w:lang w:val="sr-Latn-BA" w:eastAsia="sr-Latn-BA"/>
              </w:rPr>
            </w:pPr>
          </w:p>
        </w:tc>
        <w:tc>
          <w:tcPr>
            <w:tcW w:w="1240" w:type="dxa"/>
            <w:tcBorders>
              <w:top w:val="nil"/>
              <w:left w:val="nil"/>
              <w:bottom w:val="nil"/>
              <w:right w:val="nil"/>
            </w:tcBorders>
            <w:shd w:val="clear" w:color="auto" w:fill="auto"/>
            <w:vAlign w:val="center"/>
            <w:hideMark/>
          </w:tcPr>
          <w:p w14:paraId="589F3B66" w14:textId="77777777" w:rsidR="00E97428" w:rsidRPr="00E97428" w:rsidRDefault="00E97428" w:rsidP="00E97428">
            <w:pPr>
              <w:ind w:left="0" w:right="0" w:firstLine="0"/>
              <w:jc w:val="center"/>
              <w:rPr>
                <w:b/>
                <w:bCs/>
                <w:sz w:val="20"/>
                <w:szCs w:val="20"/>
                <w:lang w:val="sr-Latn-BA" w:eastAsia="sr-Latn-BA"/>
              </w:rPr>
            </w:pPr>
            <w:proofErr w:type="spellStart"/>
            <w:r w:rsidRPr="00E97428">
              <w:rPr>
                <w:b/>
                <w:bCs/>
                <w:sz w:val="20"/>
                <w:szCs w:val="20"/>
                <w:lang w:val="sr-Latn-BA" w:eastAsia="sr-Latn-BA"/>
              </w:rPr>
              <w:t>Редовно</w:t>
            </w:r>
            <w:proofErr w:type="spellEnd"/>
          </w:p>
        </w:tc>
        <w:tc>
          <w:tcPr>
            <w:tcW w:w="1320" w:type="dxa"/>
            <w:tcBorders>
              <w:top w:val="nil"/>
              <w:left w:val="single" w:sz="4" w:space="0" w:color="auto"/>
              <w:bottom w:val="double" w:sz="6" w:space="0" w:color="auto"/>
              <w:right w:val="nil"/>
            </w:tcBorders>
            <w:shd w:val="clear" w:color="auto" w:fill="auto"/>
            <w:vAlign w:val="center"/>
            <w:hideMark/>
          </w:tcPr>
          <w:p w14:paraId="6FB6AAFE" w14:textId="77777777" w:rsidR="00E97428" w:rsidRPr="00E97428" w:rsidRDefault="00E97428" w:rsidP="00E97428">
            <w:pPr>
              <w:ind w:left="0" w:right="0" w:firstLine="0"/>
              <w:jc w:val="center"/>
              <w:rPr>
                <w:b/>
                <w:bCs/>
                <w:sz w:val="20"/>
                <w:szCs w:val="20"/>
                <w:lang w:val="sr-Latn-BA" w:eastAsia="sr-Latn-BA"/>
              </w:rPr>
            </w:pPr>
            <w:proofErr w:type="spellStart"/>
            <w:r w:rsidRPr="00E97428">
              <w:rPr>
                <w:b/>
                <w:bCs/>
                <w:sz w:val="20"/>
                <w:szCs w:val="20"/>
                <w:lang w:val="sr-Latn-BA" w:eastAsia="sr-Latn-BA"/>
              </w:rPr>
              <w:t>Буџ.резерва</w:t>
            </w:r>
            <w:proofErr w:type="spellEnd"/>
          </w:p>
        </w:tc>
        <w:tc>
          <w:tcPr>
            <w:tcW w:w="1402" w:type="dxa"/>
            <w:tcBorders>
              <w:top w:val="nil"/>
              <w:left w:val="single" w:sz="4" w:space="0" w:color="auto"/>
              <w:bottom w:val="double" w:sz="6" w:space="0" w:color="auto"/>
              <w:right w:val="double" w:sz="6" w:space="0" w:color="auto"/>
            </w:tcBorders>
            <w:shd w:val="clear" w:color="auto" w:fill="auto"/>
            <w:vAlign w:val="center"/>
            <w:hideMark/>
          </w:tcPr>
          <w:p w14:paraId="4DCAC48A" w14:textId="77777777" w:rsidR="00E97428" w:rsidRPr="00E97428" w:rsidRDefault="00E97428" w:rsidP="00E97428">
            <w:pPr>
              <w:ind w:left="0" w:right="0" w:firstLine="0"/>
              <w:jc w:val="center"/>
              <w:rPr>
                <w:b/>
                <w:bCs/>
                <w:sz w:val="20"/>
                <w:szCs w:val="20"/>
                <w:lang w:val="sr-Latn-BA" w:eastAsia="sr-Latn-BA"/>
              </w:rPr>
            </w:pPr>
            <w:proofErr w:type="spellStart"/>
            <w:r w:rsidRPr="00E97428">
              <w:rPr>
                <w:b/>
                <w:bCs/>
                <w:sz w:val="20"/>
                <w:szCs w:val="20"/>
                <w:lang w:val="sr-Latn-BA" w:eastAsia="sr-Latn-BA"/>
              </w:rPr>
              <w:t>Укупно</w:t>
            </w:r>
            <w:proofErr w:type="spellEnd"/>
          </w:p>
        </w:tc>
      </w:tr>
      <w:tr w:rsidR="00E97428" w:rsidRPr="00E97428" w14:paraId="0E8A43D1" w14:textId="77777777" w:rsidTr="00E97428">
        <w:trPr>
          <w:trHeight w:val="52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7357D0DE" w14:textId="77777777" w:rsidR="00E97428" w:rsidRPr="00E97428" w:rsidRDefault="00E97428" w:rsidP="00E97428">
            <w:pPr>
              <w:ind w:left="0" w:right="0" w:firstLine="0"/>
              <w:jc w:val="center"/>
              <w:rPr>
                <w:sz w:val="20"/>
                <w:szCs w:val="20"/>
                <w:lang w:val="sr-Latn-BA" w:eastAsia="sr-Latn-BA"/>
              </w:rPr>
            </w:pPr>
            <w:r w:rsidRPr="00E97428">
              <w:rPr>
                <w:sz w:val="20"/>
                <w:szCs w:val="20"/>
                <w:lang w:val="sr-Latn-BA" w:eastAsia="sr-Latn-BA"/>
              </w:rPr>
              <w:t>1</w:t>
            </w:r>
          </w:p>
        </w:tc>
        <w:tc>
          <w:tcPr>
            <w:tcW w:w="5020" w:type="dxa"/>
            <w:tcBorders>
              <w:top w:val="nil"/>
              <w:left w:val="nil"/>
              <w:bottom w:val="single" w:sz="4" w:space="0" w:color="auto"/>
              <w:right w:val="single" w:sz="4" w:space="0" w:color="auto"/>
            </w:tcBorders>
            <w:shd w:val="clear" w:color="auto" w:fill="auto"/>
            <w:vAlign w:val="bottom"/>
            <w:hideMark/>
          </w:tcPr>
          <w:p w14:paraId="0AF4CC2A" w14:textId="77777777" w:rsidR="00E97428" w:rsidRPr="00E97428" w:rsidRDefault="00E97428" w:rsidP="00E97428">
            <w:pPr>
              <w:ind w:left="0" w:right="0" w:firstLine="0"/>
              <w:jc w:val="left"/>
              <w:rPr>
                <w:sz w:val="20"/>
                <w:szCs w:val="20"/>
                <w:lang w:val="sr-Latn-BA" w:eastAsia="sr-Latn-BA"/>
              </w:rPr>
            </w:pPr>
            <w:proofErr w:type="spellStart"/>
            <w:r w:rsidRPr="00E97428">
              <w:rPr>
                <w:sz w:val="20"/>
                <w:szCs w:val="20"/>
                <w:lang w:val="sr-Latn-BA" w:eastAsia="sr-Latn-BA"/>
              </w:rPr>
              <w:t>Удружење</w:t>
            </w:r>
            <w:proofErr w:type="spellEnd"/>
            <w:r w:rsidRPr="00E97428">
              <w:rPr>
                <w:sz w:val="20"/>
                <w:szCs w:val="20"/>
                <w:lang w:val="sr-Latn-BA" w:eastAsia="sr-Latn-BA"/>
              </w:rPr>
              <w:t xml:space="preserve"> </w:t>
            </w:r>
            <w:proofErr w:type="spellStart"/>
            <w:r w:rsidRPr="00E97428">
              <w:rPr>
                <w:sz w:val="20"/>
                <w:szCs w:val="20"/>
                <w:lang w:val="sr-Latn-BA" w:eastAsia="sr-Latn-BA"/>
              </w:rPr>
              <w:t>избјеглих</w:t>
            </w:r>
            <w:proofErr w:type="spellEnd"/>
            <w:r w:rsidRPr="00E97428">
              <w:rPr>
                <w:sz w:val="20"/>
                <w:szCs w:val="20"/>
                <w:lang w:val="sr-Latn-BA" w:eastAsia="sr-Latn-BA"/>
              </w:rPr>
              <w:t xml:space="preserve">,  </w:t>
            </w:r>
            <w:proofErr w:type="spellStart"/>
            <w:r w:rsidRPr="00E97428">
              <w:rPr>
                <w:sz w:val="20"/>
                <w:szCs w:val="20"/>
                <w:lang w:val="sr-Latn-BA" w:eastAsia="sr-Latn-BA"/>
              </w:rPr>
              <w:t>расељених</w:t>
            </w:r>
            <w:proofErr w:type="spellEnd"/>
            <w:r w:rsidRPr="00E97428">
              <w:rPr>
                <w:sz w:val="20"/>
                <w:szCs w:val="20"/>
                <w:lang w:val="sr-Latn-BA" w:eastAsia="sr-Latn-BA"/>
              </w:rPr>
              <w:t xml:space="preserve"> и </w:t>
            </w:r>
            <w:proofErr w:type="spellStart"/>
            <w:r w:rsidRPr="00E97428">
              <w:rPr>
                <w:sz w:val="20"/>
                <w:szCs w:val="20"/>
                <w:lang w:val="sr-Latn-BA" w:eastAsia="sr-Latn-BA"/>
              </w:rPr>
              <w:t>других</w:t>
            </w:r>
            <w:proofErr w:type="spellEnd"/>
            <w:r w:rsidRPr="00E97428">
              <w:rPr>
                <w:sz w:val="20"/>
                <w:szCs w:val="20"/>
                <w:lang w:val="sr-Latn-BA" w:eastAsia="sr-Latn-BA"/>
              </w:rPr>
              <w:t xml:space="preserve"> </w:t>
            </w:r>
            <w:proofErr w:type="spellStart"/>
            <w:r w:rsidRPr="00E97428">
              <w:rPr>
                <w:sz w:val="20"/>
                <w:szCs w:val="20"/>
                <w:lang w:val="sr-Latn-BA" w:eastAsia="sr-Latn-BA"/>
              </w:rPr>
              <w:t>лица</w:t>
            </w:r>
            <w:proofErr w:type="spellEnd"/>
            <w:r w:rsidRPr="00E97428">
              <w:rPr>
                <w:sz w:val="20"/>
                <w:szCs w:val="20"/>
                <w:lang w:val="sr-Latn-BA" w:eastAsia="sr-Latn-BA"/>
              </w:rPr>
              <w:t xml:space="preserve"> РС "</w:t>
            </w:r>
            <w:proofErr w:type="spellStart"/>
            <w:r w:rsidRPr="00E97428">
              <w:rPr>
                <w:sz w:val="20"/>
                <w:szCs w:val="20"/>
                <w:lang w:val="sr-Latn-BA" w:eastAsia="sr-Latn-BA"/>
              </w:rPr>
              <w:t>Останак</w:t>
            </w:r>
            <w:proofErr w:type="spellEnd"/>
            <w:r w:rsidRPr="00E97428">
              <w:rPr>
                <w:sz w:val="20"/>
                <w:szCs w:val="20"/>
                <w:lang w:val="sr-Latn-BA" w:eastAsia="sr-Latn-BA"/>
              </w:rPr>
              <w:t xml:space="preserve">" О.О. </w:t>
            </w:r>
            <w:proofErr w:type="spellStart"/>
            <w:r w:rsidRPr="00E97428">
              <w:rPr>
                <w:sz w:val="20"/>
                <w:szCs w:val="20"/>
                <w:lang w:val="sr-Latn-BA" w:eastAsia="sr-Latn-BA"/>
              </w:rPr>
              <w:t>Прњавор</w:t>
            </w:r>
            <w:proofErr w:type="spellEnd"/>
          </w:p>
        </w:tc>
        <w:tc>
          <w:tcPr>
            <w:tcW w:w="1240" w:type="dxa"/>
            <w:tcBorders>
              <w:top w:val="double" w:sz="6" w:space="0" w:color="auto"/>
              <w:left w:val="nil"/>
              <w:bottom w:val="single" w:sz="4" w:space="0" w:color="auto"/>
              <w:right w:val="single" w:sz="4" w:space="0" w:color="auto"/>
            </w:tcBorders>
            <w:shd w:val="clear" w:color="auto" w:fill="auto"/>
            <w:noWrap/>
            <w:vAlign w:val="center"/>
            <w:hideMark/>
          </w:tcPr>
          <w:p w14:paraId="6C490FF1"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2.500,00</w:t>
            </w:r>
          </w:p>
        </w:tc>
        <w:tc>
          <w:tcPr>
            <w:tcW w:w="1320" w:type="dxa"/>
            <w:tcBorders>
              <w:top w:val="nil"/>
              <w:left w:val="nil"/>
              <w:bottom w:val="single" w:sz="4" w:space="0" w:color="auto"/>
              <w:right w:val="single" w:sz="4" w:space="0" w:color="auto"/>
            </w:tcBorders>
            <w:shd w:val="clear" w:color="000000" w:fill="FFFFFF"/>
            <w:noWrap/>
            <w:vAlign w:val="center"/>
            <w:hideMark/>
          </w:tcPr>
          <w:p w14:paraId="49F58297"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0,00</w:t>
            </w:r>
          </w:p>
        </w:tc>
        <w:tc>
          <w:tcPr>
            <w:tcW w:w="1402" w:type="dxa"/>
            <w:tcBorders>
              <w:top w:val="nil"/>
              <w:left w:val="nil"/>
              <w:bottom w:val="single" w:sz="4" w:space="0" w:color="auto"/>
              <w:right w:val="double" w:sz="6" w:space="0" w:color="auto"/>
            </w:tcBorders>
            <w:shd w:val="clear" w:color="000000" w:fill="FFFFFF"/>
            <w:noWrap/>
            <w:vAlign w:val="center"/>
            <w:hideMark/>
          </w:tcPr>
          <w:p w14:paraId="6A9FC660"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2.500,00</w:t>
            </w:r>
          </w:p>
        </w:tc>
      </w:tr>
      <w:tr w:rsidR="00E97428" w:rsidRPr="00E97428" w14:paraId="70F99401" w14:textId="77777777" w:rsidTr="00E97428">
        <w:trPr>
          <w:trHeight w:val="255"/>
        </w:trPr>
        <w:tc>
          <w:tcPr>
            <w:tcW w:w="539" w:type="dxa"/>
            <w:tcBorders>
              <w:top w:val="nil"/>
              <w:left w:val="double" w:sz="6" w:space="0" w:color="auto"/>
              <w:bottom w:val="nil"/>
              <w:right w:val="single" w:sz="4" w:space="0" w:color="auto"/>
            </w:tcBorders>
            <w:shd w:val="clear" w:color="auto" w:fill="auto"/>
            <w:noWrap/>
            <w:vAlign w:val="center"/>
            <w:hideMark/>
          </w:tcPr>
          <w:p w14:paraId="695874D3" w14:textId="77777777" w:rsidR="00E97428" w:rsidRPr="00E97428" w:rsidRDefault="00E97428" w:rsidP="00E97428">
            <w:pPr>
              <w:ind w:left="0" w:right="0" w:firstLine="0"/>
              <w:jc w:val="center"/>
              <w:rPr>
                <w:sz w:val="20"/>
                <w:szCs w:val="20"/>
                <w:lang w:val="sr-Latn-BA" w:eastAsia="sr-Latn-BA"/>
              </w:rPr>
            </w:pPr>
            <w:r w:rsidRPr="00E97428">
              <w:rPr>
                <w:sz w:val="20"/>
                <w:szCs w:val="20"/>
                <w:lang w:val="sr-Latn-BA" w:eastAsia="sr-Latn-BA"/>
              </w:rPr>
              <w:t>2</w:t>
            </w:r>
          </w:p>
        </w:tc>
        <w:tc>
          <w:tcPr>
            <w:tcW w:w="5020" w:type="dxa"/>
            <w:tcBorders>
              <w:top w:val="single" w:sz="4" w:space="0" w:color="auto"/>
              <w:left w:val="nil"/>
              <w:bottom w:val="nil"/>
              <w:right w:val="single" w:sz="4" w:space="0" w:color="auto"/>
            </w:tcBorders>
            <w:shd w:val="clear" w:color="auto" w:fill="auto"/>
            <w:noWrap/>
            <w:vAlign w:val="bottom"/>
            <w:hideMark/>
          </w:tcPr>
          <w:p w14:paraId="0186C2EF" w14:textId="77777777" w:rsidR="00E97428" w:rsidRPr="00E97428" w:rsidRDefault="00E97428" w:rsidP="00E97428">
            <w:pPr>
              <w:ind w:left="0" w:right="0" w:firstLine="0"/>
              <w:jc w:val="left"/>
              <w:rPr>
                <w:sz w:val="20"/>
                <w:szCs w:val="20"/>
                <w:lang w:val="sr-Latn-BA" w:eastAsia="sr-Latn-BA"/>
              </w:rPr>
            </w:pPr>
            <w:r w:rsidRPr="00E97428">
              <w:rPr>
                <w:sz w:val="20"/>
                <w:szCs w:val="20"/>
                <w:lang w:val="sr-Latn-BA" w:eastAsia="sr-Latn-BA"/>
              </w:rPr>
              <w:t>КУД "</w:t>
            </w:r>
            <w:proofErr w:type="spellStart"/>
            <w:r w:rsidRPr="00E97428">
              <w:rPr>
                <w:sz w:val="20"/>
                <w:szCs w:val="20"/>
                <w:lang w:val="sr-Latn-BA" w:eastAsia="sr-Latn-BA"/>
              </w:rPr>
              <w:t>Свилен</w:t>
            </w:r>
            <w:proofErr w:type="spellEnd"/>
            <w:r w:rsidRPr="00E97428">
              <w:rPr>
                <w:sz w:val="20"/>
                <w:szCs w:val="20"/>
                <w:lang w:val="sr-Latn-BA" w:eastAsia="sr-Latn-BA"/>
              </w:rPr>
              <w:t xml:space="preserve"> </w:t>
            </w:r>
            <w:proofErr w:type="spellStart"/>
            <w:r w:rsidRPr="00E97428">
              <w:rPr>
                <w:sz w:val="20"/>
                <w:szCs w:val="20"/>
                <w:lang w:val="sr-Latn-BA" w:eastAsia="sr-Latn-BA"/>
              </w:rPr>
              <w:t>конац</w:t>
            </w:r>
            <w:proofErr w:type="spellEnd"/>
            <w:r w:rsidRPr="00E97428">
              <w:rPr>
                <w:sz w:val="20"/>
                <w:szCs w:val="20"/>
                <w:lang w:val="sr-Latn-BA" w:eastAsia="sr-Latn-BA"/>
              </w:rPr>
              <w:t xml:space="preserve">" Н. </w:t>
            </w:r>
            <w:proofErr w:type="spellStart"/>
            <w:r w:rsidRPr="00E97428">
              <w:rPr>
                <w:sz w:val="20"/>
                <w:szCs w:val="20"/>
                <w:lang w:val="sr-Latn-BA" w:eastAsia="sr-Latn-BA"/>
              </w:rPr>
              <w:t>Лишња</w:t>
            </w:r>
            <w:proofErr w:type="spellEnd"/>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9F0FD1A"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2.500,00</w:t>
            </w:r>
          </w:p>
        </w:tc>
        <w:tc>
          <w:tcPr>
            <w:tcW w:w="1320" w:type="dxa"/>
            <w:tcBorders>
              <w:top w:val="nil"/>
              <w:left w:val="nil"/>
              <w:bottom w:val="single" w:sz="4" w:space="0" w:color="auto"/>
              <w:right w:val="single" w:sz="4" w:space="0" w:color="auto"/>
            </w:tcBorders>
            <w:shd w:val="clear" w:color="000000" w:fill="FFFFFF"/>
            <w:noWrap/>
            <w:vAlign w:val="center"/>
            <w:hideMark/>
          </w:tcPr>
          <w:p w14:paraId="1D2AA3B8"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0,00</w:t>
            </w:r>
          </w:p>
        </w:tc>
        <w:tc>
          <w:tcPr>
            <w:tcW w:w="1402" w:type="dxa"/>
            <w:tcBorders>
              <w:top w:val="single" w:sz="4" w:space="0" w:color="auto"/>
              <w:left w:val="nil"/>
              <w:bottom w:val="single" w:sz="4" w:space="0" w:color="auto"/>
              <w:right w:val="double" w:sz="6" w:space="0" w:color="auto"/>
            </w:tcBorders>
            <w:shd w:val="clear" w:color="000000" w:fill="FFFFFF"/>
            <w:noWrap/>
            <w:vAlign w:val="center"/>
            <w:hideMark/>
          </w:tcPr>
          <w:p w14:paraId="07D77D96"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2.500,00</w:t>
            </w:r>
          </w:p>
        </w:tc>
      </w:tr>
      <w:tr w:rsidR="00E97428" w:rsidRPr="00E97428" w14:paraId="19F1E36C" w14:textId="77777777" w:rsidTr="00E97428">
        <w:trPr>
          <w:trHeight w:val="255"/>
        </w:trPr>
        <w:tc>
          <w:tcPr>
            <w:tcW w:w="539"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31AFEEE0" w14:textId="77777777" w:rsidR="00E97428" w:rsidRPr="00E97428" w:rsidRDefault="00E97428" w:rsidP="00E97428">
            <w:pPr>
              <w:ind w:left="0" w:right="0" w:firstLine="0"/>
              <w:jc w:val="center"/>
              <w:rPr>
                <w:sz w:val="20"/>
                <w:szCs w:val="20"/>
                <w:lang w:val="sr-Latn-BA" w:eastAsia="sr-Latn-BA"/>
              </w:rPr>
            </w:pPr>
            <w:r w:rsidRPr="00E97428">
              <w:rPr>
                <w:sz w:val="20"/>
                <w:szCs w:val="20"/>
                <w:lang w:val="sr-Latn-BA" w:eastAsia="sr-Latn-BA"/>
              </w:rPr>
              <w:t>3</w:t>
            </w:r>
          </w:p>
        </w:tc>
        <w:tc>
          <w:tcPr>
            <w:tcW w:w="5020" w:type="dxa"/>
            <w:tcBorders>
              <w:top w:val="single" w:sz="4" w:space="0" w:color="auto"/>
              <w:left w:val="nil"/>
              <w:bottom w:val="single" w:sz="4" w:space="0" w:color="auto"/>
              <w:right w:val="single" w:sz="4" w:space="0" w:color="auto"/>
            </w:tcBorders>
            <w:shd w:val="clear" w:color="auto" w:fill="auto"/>
            <w:noWrap/>
            <w:vAlign w:val="bottom"/>
            <w:hideMark/>
          </w:tcPr>
          <w:p w14:paraId="456BD706" w14:textId="77777777" w:rsidR="00E97428" w:rsidRPr="00E97428" w:rsidRDefault="00E97428" w:rsidP="00E97428">
            <w:pPr>
              <w:ind w:left="0" w:right="0" w:firstLine="0"/>
              <w:jc w:val="left"/>
              <w:rPr>
                <w:sz w:val="20"/>
                <w:szCs w:val="20"/>
                <w:lang w:val="sr-Latn-BA" w:eastAsia="sr-Latn-BA"/>
              </w:rPr>
            </w:pPr>
            <w:r w:rsidRPr="00E97428">
              <w:rPr>
                <w:sz w:val="20"/>
                <w:szCs w:val="20"/>
                <w:lang w:val="sr-Latn-BA" w:eastAsia="sr-Latn-BA"/>
              </w:rPr>
              <w:t>ГКУД "</w:t>
            </w:r>
            <w:proofErr w:type="spellStart"/>
            <w:r w:rsidRPr="00E97428">
              <w:rPr>
                <w:sz w:val="20"/>
                <w:szCs w:val="20"/>
                <w:lang w:val="sr-Latn-BA" w:eastAsia="sr-Latn-BA"/>
              </w:rPr>
              <w:t>Пронија</w:t>
            </w:r>
            <w:proofErr w:type="spellEnd"/>
            <w:r w:rsidRPr="00E97428">
              <w:rPr>
                <w:sz w:val="20"/>
                <w:szCs w:val="20"/>
                <w:lang w:val="sr-Latn-BA" w:eastAsia="sr-Latn-BA"/>
              </w:rPr>
              <w:t xml:space="preserve">" </w:t>
            </w:r>
            <w:proofErr w:type="spellStart"/>
            <w:r w:rsidRPr="00E97428">
              <w:rPr>
                <w:sz w:val="20"/>
                <w:szCs w:val="20"/>
                <w:lang w:val="sr-Latn-BA" w:eastAsia="sr-Latn-BA"/>
              </w:rPr>
              <w:t>Прњавор</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14:paraId="5524DE3D"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1.800,00</w:t>
            </w:r>
          </w:p>
        </w:tc>
        <w:tc>
          <w:tcPr>
            <w:tcW w:w="1320" w:type="dxa"/>
            <w:tcBorders>
              <w:top w:val="nil"/>
              <w:left w:val="nil"/>
              <w:bottom w:val="single" w:sz="4" w:space="0" w:color="auto"/>
              <w:right w:val="single" w:sz="4" w:space="0" w:color="auto"/>
            </w:tcBorders>
            <w:shd w:val="clear" w:color="000000" w:fill="FFFFFF"/>
            <w:noWrap/>
            <w:vAlign w:val="center"/>
            <w:hideMark/>
          </w:tcPr>
          <w:p w14:paraId="026EBAEE"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0,00</w:t>
            </w:r>
          </w:p>
        </w:tc>
        <w:tc>
          <w:tcPr>
            <w:tcW w:w="1402" w:type="dxa"/>
            <w:tcBorders>
              <w:top w:val="nil"/>
              <w:left w:val="nil"/>
              <w:bottom w:val="single" w:sz="4" w:space="0" w:color="auto"/>
              <w:right w:val="double" w:sz="6" w:space="0" w:color="auto"/>
            </w:tcBorders>
            <w:shd w:val="clear" w:color="000000" w:fill="FFFFFF"/>
            <w:noWrap/>
            <w:vAlign w:val="center"/>
            <w:hideMark/>
          </w:tcPr>
          <w:p w14:paraId="6D05FE18"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1.800,00</w:t>
            </w:r>
          </w:p>
        </w:tc>
      </w:tr>
      <w:tr w:rsidR="00E97428" w:rsidRPr="00E97428" w14:paraId="45ACD2D6" w14:textId="77777777" w:rsidTr="00E97428">
        <w:trPr>
          <w:trHeight w:val="255"/>
        </w:trPr>
        <w:tc>
          <w:tcPr>
            <w:tcW w:w="539" w:type="dxa"/>
            <w:tcBorders>
              <w:top w:val="single" w:sz="4" w:space="0" w:color="auto"/>
              <w:left w:val="double" w:sz="6" w:space="0" w:color="auto"/>
              <w:bottom w:val="nil"/>
              <w:right w:val="single" w:sz="4" w:space="0" w:color="auto"/>
            </w:tcBorders>
            <w:shd w:val="clear" w:color="auto" w:fill="auto"/>
            <w:noWrap/>
            <w:vAlign w:val="center"/>
            <w:hideMark/>
          </w:tcPr>
          <w:p w14:paraId="6FAE64A6" w14:textId="77777777" w:rsidR="00E97428" w:rsidRPr="00E97428" w:rsidRDefault="00E97428" w:rsidP="00E97428">
            <w:pPr>
              <w:ind w:left="0" w:right="0" w:firstLine="0"/>
              <w:jc w:val="center"/>
              <w:rPr>
                <w:sz w:val="20"/>
                <w:szCs w:val="20"/>
                <w:lang w:val="sr-Latn-BA" w:eastAsia="sr-Latn-BA"/>
              </w:rPr>
            </w:pPr>
            <w:r w:rsidRPr="00E97428">
              <w:rPr>
                <w:sz w:val="20"/>
                <w:szCs w:val="20"/>
                <w:lang w:val="sr-Latn-BA" w:eastAsia="sr-Latn-BA"/>
              </w:rPr>
              <w:t>4</w:t>
            </w:r>
          </w:p>
        </w:tc>
        <w:tc>
          <w:tcPr>
            <w:tcW w:w="5020" w:type="dxa"/>
            <w:tcBorders>
              <w:top w:val="single" w:sz="4" w:space="0" w:color="auto"/>
              <w:left w:val="nil"/>
              <w:bottom w:val="nil"/>
              <w:right w:val="single" w:sz="4" w:space="0" w:color="auto"/>
            </w:tcBorders>
            <w:shd w:val="clear" w:color="auto" w:fill="auto"/>
            <w:noWrap/>
            <w:vAlign w:val="center"/>
            <w:hideMark/>
          </w:tcPr>
          <w:p w14:paraId="105819E9" w14:textId="77777777" w:rsidR="00E97428" w:rsidRPr="00E97428" w:rsidRDefault="00E97428" w:rsidP="00E97428">
            <w:pPr>
              <w:ind w:left="0" w:right="0" w:firstLine="0"/>
              <w:jc w:val="left"/>
              <w:rPr>
                <w:sz w:val="20"/>
                <w:szCs w:val="20"/>
                <w:lang w:val="sr-Latn-BA" w:eastAsia="sr-Latn-BA"/>
              </w:rPr>
            </w:pPr>
            <w:proofErr w:type="spellStart"/>
            <w:r w:rsidRPr="00E97428">
              <w:rPr>
                <w:sz w:val="20"/>
                <w:szCs w:val="20"/>
                <w:lang w:val="sr-Latn-BA" w:eastAsia="sr-Latn-BA"/>
              </w:rPr>
              <w:t>Српски</w:t>
            </w:r>
            <w:proofErr w:type="spellEnd"/>
            <w:r w:rsidRPr="00E97428">
              <w:rPr>
                <w:sz w:val="20"/>
                <w:szCs w:val="20"/>
                <w:lang w:val="sr-Latn-BA" w:eastAsia="sr-Latn-BA"/>
              </w:rPr>
              <w:t xml:space="preserve"> </w:t>
            </w:r>
            <w:proofErr w:type="spellStart"/>
            <w:r w:rsidRPr="00E97428">
              <w:rPr>
                <w:sz w:val="20"/>
                <w:szCs w:val="20"/>
                <w:lang w:val="sr-Latn-BA" w:eastAsia="sr-Latn-BA"/>
              </w:rPr>
              <w:t>књижевни</w:t>
            </w:r>
            <w:proofErr w:type="spellEnd"/>
            <w:r w:rsidRPr="00E97428">
              <w:rPr>
                <w:sz w:val="20"/>
                <w:szCs w:val="20"/>
                <w:lang w:val="sr-Latn-BA" w:eastAsia="sr-Latn-BA"/>
              </w:rPr>
              <w:t xml:space="preserve"> </w:t>
            </w:r>
            <w:proofErr w:type="spellStart"/>
            <w:r w:rsidRPr="00E97428">
              <w:rPr>
                <w:sz w:val="20"/>
                <w:szCs w:val="20"/>
                <w:lang w:val="sr-Latn-BA" w:eastAsia="sr-Latn-BA"/>
              </w:rPr>
              <w:t>клуб</w:t>
            </w:r>
            <w:proofErr w:type="spellEnd"/>
            <w:r w:rsidRPr="00E97428">
              <w:rPr>
                <w:sz w:val="20"/>
                <w:szCs w:val="20"/>
                <w:lang w:val="sr-Latn-BA" w:eastAsia="sr-Latn-BA"/>
              </w:rPr>
              <w:t xml:space="preserve"> "</w:t>
            </w:r>
            <w:proofErr w:type="spellStart"/>
            <w:r w:rsidRPr="00E97428">
              <w:rPr>
                <w:sz w:val="20"/>
                <w:szCs w:val="20"/>
                <w:lang w:val="sr-Latn-BA" w:eastAsia="sr-Latn-BA"/>
              </w:rPr>
              <w:t>Таласи</w:t>
            </w:r>
            <w:proofErr w:type="spellEnd"/>
            <w:r w:rsidRPr="00E97428">
              <w:rPr>
                <w:sz w:val="20"/>
                <w:szCs w:val="20"/>
                <w:lang w:val="sr-Latn-BA" w:eastAsia="sr-Latn-BA"/>
              </w:rPr>
              <w:t xml:space="preserve">" </w:t>
            </w:r>
            <w:proofErr w:type="spellStart"/>
            <w:r w:rsidRPr="00E97428">
              <w:rPr>
                <w:sz w:val="20"/>
                <w:szCs w:val="20"/>
                <w:lang w:val="sr-Latn-BA" w:eastAsia="sr-Latn-BA"/>
              </w:rPr>
              <w:t>Прњавор</w:t>
            </w:r>
            <w:proofErr w:type="spellEnd"/>
          </w:p>
        </w:tc>
        <w:tc>
          <w:tcPr>
            <w:tcW w:w="1240" w:type="dxa"/>
            <w:tcBorders>
              <w:top w:val="single" w:sz="4" w:space="0" w:color="auto"/>
              <w:left w:val="nil"/>
              <w:bottom w:val="nil"/>
              <w:right w:val="single" w:sz="4" w:space="0" w:color="auto"/>
            </w:tcBorders>
            <w:shd w:val="clear" w:color="auto" w:fill="auto"/>
            <w:noWrap/>
            <w:vAlign w:val="center"/>
            <w:hideMark/>
          </w:tcPr>
          <w:p w14:paraId="1EE6BED0"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1.300,00</w:t>
            </w:r>
          </w:p>
        </w:tc>
        <w:tc>
          <w:tcPr>
            <w:tcW w:w="1320" w:type="dxa"/>
            <w:tcBorders>
              <w:top w:val="single" w:sz="4" w:space="0" w:color="auto"/>
              <w:left w:val="nil"/>
              <w:bottom w:val="nil"/>
              <w:right w:val="single" w:sz="4" w:space="0" w:color="auto"/>
            </w:tcBorders>
            <w:shd w:val="clear" w:color="auto" w:fill="auto"/>
            <w:noWrap/>
            <w:vAlign w:val="center"/>
            <w:hideMark/>
          </w:tcPr>
          <w:p w14:paraId="1532E9C3"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0,00</w:t>
            </w:r>
          </w:p>
        </w:tc>
        <w:tc>
          <w:tcPr>
            <w:tcW w:w="1402" w:type="dxa"/>
            <w:tcBorders>
              <w:top w:val="nil"/>
              <w:left w:val="nil"/>
              <w:bottom w:val="single" w:sz="4" w:space="0" w:color="auto"/>
              <w:right w:val="double" w:sz="6" w:space="0" w:color="auto"/>
            </w:tcBorders>
            <w:shd w:val="clear" w:color="000000" w:fill="FFFFFF"/>
            <w:noWrap/>
            <w:vAlign w:val="center"/>
            <w:hideMark/>
          </w:tcPr>
          <w:p w14:paraId="5D3E9A28"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1.300,00</w:t>
            </w:r>
          </w:p>
        </w:tc>
      </w:tr>
      <w:tr w:rsidR="00E97428" w:rsidRPr="00E97428" w14:paraId="09A3CCFB" w14:textId="77777777" w:rsidTr="00E97428">
        <w:trPr>
          <w:trHeight w:val="255"/>
        </w:trPr>
        <w:tc>
          <w:tcPr>
            <w:tcW w:w="539"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12214193" w14:textId="77777777" w:rsidR="00E97428" w:rsidRPr="00E97428" w:rsidRDefault="00E97428" w:rsidP="00E97428">
            <w:pPr>
              <w:ind w:left="0" w:right="0" w:firstLine="0"/>
              <w:jc w:val="center"/>
              <w:rPr>
                <w:sz w:val="20"/>
                <w:szCs w:val="20"/>
                <w:lang w:val="sr-Latn-BA" w:eastAsia="sr-Latn-BA"/>
              </w:rPr>
            </w:pPr>
            <w:r w:rsidRPr="00E97428">
              <w:rPr>
                <w:sz w:val="20"/>
                <w:szCs w:val="20"/>
                <w:lang w:val="sr-Latn-BA" w:eastAsia="sr-Latn-BA"/>
              </w:rPr>
              <w:t>5</w:t>
            </w:r>
          </w:p>
        </w:tc>
        <w:tc>
          <w:tcPr>
            <w:tcW w:w="5020" w:type="dxa"/>
            <w:tcBorders>
              <w:top w:val="single" w:sz="4" w:space="0" w:color="auto"/>
              <w:left w:val="nil"/>
              <w:bottom w:val="single" w:sz="4" w:space="0" w:color="auto"/>
              <w:right w:val="single" w:sz="4" w:space="0" w:color="auto"/>
            </w:tcBorders>
            <w:shd w:val="clear" w:color="auto" w:fill="auto"/>
            <w:noWrap/>
            <w:vAlign w:val="bottom"/>
            <w:hideMark/>
          </w:tcPr>
          <w:p w14:paraId="20DD521C" w14:textId="77777777" w:rsidR="00E97428" w:rsidRPr="00E97428" w:rsidRDefault="00E97428" w:rsidP="00E97428">
            <w:pPr>
              <w:ind w:left="0" w:right="0" w:firstLine="0"/>
              <w:jc w:val="left"/>
              <w:rPr>
                <w:sz w:val="20"/>
                <w:szCs w:val="20"/>
                <w:lang w:val="sr-Latn-BA" w:eastAsia="sr-Latn-BA"/>
              </w:rPr>
            </w:pPr>
            <w:r w:rsidRPr="00E97428">
              <w:rPr>
                <w:sz w:val="20"/>
                <w:szCs w:val="20"/>
                <w:lang w:val="sr-Latn-BA" w:eastAsia="sr-Latn-BA"/>
              </w:rPr>
              <w:t>СПКД "</w:t>
            </w:r>
            <w:proofErr w:type="spellStart"/>
            <w:r w:rsidRPr="00E97428">
              <w:rPr>
                <w:sz w:val="20"/>
                <w:szCs w:val="20"/>
                <w:lang w:val="sr-Latn-BA" w:eastAsia="sr-Latn-BA"/>
              </w:rPr>
              <w:t>Просвјета</w:t>
            </w:r>
            <w:proofErr w:type="spellEnd"/>
            <w:r w:rsidRPr="00E97428">
              <w:rPr>
                <w:sz w:val="20"/>
                <w:szCs w:val="20"/>
                <w:lang w:val="sr-Latn-BA" w:eastAsia="sr-Latn-BA"/>
              </w:rPr>
              <w:t xml:space="preserve">" ОО </w:t>
            </w:r>
            <w:proofErr w:type="spellStart"/>
            <w:r w:rsidRPr="00E97428">
              <w:rPr>
                <w:sz w:val="20"/>
                <w:szCs w:val="20"/>
                <w:lang w:val="sr-Latn-BA" w:eastAsia="sr-Latn-BA"/>
              </w:rPr>
              <w:t>Прњавор</w:t>
            </w:r>
            <w:proofErr w:type="spellEnd"/>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5A3CE5E"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500,00</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14:paraId="5830CFF4"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1.000,00</w:t>
            </w:r>
          </w:p>
        </w:tc>
        <w:tc>
          <w:tcPr>
            <w:tcW w:w="1402" w:type="dxa"/>
            <w:tcBorders>
              <w:top w:val="nil"/>
              <w:left w:val="nil"/>
              <w:bottom w:val="single" w:sz="4" w:space="0" w:color="auto"/>
              <w:right w:val="double" w:sz="6" w:space="0" w:color="auto"/>
            </w:tcBorders>
            <w:shd w:val="clear" w:color="000000" w:fill="FFFFFF"/>
            <w:noWrap/>
            <w:vAlign w:val="center"/>
            <w:hideMark/>
          </w:tcPr>
          <w:p w14:paraId="63A69B61"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1.500,00</w:t>
            </w:r>
          </w:p>
        </w:tc>
      </w:tr>
      <w:tr w:rsidR="00E97428" w:rsidRPr="00E97428" w14:paraId="2BFD23A6" w14:textId="77777777" w:rsidTr="00E97428">
        <w:trPr>
          <w:trHeight w:val="255"/>
        </w:trPr>
        <w:tc>
          <w:tcPr>
            <w:tcW w:w="539" w:type="dxa"/>
            <w:tcBorders>
              <w:top w:val="single" w:sz="4" w:space="0" w:color="auto"/>
              <w:left w:val="double" w:sz="6" w:space="0" w:color="auto"/>
              <w:bottom w:val="nil"/>
              <w:right w:val="single" w:sz="4" w:space="0" w:color="auto"/>
            </w:tcBorders>
            <w:shd w:val="clear" w:color="auto" w:fill="auto"/>
            <w:noWrap/>
            <w:vAlign w:val="center"/>
            <w:hideMark/>
          </w:tcPr>
          <w:p w14:paraId="6BFB6C82" w14:textId="77777777" w:rsidR="00E97428" w:rsidRPr="00E97428" w:rsidRDefault="00E97428" w:rsidP="00E97428">
            <w:pPr>
              <w:ind w:left="0" w:right="0" w:firstLine="0"/>
              <w:jc w:val="center"/>
              <w:rPr>
                <w:sz w:val="20"/>
                <w:szCs w:val="20"/>
                <w:lang w:val="sr-Latn-BA" w:eastAsia="sr-Latn-BA"/>
              </w:rPr>
            </w:pPr>
            <w:r w:rsidRPr="00E97428">
              <w:rPr>
                <w:sz w:val="20"/>
                <w:szCs w:val="20"/>
                <w:lang w:val="sr-Latn-BA" w:eastAsia="sr-Latn-BA"/>
              </w:rPr>
              <w:t>6</w:t>
            </w:r>
          </w:p>
        </w:tc>
        <w:tc>
          <w:tcPr>
            <w:tcW w:w="5020" w:type="dxa"/>
            <w:tcBorders>
              <w:top w:val="single" w:sz="4" w:space="0" w:color="auto"/>
              <w:left w:val="nil"/>
              <w:bottom w:val="nil"/>
              <w:right w:val="single" w:sz="4" w:space="0" w:color="auto"/>
            </w:tcBorders>
            <w:shd w:val="clear" w:color="auto" w:fill="auto"/>
            <w:vAlign w:val="center"/>
            <w:hideMark/>
          </w:tcPr>
          <w:p w14:paraId="277EA154" w14:textId="77777777" w:rsidR="00E97428" w:rsidRPr="00E97428" w:rsidRDefault="00E97428" w:rsidP="00E97428">
            <w:pPr>
              <w:ind w:left="0" w:right="0" w:firstLine="0"/>
              <w:jc w:val="left"/>
              <w:rPr>
                <w:sz w:val="20"/>
                <w:szCs w:val="20"/>
                <w:lang w:val="sr-Latn-BA" w:eastAsia="sr-Latn-BA"/>
              </w:rPr>
            </w:pPr>
            <w:proofErr w:type="spellStart"/>
            <w:r w:rsidRPr="00E97428">
              <w:rPr>
                <w:sz w:val="20"/>
                <w:szCs w:val="20"/>
                <w:lang w:val="sr-Latn-BA" w:eastAsia="sr-Latn-BA"/>
              </w:rPr>
              <w:t>Друштво</w:t>
            </w:r>
            <w:proofErr w:type="spellEnd"/>
            <w:r w:rsidRPr="00E97428">
              <w:rPr>
                <w:sz w:val="20"/>
                <w:szCs w:val="20"/>
                <w:lang w:val="sr-Latn-BA" w:eastAsia="sr-Latn-BA"/>
              </w:rPr>
              <w:t xml:space="preserve"> </w:t>
            </w:r>
            <w:proofErr w:type="spellStart"/>
            <w:r w:rsidRPr="00E97428">
              <w:rPr>
                <w:sz w:val="20"/>
                <w:szCs w:val="20"/>
                <w:lang w:val="sr-Latn-BA" w:eastAsia="sr-Latn-BA"/>
              </w:rPr>
              <w:t>умјетника</w:t>
            </w:r>
            <w:proofErr w:type="spellEnd"/>
            <w:r w:rsidRPr="00E97428">
              <w:rPr>
                <w:sz w:val="20"/>
                <w:szCs w:val="20"/>
                <w:lang w:val="sr-Latn-BA" w:eastAsia="sr-Latn-BA"/>
              </w:rPr>
              <w:t xml:space="preserve"> и </w:t>
            </w:r>
            <w:proofErr w:type="spellStart"/>
            <w:r w:rsidRPr="00E97428">
              <w:rPr>
                <w:sz w:val="20"/>
                <w:szCs w:val="20"/>
                <w:lang w:val="sr-Latn-BA" w:eastAsia="sr-Latn-BA"/>
              </w:rPr>
              <w:t>пријатеља</w:t>
            </w:r>
            <w:proofErr w:type="spellEnd"/>
            <w:r w:rsidRPr="00E97428">
              <w:rPr>
                <w:sz w:val="20"/>
                <w:szCs w:val="20"/>
                <w:lang w:val="sr-Latn-BA" w:eastAsia="sr-Latn-BA"/>
              </w:rPr>
              <w:t xml:space="preserve"> </w:t>
            </w:r>
            <w:proofErr w:type="spellStart"/>
            <w:r w:rsidRPr="00E97428">
              <w:rPr>
                <w:sz w:val="20"/>
                <w:szCs w:val="20"/>
                <w:lang w:val="sr-Latn-BA" w:eastAsia="sr-Latn-BA"/>
              </w:rPr>
              <w:t>умјетности</w:t>
            </w:r>
            <w:proofErr w:type="spellEnd"/>
            <w:r w:rsidRPr="00E97428">
              <w:rPr>
                <w:sz w:val="20"/>
                <w:szCs w:val="20"/>
                <w:lang w:val="sr-Latn-BA" w:eastAsia="sr-Latn-BA"/>
              </w:rPr>
              <w:t xml:space="preserve"> </w:t>
            </w:r>
            <w:proofErr w:type="spellStart"/>
            <w:r w:rsidRPr="00E97428">
              <w:rPr>
                <w:sz w:val="20"/>
                <w:szCs w:val="20"/>
                <w:lang w:val="sr-Latn-BA" w:eastAsia="sr-Latn-BA"/>
              </w:rPr>
              <w:t>Прњавор</w:t>
            </w:r>
            <w:proofErr w:type="spellEnd"/>
          </w:p>
        </w:tc>
        <w:tc>
          <w:tcPr>
            <w:tcW w:w="1240" w:type="dxa"/>
            <w:tcBorders>
              <w:top w:val="single" w:sz="4" w:space="0" w:color="auto"/>
              <w:left w:val="nil"/>
              <w:bottom w:val="nil"/>
              <w:right w:val="single" w:sz="4" w:space="0" w:color="auto"/>
            </w:tcBorders>
            <w:shd w:val="clear" w:color="auto" w:fill="auto"/>
            <w:noWrap/>
            <w:vAlign w:val="center"/>
            <w:hideMark/>
          </w:tcPr>
          <w:p w14:paraId="3FFFCEC9"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1.000,00</w:t>
            </w:r>
          </w:p>
        </w:tc>
        <w:tc>
          <w:tcPr>
            <w:tcW w:w="1320" w:type="dxa"/>
            <w:tcBorders>
              <w:top w:val="single" w:sz="4" w:space="0" w:color="auto"/>
              <w:left w:val="nil"/>
              <w:bottom w:val="nil"/>
              <w:right w:val="single" w:sz="4" w:space="0" w:color="auto"/>
            </w:tcBorders>
            <w:shd w:val="clear" w:color="auto" w:fill="auto"/>
            <w:noWrap/>
            <w:vAlign w:val="center"/>
            <w:hideMark/>
          </w:tcPr>
          <w:p w14:paraId="53ACC27F"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2.000,00</w:t>
            </w:r>
          </w:p>
        </w:tc>
        <w:tc>
          <w:tcPr>
            <w:tcW w:w="1402" w:type="dxa"/>
            <w:tcBorders>
              <w:top w:val="single" w:sz="4" w:space="0" w:color="auto"/>
              <w:left w:val="nil"/>
              <w:bottom w:val="nil"/>
              <w:right w:val="double" w:sz="6" w:space="0" w:color="auto"/>
            </w:tcBorders>
            <w:shd w:val="clear" w:color="000000" w:fill="FFFFFF"/>
            <w:noWrap/>
            <w:vAlign w:val="center"/>
            <w:hideMark/>
          </w:tcPr>
          <w:p w14:paraId="25AE54EF"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3.000,00</w:t>
            </w:r>
          </w:p>
        </w:tc>
      </w:tr>
      <w:tr w:rsidR="00E97428" w:rsidRPr="00E97428" w14:paraId="36DE6025" w14:textId="77777777" w:rsidTr="00E97428">
        <w:trPr>
          <w:trHeight w:val="510"/>
        </w:trPr>
        <w:tc>
          <w:tcPr>
            <w:tcW w:w="539" w:type="dxa"/>
            <w:tcBorders>
              <w:top w:val="single" w:sz="4" w:space="0" w:color="auto"/>
              <w:left w:val="double" w:sz="6" w:space="0" w:color="auto"/>
              <w:bottom w:val="nil"/>
              <w:right w:val="single" w:sz="4" w:space="0" w:color="auto"/>
            </w:tcBorders>
            <w:shd w:val="clear" w:color="auto" w:fill="auto"/>
            <w:noWrap/>
            <w:vAlign w:val="center"/>
            <w:hideMark/>
          </w:tcPr>
          <w:p w14:paraId="294D7471" w14:textId="77777777" w:rsidR="00E97428" w:rsidRPr="00E97428" w:rsidRDefault="00E97428" w:rsidP="00E97428">
            <w:pPr>
              <w:ind w:left="0" w:right="0" w:firstLine="0"/>
              <w:jc w:val="center"/>
              <w:rPr>
                <w:sz w:val="20"/>
                <w:szCs w:val="20"/>
                <w:lang w:val="sr-Latn-BA" w:eastAsia="sr-Latn-BA"/>
              </w:rPr>
            </w:pPr>
            <w:r w:rsidRPr="00E97428">
              <w:rPr>
                <w:sz w:val="20"/>
                <w:szCs w:val="20"/>
                <w:lang w:val="sr-Latn-BA" w:eastAsia="sr-Latn-BA"/>
              </w:rPr>
              <w:t>7</w:t>
            </w:r>
          </w:p>
        </w:tc>
        <w:tc>
          <w:tcPr>
            <w:tcW w:w="5020" w:type="dxa"/>
            <w:tcBorders>
              <w:top w:val="single" w:sz="4" w:space="0" w:color="auto"/>
              <w:left w:val="nil"/>
              <w:bottom w:val="nil"/>
              <w:right w:val="single" w:sz="4" w:space="0" w:color="auto"/>
            </w:tcBorders>
            <w:shd w:val="clear" w:color="auto" w:fill="auto"/>
            <w:vAlign w:val="bottom"/>
            <w:hideMark/>
          </w:tcPr>
          <w:p w14:paraId="1B78E46D" w14:textId="77777777" w:rsidR="00E97428" w:rsidRPr="00E97428" w:rsidRDefault="00E97428" w:rsidP="00E97428">
            <w:pPr>
              <w:ind w:left="0" w:right="0" w:firstLine="0"/>
              <w:jc w:val="left"/>
              <w:rPr>
                <w:sz w:val="20"/>
                <w:szCs w:val="20"/>
                <w:lang w:val="sr-Latn-BA" w:eastAsia="sr-Latn-BA"/>
              </w:rPr>
            </w:pPr>
            <w:proofErr w:type="spellStart"/>
            <w:r w:rsidRPr="00E97428">
              <w:rPr>
                <w:sz w:val="20"/>
                <w:szCs w:val="20"/>
                <w:lang w:val="sr-Latn-BA" w:eastAsia="sr-Latn-BA"/>
              </w:rPr>
              <w:t>Удружење</w:t>
            </w:r>
            <w:proofErr w:type="spellEnd"/>
            <w:r w:rsidRPr="00E97428">
              <w:rPr>
                <w:sz w:val="20"/>
                <w:szCs w:val="20"/>
                <w:lang w:val="sr-Latn-BA" w:eastAsia="sr-Latn-BA"/>
              </w:rPr>
              <w:t xml:space="preserve"> </w:t>
            </w:r>
            <w:proofErr w:type="spellStart"/>
            <w:r w:rsidRPr="00E97428">
              <w:rPr>
                <w:sz w:val="20"/>
                <w:szCs w:val="20"/>
                <w:lang w:val="sr-Latn-BA" w:eastAsia="sr-Latn-BA"/>
              </w:rPr>
              <w:t>за</w:t>
            </w:r>
            <w:proofErr w:type="spellEnd"/>
            <w:r w:rsidRPr="00E97428">
              <w:rPr>
                <w:sz w:val="20"/>
                <w:szCs w:val="20"/>
                <w:lang w:val="sr-Latn-BA" w:eastAsia="sr-Latn-BA"/>
              </w:rPr>
              <w:t xml:space="preserve"> </w:t>
            </w:r>
            <w:proofErr w:type="spellStart"/>
            <w:r w:rsidRPr="00E97428">
              <w:rPr>
                <w:sz w:val="20"/>
                <w:szCs w:val="20"/>
                <w:lang w:val="sr-Latn-BA" w:eastAsia="sr-Latn-BA"/>
              </w:rPr>
              <w:t>заштиту</w:t>
            </w:r>
            <w:proofErr w:type="spellEnd"/>
            <w:r w:rsidRPr="00E97428">
              <w:rPr>
                <w:sz w:val="20"/>
                <w:szCs w:val="20"/>
                <w:lang w:val="sr-Latn-BA" w:eastAsia="sr-Latn-BA"/>
              </w:rPr>
              <w:t xml:space="preserve"> </w:t>
            </w:r>
            <w:proofErr w:type="spellStart"/>
            <w:r w:rsidRPr="00E97428">
              <w:rPr>
                <w:sz w:val="20"/>
                <w:szCs w:val="20"/>
                <w:lang w:val="sr-Latn-BA" w:eastAsia="sr-Latn-BA"/>
              </w:rPr>
              <w:t>ријека</w:t>
            </w:r>
            <w:proofErr w:type="spellEnd"/>
            <w:r w:rsidRPr="00E97428">
              <w:rPr>
                <w:sz w:val="20"/>
                <w:szCs w:val="20"/>
                <w:lang w:val="sr-Latn-BA" w:eastAsia="sr-Latn-BA"/>
              </w:rPr>
              <w:t xml:space="preserve">, </w:t>
            </w:r>
            <w:proofErr w:type="spellStart"/>
            <w:r w:rsidRPr="00E97428">
              <w:rPr>
                <w:sz w:val="20"/>
                <w:szCs w:val="20"/>
                <w:lang w:val="sr-Latn-BA" w:eastAsia="sr-Latn-BA"/>
              </w:rPr>
              <w:t>ријечних</w:t>
            </w:r>
            <w:proofErr w:type="spellEnd"/>
            <w:r w:rsidRPr="00E97428">
              <w:rPr>
                <w:sz w:val="20"/>
                <w:szCs w:val="20"/>
                <w:lang w:val="sr-Latn-BA" w:eastAsia="sr-Latn-BA"/>
              </w:rPr>
              <w:t xml:space="preserve"> </w:t>
            </w:r>
            <w:proofErr w:type="spellStart"/>
            <w:r w:rsidRPr="00E97428">
              <w:rPr>
                <w:sz w:val="20"/>
                <w:szCs w:val="20"/>
                <w:lang w:val="sr-Latn-BA" w:eastAsia="sr-Latn-BA"/>
              </w:rPr>
              <w:t>сливова</w:t>
            </w:r>
            <w:proofErr w:type="spellEnd"/>
            <w:r w:rsidRPr="00E97428">
              <w:rPr>
                <w:sz w:val="20"/>
                <w:szCs w:val="20"/>
                <w:lang w:val="sr-Latn-BA" w:eastAsia="sr-Latn-BA"/>
              </w:rPr>
              <w:t xml:space="preserve"> и </w:t>
            </w:r>
            <w:proofErr w:type="spellStart"/>
            <w:r w:rsidRPr="00E97428">
              <w:rPr>
                <w:sz w:val="20"/>
                <w:szCs w:val="20"/>
                <w:lang w:val="sr-Latn-BA" w:eastAsia="sr-Latn-BA"/>
              </w:rPr>
              <w:t>екстремних</w:t>
            </w:r>
            <w:proofErr w:type="spellEnd"/>
            <w:r w:rsidRPr="00E97428">
              <w:rPr>
                <w:sz w:val="20"/>
                <w:szCs w:val="20"/>
                <w:lang w:val="sr-Latn-BA" w:eastAsia="sr-Latn-BA"/>
              </w:rPr>
              <w:t xml:space="preserve"> </w:t>
            </w:r>
            <w:proofErr w:type="spellStart"/>
            <w:r w:rsidRPr="00E97428">
              <w:rPr>
                <w:sz w:val="20"/>
                <w:szCs w:val="20"/>
                <w:lang w:val="sr-Latn-BA" w:eastAsia="sr-Latn-BA"/>
              </w:rPr>
              <w:t>спортова</w:t>
            </w:r>
            <w:proofErr w:type="spellEnd"/>
            <w:r w:rsidRPr="00E97428">
              <w:rPr>
                <w:sz w:val="20"/>
                <w:szCs w:val="20"/>
                <w:lang w:val="sr-Latn-BA" w:eastAsia="sr-Latn-BA"/>
              </w:rPr>
              <w:t xml:space="preserve"> "</w:t>
            </w:r>
            <w:proofErr w:type="spellStart"/>
            <w:r w:rsidRPr="00E97428">
              <w:rPr>
                <w:sz w:val="20"/>
                <w:szCs w:val="20"/>
                <w:lang w:val="sr-Latn-BA" w:eastAsia="sr-Latn-BA"/>
              </w:rPr>
              <w:t>Дерава</w:t>
            </w:r>
            <w:proofErr w:type="spellEnd"/>
            <w:r w:rsidRPr="00E97428">
              <w:rPr>
                <w:sz w:val="20"/>
                <w:szCs w:val="20"/>
                <w:lang w:val="sr-Latn-BA" w:eastAsia="sr-Latn-BA"/>
              </w:rPr>
              <w:t xml:space="preserve">" </w:t>
            </w:r>
            <w:proofErr w:type="spellStart"/>
            <w:r w:rsidRPr="00E97428">
              <w:rPr>
                <w:sz w:val="20"/>
                <w:szCs w:val="20"/>
                <w:lang w:val="sr-Latn-BA" w:eastAsia="sr-Latn-BA"/>
              </w:rPr>
              <w:t>Прњавор</w:t>
            </w:r>
            <w:proofErr w:type="spellEnd"/>
          </w:p>
        </w:tc>
        <w:tc>
          <w:tcPr>
            <w:tcW w:w="1240" w:type="dxa"/>
            <w:tcBorders>
              <w:top w:val="single" w:sz="4" w:space="0" w:color="auto"/>
              <w:left w:val="nil"/>
              <w:bottom w:val="nil"/>
              <w:right w:val="single" w:sz="4" w:space="0" w:color="auto"/>
            </w:tcBorders>
            <w:shd w:val="clear" w:color="auto" w:fill="auto"/>
            <w:noWrap/>
            <w:vAlign w:val="center"/>
            <w:hideMark/>
          </w:tcPr>
          <w:p w14:paraId="07DFE71E"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500,00</w:t>
            </w:r>
          </w:p>
        </w:tc>
        <w:tc>
          <w:tcPr>
            <w:tcW w:w="1320" w:type="dxa"/>
            <w:tcBorders>
              <w:top w:val="single" w:sz="4" w:space="0" w:color="auto"/>
              <w:left w:val="nil"/>
              <w:bottom w:val="nil"/>
              <w:right w:val="single" w:sz="4" w:space="0" w:color="auto"/>
            </w:tcBorders>
            <w:shd w:val="clear" w:color="000000" w:fill="FFFFFF"/>
            <w:noWrap/>
            <w:vAlign w:val="center"/>
            <w:hideMark/>
          </w:tcPr>
          <w:p w14:paraId="33B2223F"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0,00</w:t>
            </w:r>
          </w:p>
        </w:tc>
        <w:tc>
          <w:tcPr>
            <w:tcW w:w="1402" w:type="dxa"/>
            <w:tcBorders>
              <w:top w:val="single" w:sz="4" w:space="0" w:color="auto"/>
              <w:left w:val="nil"/>
              <w:bottom w:val="nil"/>
              <w:right w:val="double" w:sz="6" w:space="0" w:color="auto"/>
            </w:tcBorders>
            <w:shd w:val="clear" w:color="000000" w:fill="FFFFFF"/>
            <w:noWrap/>
            <w:vAlign w:val="center"/>
            <w:hideMark/>
          </w:tcPr>
          <w:p w14:paraId="53D89524"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500,00</w:t>
            </w:r>
          </w:p>
        </w:tc>
      </w:tr>
      <w:tr w:rsidR="00E97428" w:rsidRPr="00E97428" w14:paraId="3FCE96BC" w14:textId="77777777" w:rsidTr="00E97428">
        <w:trPr>
          <w:trHeight w:val="270"/>
        </w:trPr>
        <w:tc>
          <w:tcPr>
            <w:tcW w:w="539"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0C1B2BA9" w14:textId="77777777" w:rsidR="00E97428" w:rsidRPr="00E97428" w:rsidRDefault="00E97428" w:rsidP="00E97428">
            <w:pPr>
              <w:ind w:left="0" w:right="0" w:firstLine="0"/>
              <w:jc w:val="center"/>
              <w:rPr>
                <w:sz w:val="20"/>
                <w:szCs w:val="20"/>
                <w:lang w:val="sr-Latn-BA" w:eastAsia="sr-Latn-BA"/>
              </w:rPr>
            </w:pPr>
            <w:r w:rsidRPr="00E97428">
              <w:rPr>
                <w:sz w:val="20"/>
                <w:szCs w:val="20"/>
                <w:lang w:val="sr-Latn-BA" w:eastAsia="sr-Latn-BA"/>
              </w:rPr>
              <w:lastRenderedPageBreak/>
              <w:t>8</w:t>
            </w:r>
          </w:p>
        </w:tc>
        <w:tc>
          <w:tcPr>
            <w:tcW w:w="5020" w:type="dxa"/>
            <w:tcBorders>
              <w:top w:val="single" w:sz="4" w:space="0" w:color="auto"/>
              <w:left w:val="nil"/>
              <w:bottom w:val="double" w:sz="6" w:space="0" w:color="auto"/>
              <w:right w:val="single" w:sz="4" w:space="0" w:color="auto"/>
            </w:tcBorders>
            <w:shd w:val="clear" w:color="auto" w:fill="auto"/>
            <w:noWrap/>
            <w:vAlign w:val="center"/>
            <w:hideMark/>
          </w:tcPr>
          <w:p w14:paraId="09669910" w14:textId="77777777" w:rsidR="00E97428" w:rsidRPr="00E97428" w:rsidRDefault="00E97428" w:rsidP="00E97428">
            <w:pPr>
              <w:ind w:left="0" w:right="0" w:firstLine="0"/>
              <w:jc w:val="left"/>
              <w:rPr>
                <w:sz w:val="20"/>
                <w:szCs w:val="20"/>
                <w:lang w:val="sr-Latn-BA" w:eastAsia="sr-Latn-BA"/>
              </w:rPr>
            </w:pPr>
            <w:proofErr w:type="spellStart"/>
            <w:r w:rsidRPr="00E97428">
              <w:rPr>
                <w:sz w:val="20"/>
                <w:szCs w:val="20"/>
                <w:lang w:val="sr-Latn-BA" w:eastAsia="sr-Latn-BA"/>
              </w:rPr>
              <w:t>Планинарско</w:t>
            </w:r>
            <w:proofErr w:type="spellEnd"/>
            <w:r w:rsidRPr="00E97428">
              <w:rPr>
                <w:sz w:val="20"/>
                <w:szCs w:val="20"/>
                <w:lang w:val="sr-Latn-BA" w:eastAsia="sr-Latn-BA"/>
              </w:rPr>
              <w:t xml:space="preserve"> </w:t>
            </w:r>
            <w:proofErr w:type="spellStart"/>
            <w:r w:rsidRPr="00E97428">
              <w:rPr>
                <w:sz w:val="20"/>
                <w:szCs w:val="20"/>
                <w:lang w:val="sr-Latn-BA" w:eastAsia="sr-Latn-BA"/>
              </w:rPr>
              <w:t>друштво</w:t>
            </w:r>
            <w:proofErr w:type="spellEnd"/>
            <w:r w:rsidRPr="00E97428">
              <w:rPr>
                <w:sz w:val="20"/>
                <w:szCs w:val="20"/>
                <w:lang w:val="sr-Latn-BA" w:eastAsia="sr-Latn-BA"/>
              </w:rPr>
              <w:t xml:space="preserve"> "</w:t>
            </w:r>
            <w:proofErr w:type="spellStart"/>
            <w:r w:rsidRPr="00E97428">
              <w:rPr>
                <w:sz w:val="20"/>
                <w:szCs w:val="20"/>
                <w:lang w:val="sr-Latn-BA" w:eastAsia="sr-Latn-BA"/>
              </w:rPr>
              <w:t>Корак</w:t>
            </w:r>
            <w:proofErr w:type="spellEnd"/>
            <w:r w:rsidRPr="00E97428">
              <w:rPr>
                <w:sz w:val="20"/>
                <w:szCs w:val="20"/>
                <w:lang w:val="sr-Latn-BA" w:eastAsia="sr-Latn-BA"/>
              </w:rPr>
              <w:t xml:space="preserve"> </w:t>
            </w:r>
            <w:proofErr w:type="spellStart"/>
            <w:r w:rsidRPr="00E97428">
              <w:rPr>
                <w:sz w:val="20"/>
                <w:szCs w:val="20"/>
                <w:lang w:val="sr-Latn-BA" w:eastAsia="sr-Latn-BA"/>
              </w:rPr>
              <w:t>више</w:t>
            </w:r>
            <w:proofErr w:type="spellEnd"/>
            <w:r w:rsidRPr="00E97428">
              <w:rPr>
                <w:sz w:val="20"/>
                <w:szCs w:val="20"/>
                <w:lang w:val="sr-Latn-BA" w:eastAsia="sr-Latn-BA"/>
              </w:rPr>
              <w:t xml:space="preserve">" </w:t>
            </w:r>
            <w:proofErr w:type="spellStart"/>
            <w:r w:rsidRPr="00E97428">
              <w:rPr>
                <w:sz w:val="20"/>
                <w:szCs w:val="20"/>
                <w:lang w:val="sr-Latn-BA" w:eastAsia="sr-Latn-BA"/>
              </w:rPr>
              <w:t>Прњавор</w:t>
            </w:r>
            <w:proofErr w:type="spellEnd"/>
          </w:p>
        </w:tc>
        <w:tc>
          <w:tcPr>
            <w:tcW w:w="1240" w:type="dxa"/>
            <w:tcBorders>
              <w:top w:val="single" w:sz="4" w:space="0" w:color="auto"/>
              <w:left w:val="nil"/>
              <w:bottom w:val="double" w:sz="6" w:space="0" w:color="auto"/>
              <w:right w:val="single" w:sz="4" w:space="0" w:color="auto"/>
            </w:tcBorders>
            <w:shd w:val="clear" w:color="auto" w:fill="auto"/>
            <w:noWrap/>
            <w:vAlign w:val="center"/>
            <w:hideMark/>
          </w:tcPr>
          <w:p w14:paraId="400AA3CC"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0,00</w:t>
            </w:r>
          </w:p>
        </w:tc>
        <w:tc>
          <w:tcPr>
            <w:tcW w:w="1320" w:type="dxa"/>
            <w:tcBorders>
              <w:top w:val="single" w:sz="4" w:space="0" w:color="auto"/>
              <w:left w:val="nil"/>
              <w:bottom w:val="double" w:sz="6" w:space="0" w:color="auto"/>
              <w:right w:val="single" w:sz="4" w:space="0" w:color="auto"/>
            </w:tcBorders>
            <w:shd w:val="clear" w:color="auto" w:fill="auto"/>
            <w:noWrap/>
            <w:vAlign w:val="center"/>
            <w:hideMark/>
          </w:tcPr>
          <w:p w14:paraId="733AB0A8"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2.300,00</w:t>
            </w:r>
          </w:p>
        </w:tc>
        <w:tc>
          <w:tcPr>
            <w:tcW w:w="1402" w:type="dxa"/>
            <w:tcBorders>
              <w:top w:val="single" w:sz="4" w:space="0" w:color="auto"/>
              <w:left w:val="nil"/>
              <w:bottom w:val="double" w:sz="6" w:space="0" w:color="auto"/>
              <w:right w:val="double" w:sz="6" w:space="0" w:color="auto"/>
            </w:tcBorders>
            <w:shd w:val="clear" w:color="000000" w:fill="FFFFFF"/>
            <w:noWrap/>
            <w:vAlign w:val="center"/>
            <w:hideMark/>
          </w:tcPr>
          <w:p w14:paraId="2D981E49"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2.300,00</w:t>
            </w:r>
          </w:p>
        </w:tc>
      </w:tr>
      <w:tr w:rsidR="00E97428" w:rsidRPr="00E97428" w14:paraId="2969D211" w14:textId="77777777" w:rsidTr="00E97428">
        <w:trPr>
          <w:trHeight w:val="330"/>
        </w:trPr>
        <w:tc>
          <w:tcPr>
            <w:tcW w:w="5559" w:type="dxa"/>
            <w:gridSpan w:val="2"/>
            <w:tcBorders>
              <w:top w:val="double" w:sz="6" w:space="0" w:color="auto"/>
              <w:left w:val="double" w:sz="6" w:space="0" w:color="auto"/>
              <w:bottom w:val="double" w:sz="6" w:space="0" w:color="auto"/>
              <w:right w:val="single" w:sz="4" w:space="0" w:color="auto"/>
            </w:tcBorders>
            <w:shd w:val="clear" w:color="auto" w:fill="auto"/>
            <w:vAlign w:val="center"/>
            <w:hideMark/>
          </w:tcPr>
          <w:p w14:paraId="73797752" w14:textId="77777777" w:rsidR="00E97428" w:rsidRPr="00E97428" w:rsidRDefault="00E97428" w:rsidP="00E97428">
            <w:pPr>
              <w:ind w:left="0" w:right="0" w:firstLine="0"/>
              <w:jc w:val="center"/>
              <w:rPr>
                <w:b/>
                <w:bCs/>
                <w:sz w:val="20"/>
                <w:szCs w:val="20"/>
                <w:lang w:val="sr-Latn-BA" w:eastAsia="sr-Latn-BA"/>
              </w:rPr>
            </w:pPr>
            <w:r w:rsidRPr="00E97428">
              <w:rPr>
                <w:b/>
                <w:bCs/>
                <w:sz w:val="20"/>
                <w:szCs w:val="20"/>
                <w:lang w:val="sr-Latn-BA" w:eastAsia="sr-Latn-BA"/>
              </w:rPr>
              <w:t>У К У П Н О</w:t>
            </w:r>
          </w:p>
        </w:tc>
        <w:tc>
          <w:tcPr>
            <w:tcW w:w="1240" w:type="dxa"/>
            <w:tcBorders>
              <w:top w:val="double" w:sz="6" w:space="0" w:color="auto"/>
              <w:left w:val="nil"/>
              <w:bottom w:val="double" w:sz="6" w:space="0" w:color="auto"/>
              <w:right w:val="single" w:sz="4" w:space="0" w:color="auto"/>
            </w:tcBorders>
            <w:shd w:val="clear" w:color="auto" w:fill="auto"/>
            <w:noWrap/>
            <w:vAlign w:val="center"/>
            <w:hideMark/>
          </w:tcPr>
          <w:p w14:paraId="15E37A81" w14:textId="77777777" w:rsidR="00E97428" w:rsidRPr="00E97428" w:rsidRDefault="00E97428" w:rsidP="00E97428">
            <w:pPr>
              <w:ind w:left="0" w:right="0" w:firstLine="0"/>
              <w:jc w:val="right"/>
              <w:rPr>
                <w:b/>
                <w:bCs/>
                <w:sz w:val="20"/>
                <w:szCs w:val="20"/>
                <w:lang w:val="sr-Latn-BA" w:eastAsia="sr-Latn-BA"/>
              </w:rPr>
            </w:pPr>
            <w:r w:rsidRPr="00E97428">
              <w:rPr>
                <w:b/>
                <w:bCs/>
                <w:sz w:val="20"/>
                <w:szCs w:val="20"/>
                <w:lang w:val="sr-Latn-BA" w:eastAsia="sr-Latn-BA"/>
              </w:rPr>
              <w:t>10.100,00</w:t>
            </w:r>
          </w:p>
        </w:tc>
        <w:tc>
          <w:tcPr>
            <w:tcW w:w="1320" w:type="dxa"/>
            <w:tcBorders>
              <w:top w:val="double" w:sz="6" w:space="0" w:color="auto"/>
              <w:left w:val="nil"/>
              <w:bottom w:val="double" w:sz="6" w:space="0" w:color="auto"/>
              <w:right w:val="nil"/>
            </w:tcBorders>
            <w:shd w:val="clear" w:color="auto" w:fill="auto"/>
            <w:noWrap/>
            <w:vAlign w:val="center"/>
            <w:hideMark/>
          </w:tcPr>
          <w:p w14:paraId="52DF6820" w14:textId="77777777" w:rsidR="00E97428" w:rsidRPr="00E97428" w:rsidRDefault="00E97428" w:rsidP="00E97428">
            <w:pPr>
              <w:ind w:left="0" w:right="0" w:firstLine="0"/>
              <w:jc w:val="right"/>
              <w:rPr>
                <w:b/>
                <w:bCs/>
                <w:sz w:val="20"/>
                <w:szCs w:val="20"/>
                <w:lang w:val="sr-Latn-BA" w:eastAsia="sr-Latn-BA"/>
              </w:rPr>
            </w:pPr>
            <w:r w:rsidRPr="00E97428">
              <w:rPr>
                <w:b/>
                <w:bCs/>
                <w:sz w:val="20"/>
                <w:szCs w:val="20"/>
                <w:lang w:val="sr-Latn-BA" w:eastAsia="sr-Latn-BA"/>
              </w:rPr>
              <w:t>5.300,00</w:t>
            </w:r>
          </w:p>
        </w:tc>
        <w:tc>
          <w:tcPr>
            <w:tcW w:w="1402" w:type="dxa"/>
            <w:tcBorders>
              <w:top w:val="double" w:sz="6" w:space="0" w:color="auto"/>
              <w:left w:val="single" w:sz="4" w:space="0" w:color="auto"/>
              <w:bottom w:val="double" w:sz="6" w:space="0" w:color="auto"/>
              <w:right w:val="double" w:sz="6" w:space="0" w:color="auto"/>
            </w:tcBorders>
            <w:shd w:val="clear" w:color="auto" w:fill="auto"/>
            <w:noWrap/>
            <w:vAlign w:val="center"/>
            <w:hideMark/>
          </w:tcPr>
          <w:p w14:paraId="5FAA757B" w14:textId="77777777" w:rsidR="00E97428" w:rsidRPr="00E97428" w:rsidRDefault="00E97428" w:rsidP="00E97428">
            <w:pPr>
              <w:ind w:left="0" w:right="0" w:firstLine="0"/>
              <w:jc w:val="right"/>
              <w:rPr>
                <w:b/>
                <w:bCs/>
                <w:sz w:val="20"/>
                <w:szCs w:val="20"/>
                <w:lang w:val="sr-Latn-BA" w:eastAsia="sr-Latn-BA"/>
              </w:rPr>
            </w:pPr>
            <w:r w:rsidRPr="00E97428">
              <w:rPr>
                <w:b/>
                <w:bCs/>
                <w:sz w:val="20"/>
                <w:szCs w:val="20"/>
                <w:lang w:val="sr-Latn-BA" w:eastAsia="sr-Latn-BA"/>
              </w:rPr>
              <w:t>15.400,00</w:t>
            </w:r>
          </w:p>
        </w:tc>
      </w:tr>
    </w:tbl>
    <w:p w14:paraId="5BAC9C9B" w14:textId="77777777" w:rsidR="003E0BA8" w:rsidRPr="00E97428" w:rsidRDefault="003E0BA8" w:rsidP="003E0BA8">
      <w:pPr>
        <w:ind w:left="0" w:firstLine="0"/>
        <w:rPr>
          <w:color w:val="FF6600"/>
          <w:lang w:val="sr-Cyrl-BA"/>
        </w:rPr>
      </w:pPr>
    </w:p>
    <w:p w14:paraId="0800DCA0" w14:textId="77777777" w:rsidR="003E0BA8" w:rsidRDefault="003E0BA8" w:rsidP="00614CCB">
      <w:pPr>
        <w:spacing w:before="120"/>
        <w:ind w:left="0" w:right="-794" w:firstLine="720"/>
      </w:pPr>
      <w:r w:rsidRPr="00432478">
        <w:t>Средства са</w:t>
      </w:r>
      <w:r w:rsidR="00716212">
        <w:rPr>
          <w:lang w:val="sr-Latn-RS"/>
        </w:rPr>
        <w:t xml:space="preserve"> </w:t>
      </w:r>
      <w:r>
        <w:t>позиције</w:t>
      </w:r>
      <w:r w:rsidR="004468FB">
        <w:rPr>
          <w:lang w:val="sr-Cyrl-RS"/>
        </w:rPr>
        <w:t xml:space="preserve"> </w:t>
      </w:r>
      <w:r w:rsidRPr="00937B51">
        <w:rPr>
          <w:b/>
          <w:i/>
        </w:rPr>
        <w:t>Помоћ удружењима националних мањина</w:t>
      </w:r>
      <w:r>
        <w:t xml:space="preserve"> (потрошачка јединица 00750150)</w:t>
      </w:r>
      <w:r w:rsidRPr="000019F1">
        <w:t xml:space="preserve"> искориш</w:t>
      </w:r>
      <w:r>
        <w:t>ћ</w:t>
      </w:r>
      <w:r w:rsidRPr="000019F1">
        <w:t>ена</w:t>
      </w:r>
      <w:r>
        <w:t xml:space="preserve"> су</w:t>
      </w:r>
      <w:r w:rsidRPr="000019F1">
        <w:t xml:space="preserve"> у износу од </w:t>
      </w:r>
      <w:r w:rsidR="00E97428">
        <w:t>29.302,38</w:t>
      </w:r>
      <w:r w:rsidRPr="000019F1">
        <w:t xml:space="preserve"> КМ што је </w:t>
      </w:r>
      <w:r w:rsidR="00E97428">
        <w:t>88,21</w:t>
      </w:r>
      <w:r w:rsidRPr="000019F1">
        <w:t>% од плана</w:t>
      </w:r>
      <w:r w:rsidR="00535D55">
        <w:t xml:space="preserve"> са извршеним </w:t>
      </w:r>
      <w:proofErr w:type="spellStart"/>
      <w:r w:rsidR="00535D55">
        <w:t>реалокацијама</w:t>
      </w:r>
      <w:proofErr w:type="spellEnd"/>
      <w:r w:rsidR="007D1A63">
        <w:t xml:space="preserve">. Средства у износу од </w:t>
      </w:r>
      <w:r w:rsidR="00E97428">
        <w:t>24.302</w:t>
      </w:r>
      <w:r w:rsidR="009E25AB">
        <w:t>,38</w:t>
      </w:r>
      <w:r w:rsidR="007D1A63">
        <w:t xml:space="preserve"> КМ </w:t>
      </w:r>
      <w:proofErr w:type="spellStart"/>
      <w:r w:rsidR="007D1A63">
        <w:t>расподијељена</w:t>
      </w:r>
      <w:proofErr w:type="spellEnd"/>
      <w:r w:rsidR="007D1A63">
        <w:t xml:space="preserve"> су</w:t>
      </w:r>
      <w:r>
        <w:t xml:space="preserve"> на основу Одлуке о </w:t>
      </w:r>
      <w:proofErr w:type="spellStart"/>
      <w:r>
        <w:rPr>
          <w:lang w:val="sr-Latn-CS"/>
        </w:rPr>
        <w:t>условима</w:t>
      </w:r>
      <w:proofErr w:type="spellEnd"/>
      <w:r>
        <w:rPr>
          <w:lang w:val="sr-Latn-CS"/>
        </w:rPr>
        <w:t xml:space="preserve"> и </w:t>
      </w:r>
      <w:proofErr w:type="spellStart"/>
      <w:r>
        <w:rPr>
          <w:lang w:val="sr-Latn-CS"/>
        </w:rPr>
        <w:t>начину</w:t>
      </w:r>
      <w:proofErr w:type="spellEnd"/>
      <w:r>
        <w:rPr>
          <w:lang w:val="sr-Latn-CS"/>
        </w:rPr>
        <w:t xml:space="preserve"> </w:t>
      </w:r>
      <w:proofErr w:type="spellStart"/>
      <w:r>
        <w:t>расподјеле</w:t>
      </w:r>
      <w:proofErr w:type="spellEnd"/>
      <w:r>
        <w:t xml:space="preserve"> средстава са буџетске позиције – Помоћ удру</w:t>
      </w:r>
      <w:r w:rsidR="00535D55">
        <w:t>жењима националних мањина у 2020</w:t>
      </w:r>
      <w:r>
        <w:t xml:space="preserve">. години („Службени гласник општине Прњавор“, број </w:t>
      </w:r>
      <w:r w:rsidR="00535D55">
        <w:t>3/20</w:t>
      </w:r>
      <w:r w:rsidR="009E25AB">
        <w:t xml:space="preserve"> и 39/20</w:t>
      </w:r>
      <w:r w:rsidR="003C366E">
        <w:t>)</w:t>
      </w:r>
      <w:r w:rsidR="007D1A63">
        <w:t xml:space="preserve">, из редовно планираних средстава за ове </w:t>
      </w:r>
      <w:proofErr w:type="spellStart"/>
      <w:r w:rsidR="007D1A63">
        <w:t>намјене</w:t>
      </w:r>
      <w:proofErr w:type="spellEnd"/>
      <w:r w:rsidR="007D1A63">
        <w:t>, док су средства у износу од</w:t>
      </w:r>
      <w:r w:rsidR="004468FB">
        <w:rPr>
          <w:lang w:val="sr-Cyrl-RS"/>
        </w:rPr>
        <w:t xml:space="preserve">      </w:t>
      </w:r>
      <w:r w:rsidR="007D1A63">
        <w:t xml:space="preserve"> </w:t>
      </w:r>
      <w:r w:rsidR="009E25AB">
        <w:t>5</w:t>
      </w:r>
      <w:r w:rsidR="00535D55">
        <w:t>.000</w:t>
      </w:r>
      <w:r w:rsidR="007D1A63">
        <w:t xml:space="preserve">,00 КМ </w:t>
      </w:r>
      <w:proofErr w:type="spellStart"/>
      <w:r w:rsidR="007D1A63">
        <w:t>обезбијеђена</w:t>
      </w:r>
      <w:proofErr w:type="spellEnd"/>
      <w:r w:rsidR="007D1A63">
        <w:t xml:space="preserve"> </w:t>
      </w:r>
      <w:proofErr w:type="spellStart"/>
      <w:r w:rsidR="007D1A63">
        <w:t>избуџетске</w:t>
      </w:r>
      <w:proofErr w:type="spellEnd"/>
      <w:r w:rsidR="007D1A63">
        <w:t xml:space="preserve"> резерве. </w:t>
      </w:r>
      <w:r w:rsidR="003813B4">
        <w:t xml:space="preserve">Преглед </w:t>
      </w:r>
      <w:proofErr w:type="spellStart"/>
      <w:r w:rsidR="003813B4">
        <w:t>расподијељених</w:t>
      </w:r>
      <w:proofErr w:type="spellEnd"/>
      <w:r w:rsidR="003813B4">
        <w:t xml:space="preserve"> средстава удружењима националних мањина</w:t>
      </w:r>
      <w:r w:rsidR="00E97428">
        <w:t xml:space="preserve"> у периоду 01.01-3</w:t>
      </w:r>
      <w:r w:rsidR="00E97428">
        <w:rPr>
          <w:lang w:val="sr-Cyrl-BA"/>
        </w:rPr>
        <w:t>1</w:t>
      </w:r>
      <w:r w:rsidR="00E97428">
        <w:t>.</w:t>
      </w:r>
      <w:r w:rsidR="00E97428">
        <w:rPr>
          <w:lang w:val="sr-Cyrl-BA"/>
        </w:rPr>
        <w:t>12</w:t>
      </w:r>
      <w:r w:rsidR="00894508">
        <w:t>.2020</w:t>
      </w:r>
      <w:r w:rsidR="003813B4">
        <w:t>. године дат је у наредној табели</w:t>
      </w:r>
      <w:r>
        <w:t xml:space="preserve">. </w:t>
      </w:r>
    </w:p>
    <w:p w14:paraId="241C9256" w14:textId="77777777" w:rsidR="00690D88" w:rsidRDefault="00690D88" w:rsidP="003E0BA8">
      <w:pPr>
        <w:tabs>
          <w:tab w:val="right" w:leader="dot" w:pos="9214"/>
        </w:tabs>
        <w:ind w:left="0" w:firstLine="0"/>
        <w:rPr>
          <w:b/>
        </w:rPr>
      </w:pPr>
    </w:p>
    <w:p w14:paraId="7726A729" w14:textId="77777777" w:rsidR="00BF4728" w:rsidRDefault="00BF4728" w:rsidP="00A7446D">
      <w:pPr>
        <w:spacing w:before="120"/>
        <w:ind w:left="0" w:firstLine="0"/>
        <w:jc w:val="center"/>
        <w:rPr>
          <w:lang w:val="sr-Cyrl-BA"/>
        </w:rPr>
      </w:pPr>
      <w:r w:rsidRPr="00210595">
        <w:rPr>
          <w:lang w:val="sr-Cyrl-BA"/>
        </w:rPr>
        <w:t>Табела</w:t>
      </w:r>
      <w:r>
        <w:t xml:space="preserve"> бр. </w:t>
      </w:r>
      <w:r w:rsidR="00E97428">
        <w:rPr>
          <w:lang w:val="sr-Cyrl-BA"/>
        </w:rPr>
        <w:t>9</w:t>
      </w:r>
      <w:r>
        <w:rPr>
          <w:lang w:val="sr-Cyrl-BA"/>
        </w:rPr>
        <w:t xml:space="preserve">. </w:t>
      </w:r>
      <w:proofErr w:type="spellStart"/>
      <w:r>
        <w:rPr>
          <w:lang w:val="sr-Cyrl-BA"/>
        </w:rPr>
        <w:t>Преглед</w:t>
      </w:r>
      <w:proofErr w:type="spellEnd"/>
      <w:r>
        <w:rPr>
          <w:lang w:val="sr-Cyrl-BA"/>
        </w:rPr>
        <w:t xml:space="preserve"> </w:t>
      </w:r>
      <w:proofErr w:type="spellStart"/>
      <w:r>
        <w:rPr>
          <w:lang w:val="sr-Cyrl-BA"/>
        </w:rPr>
        <w:t>дозначених</w:t>
      </w:r>
      <w:proofErr w:type="spellEnd"/>
      <w:r>
        <w:rPr>
          <w:lang w:val="sr-Cyrl-BA"/>
        </w:rPr>
        <w:t xml:space="preserve"> средстава удружењима националних мањина</w:t>
      </w:r>
    </w:p>
    <w:p w14:paraId="20E7B965" w14:textId="77777777" w:rsidR="00BF4728" w:rsidRDefault="00E97428" w:rsidP="00BF4728">
      <w:pPr>
        <w:ind w:left="0" w:firstLine="0"/>
        <w:jc w:val="center"/>
        <w:rPr>
          <w:lang w:val="sr-Cyrl-BA"/>
        </w:rPr>
      </w:pPr>
      <w:r>
        <w:rPr>
          <w:lang w:val="sr-Cyrl-BA"/>
        </w:rPr>
        <w:t>у периоду 01.01-31.12</w:t>
      </w:r>
      <w:r w:rsidR="00894508">
        <w:rPr>
          <w:lang w:val="sr-Cyrl-BA"/>
        </w:rPr>
        <w:t>.2020</w:t>
      </w:r>
      <w:r w:rsidR="00BF4728">
        <w:rPr>
          <w:lang w:val="sr-Cyrl-BA"/>
        </w:rPr>
        <w:t>. године</w:t>
      </w:r>
    </w:p>
    <w:tbl>
      <w:tblPr>
        <w:tblW w:w="9521" w:type="dxa"/>
        <w:tblInd w:w="85" w:type="dxa"/>
        <w:tblLook w:val="04A0" w:firstRow="1" w:lastRow="0" w:firstColumn="1" w:lastColumn="0" w:noHBand="0" w:noVBand="1"/>
      </w:tblPr>
      <w:tblGrid>
        <w:gridCol w:w="539"/>
        <w:gridCol w:w="5080"/>
        <w:gridCol w:w="1227"/>
        <w:gridCol w:w="1320"/>
        <w:gridCol w:w="1374"/>
      </w:tblGrid>
      <w:tr w:rsidR="00E97428" w:rsidRPr="00E97428" w14:paraId="5196190B" w14:textId="77777777" w:rsidTr="004468FB">
        <w:trPr>
          <w:trHeight w:val="330"/>
          <w:tblHeader/>
        </w:trPr>
        <w:tc>
          <w:tcPr>
            <w:tcW w:w="52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14:paraId="74C027F0" w14:textId="77777777" w:rsidR="00E97428" w:rsidRPr="00E97428" w:rsidRDefault="00E97428" w:rsidP="00E97428">
            <w:pPr>
              <w:ind w:left="0" w:right="-19" w:firstLine="0"/>
              <w:jc w:val="center"/>
              <w:rPr>
                <w:b/>
                <w:bCs/>
                <w:sz w:val="20"/>
                <w:szCs w:val="20"/>
                <w:lang w:val="sr-Cyrl-BA" w:eastAsia="sr-Latn-BA"/>
              </w:rPr>
            </w:pPr>
            <w:proofErr w:type="spellStart"/>
            <w:r w:rsidRPr="00E97428">
              <w:rPr>
                <w:b/>
                <w:bCs/>
                <w:sz w:val="20"/>
                <w:szCs w:val="20"/>
                <w:lang w:val="sr-Latn-BA" w:eastAsia="sr-Latn-BA"/>
              </w:rPr>
              <w:t>Р.б</w:t>
            </w:r>
            <w:proofErr w:type="spellEnd"/>
            <w:r>
              <w:rPr>
                <w:b/>
                <w:bCs/>
                <w:sz w:val="20"/>
                <w:szCs w:val="20"/>
                <w:lang w:val="sr-Cyrl-BA" w:eastAsia="sr-Latn-BA"/>
              </w:rPr>
              <w:t>.</w:t>
            </w:r>
          </w:p>
        </w:tc>
        <w:tc>
          <w:tcPr>
            <w:tcW w:w="5080" w:type="dxa"/>
            <w:vMerge w:val="restart"/>
            <w:tcBorders>
              <w:top w:val="double" w:sz="6" w:space="0" w:color="auto"/>
              <w:left w:val="nil"/>
              <w:bottom w:val="double" w:sz="6" w:space="0" w:color="000000"/>
              <w:right w:val="nil"/>
            </w:tcBorders>
            <w:shd w:val="clear" w:color="auto" w:fill="auto"/>
            <w:vAlign w:val="center"/>
            <w:hideMark/>
          </w:tcPr>
          <w:p w14:paraId="0AC910A3" w14:textId="77777777" w:rsidR="00E97428" w:rsidRPr="00E97428" w:rsidRDefault="00E97428" w:rsidP="00E97428">
            <w:pPr>
              <w:ind w:left="0" w:right="0" w:firstLine="0"/>
              <w:jc w:val="center"/>
              <w:rPr>
                <w:b/>
                <w:bCs/>
                <w:sz w:val="20"/>
                <w:szCs w:val="20"/>
                <w:lang w:val="sr-Latn-BA" w:eastAsia="sr-Latn-BA"/>
              </w:rPr>
            </w:pPr>
            <w:proofErr w:type="spellStart"/>
            <w:r w:rsidRPr="00E97428">
              <w:rPr>
                <w:b/>
                <w:bCs/>
                <w:sz w:val="20"/>
                <w:szCs w:val="20"/>
                <w:lang w:val="sr-Latn-BA" w:eastAsia="sr-Latn-BA"/>
              </w:rPr>
              <w:t>Назив</w:t>
            </w:r>
            <w:proofErr w:type="spellEnd"/>
            <w:r w:rsidRPr="00E97428">
              <w:rPr>
                <w:b/>
                <w:bCs/>
                <w:sz w:val="20"/>
                <w:szCs w:val="20"/>
                <w:lang w:val="sr-Latn-BA" w:eastAsia="sr-Latn-BA"/>
              </w:rPr>
              <w:t xml:space="preserve"> </w:t>
            </w:r>
            <w:proofErr w:type="spellStart"/>
            <w:r w:rsidRPr="00E97428">
              <w:rPr>
                <w:b/>
                <w:bCs/>
                <w:sz w:val="20"/>
                <w:szCs w:val="20"/>
                <w:lang w:val="sr-Latn-BA" w:eastAsia="sr-Latn-BA"/>
              </w:rPr>
              <w:t>удружења</w:t>
            </w:r>
            <w:proofErr w:type="spellEnd"/>
          </w:p>
        </w:tc>
        <w:tc>
          <w:tcPr>
            <w:tcW w:w="3921" w:type="dxa"/>
            <w:gridSpan w:val="3"/>
            <w:tcBorders>
              <w:top w:val="double" w:sz="6" w:space="0" w:color="auto"/>
              <w:left w:val="single" w:sz="4" w:space="0" w:color="auto"/>
              <w:bottom w:val="single" w:sz="4" w:space="0" w:color="auto"/>
              <w:right w:val="double" w:sz="6" w:space="0" w:color="000000"/>
            </w:tcBorders>
            <w:shd w:val="clear" w:color="auto" w:fill="auto"/>
            <w:vAlign w:val="center"/>
            <w:hideMark/>
          </w:tcPr>
          <w:p w14:paraId="5E8FE6CC" w14:textId="77777777" w:rsidR="00E97428" w:rsidRPr="00E97428" w:rsidRDefault="00E97428" w:rsidP="00E97428">
            <w:pPr>
              <w:ind w:left="0" w:right="0" w:firstLine="0"/>
              <w:jc w:val="center"/>
              <w:rPr>
                <w:b/>
                <w:bCs/>
                <w:sz w:val="20"/>
                <w:szCs w:val="20"/>
                <w:lang w:val="sr-Latn-BA" w:eastAsia="sr-Latn-BA"/>
              </w:rPr>
            </w:pPr>
            <w:proofErr w:type="spellStart"/>
            <w:r w:rsidRPr="00E97428">
              <w:rPr>
                <w:b/>
                <w:bCs/>
                <w:sz w:val="20"/>
                <w:szCs w:val="20"/>
                <w:lang w:val="sr-Latn-BA" w:eastAsia="sr-Latn-BA"/>
              </w:rPr>
              <w:t>Износ</w:t>
            </w:r>
            <w:proofErr w:type="spellEnd"/>
            <w:r w:rsidRPr="00E97428">
              <w:rPr>
                <w:b/>
                <w:bCs/>
                <w:sz w:val="20"/>
                <w:szCs w:val="20"/>
                <w:lang w:val="sr-Latn-BA" w:eastAsia="sr-Latn-BA"/>
              </w:rPr>
              <w:t xml:space="preserve"> (КМ)</w:t>
            </w:r>
          </w:p>
        </w:tc>
      </w:tr>
      <w:tr w:rsidR="00E97428" w:rsidRPr="00E97428" w14:paraId="04706114" w14:textId="77777777" w:rsidTr="004468FB">
        <w:trPr>
          <w:trHeight w:val="330"/>
          <w:tblHeader/>
        </w:trPr>
        <w:tc>
          <w:tcPr>
            <w:tcW w:w="520" w:type="dxa"/>
            <w:vMerge/>
            <w:tcBorders>
              <w:top w:val="double" w:sz="6" w:space="0" w:color="auto"/>
              <w:left w:val="double" w:sz="6" w:space="0" w:color="auto"/>
              <w:bottom w:val="double" w:sz="6" w:space="0" w:color="000000"/>
              <w:right w:val="single" w:sz="4" w:space="0" w:color="auto"/>
            </w:tcBorders>
            <w:vAlign w:val="center"/>
            <w:hideMark/>
          </w:tcPr>
          <w:p w14:paraId="064B9B48" w14:textId="77777777" w:rsidR="00E97428" w:rsidRPr="00E97428" w:rsidRDefault="00E97428" w:rsidP="00E97428">
            <w:pPr>
              <w:ind w:left="0" w:right="0" w:firstLine="0"/>
              <w:jc w:val="left"/>
              <w:rPr>
                <w:b/>
                <w:bCs/>
                <w:sz w:val="20"/>
                <w:szCs w:val="20"/>
                <w:lang w:val="sr-Latn-BA" w:eastAsia="sr-Latn-BA"/>
              </w:rPr>
            </w:pPr>
          </w:p>
        </w:tc>
        <w:tc>
          <w:tcPr>
            <w:tcW w:w="5080" w:type="dxa"/>
            <w:vMerge/>
            <w:tcBorders>
              <w:top w:val="double" w:sz="6" w:space="0" w:color="auto"/>
              <w:left w:val="nil"/>
              <w:bottom w:val="double" w:sz="6" w:space="0" w:color="000000"/>
              <w:right w:val="nil"/>
            </w:tcBorders>
            <w:vAlign w:val="center"/>
            <w:hideMark/>
          </w:tcPr>
          <w:p w14:paraId="1D90DC4B" w14:textId="77777777" w:rsidR="00E97428" w:rsidRPr="00E97428" w:rsidRDefault="00E97428" w:rsidP="00E97428">
            <w:pPr>
              <w:ind w:left="0" w:right="0" w:firstLine="0"/>
              <w:jc w:val="left"/>
              <w:rPr>
                <w:b/>
                <w:bCs/>
                <w:sz w:val="20"/>
                <w:szCs w:val="20"/>
                <w:lang w:val="sr-Latn-BA" w:eastAsia="sr-Latn-BA"/>
              </w:rPr>
            </w:pPr>
          </w:p>
        </w:tc>
        <w:tc>
          <w:tcPr>
            <w:tcW w:w="1227" w:type="dxa"/>
            <w:tcBorders>
              <w:top w:val="nil"/>
              <w:left w:val="single" w:sz="4" w:space="0" w:color="auto"/>
              <w:bottom w:val="double" w:sz="6" w:space="0" w:color="auto"/>
              <w:right w:val="single" w:sz="4" w:space="0" w:color="auto"/>
            </w:tcBorders>
            <w:shd w:val="clear" w:color="auto" w:fill="auto"/>
            <w:vAlign w:val="center"/>
            <w:hideMark/>
          </w:tcPr>
          <w:p w14:paraId="595FF97E" w14:textId="77777777" w:rsidR="00E97428" w:rsidRPr="00E97428" w:rsidRDefault="00E97428" w:rsidP="00E97428">
            <w:pPr>
              <w:ind w:left="0" w:right="0" w:firstLine="0"/>
              <w:jc w:val="center"/>
              <w:rPr>
                <w:b/>
                <w:bCs/>
                <w:sz w:val="20"/>
                <w:szCs w:val="20"/>
                <w:lang w:val="sr-Latn-BA" w:eastAsia="sr-Latn-BA"/>
              </w:rPr>
            </w:pPr>
            <w:proofErr w:type="spellStart"/>
            <w:r w:rsidRPr="00E97428">
              <w:rPr>
                <w:b/>
                <w:bCs/>
                <w:sz w:val="20"/>
                <w:szCs w:val="20"/>
                <w:lang w:val="sr-Latn-BA" w:eastAsia="sr-Latn-BA"/>
              </w:rPr>
              <w:t>Редовно</w:t>
            </w:r>
            <w:proofErr w:type="spellEnd"/>
          </w:p>
        </w:tc>
        <w:tc>
          <w:tcPr>
            <w:tcW w:w="1320" w:type="dxa"/>
            <w:tcBorders>
              <w:top w:val="nil"/>
              <w:left w:val="nil"/>
              <w:bottom w:val="double" w:sz="6" w:space="0" w:color="auto"/>
              <w:right w:val="single" w:sz="4" w:space="0" w:color="auto"/>
            </w:tcBorders>
            <w:shd w:val="clear" w:color="auto" w:fill="auto"/>
            <w:vAlign w:val="center"/>
            <w:hideMark/>
          </w:tcPr>
          <w:p w14:paraId="51F34538" w14:textId="77777777" w:rsidR="00E97428" w:rsidRPr="00E97428" w:rsidRDefault="00E97428" w:rsidP="00E97428">
            <w:pPr>
              <w:ind w:left="0" w:right="0" w:firstLine="0"/>
              <w:jc w:val="center"/>
              <w:rPr>
                <w:b/>
                <w:bCs/>
                <w:sz w:val="20"/>
                <w:szCs w:val="20"/>
                <w:lang w:val="sr-Latn-BA" w:eastAsia="sr-Latn-BA"/>
              </w:rPr>
            </w:pPr>
            <w:proofErr w:type="spellStart"/>
            <w:r w:rsidRPr="00E97428">
              <w:rPr>
                <w:b/>
                <w:bCs/>
                <w:sz w:val="20"/>
                <w:szCs w:val="20"/>
                <w:lang w:val="sr-Latn-BA" w:eastAsia="sr-Latn-BA"/>
              </w:rPr>
              <w:t>Буџ.резерва</w:t>
            </w:r>
            <w:proofErr w:type="spellEnd"/>
          </w:p>
        </w:tc>
        <w:tc>
          <w:tcPr>
            <w:tcW w:w="1374" w:type="dxa"/>
            <w:tcBorders>
              <w:top w:val="nil"/>
              <w:left w:val="nil"/>
              <w:bottom w:val="double" w:sz="6" w:space="0" w:color="auto"/>
              <w:right w:val="double" w:sz="6" w:space="0" w:color="auto"/>
            </w:tcBorders>
            <w:shd w:val="clear" w:color="auto" w:fill="auto"/>
            <w:vAlign w:val="center"/>
            <w:hideMark/>
          </w:tcPr>
          <w:p w14:paraId="7CB34524" w14:textId="77777777" w:rsidR="00E97428" w:rsidRPr="00E97428" w:rsidRDefault="00E97428" w:rsidP="00E97428">
            <w:pPr>
              <w:ind w:left="0" w:right="0" w:firstLine="0"/>
              <w:jc w:val="center"/>
              <w:rPr>
                <w:b/>
                <w:bCs/>
                <w:sz w:val="20"/>
                <w:szCs w:val="20"/>
                <w:lang w:val="sr-Latn-BA" w:eastAsia="sr-Latn-BA"/>
              </w:rPr>
            </w:pPr>
            <w:proofErr w:type="spellStart"/>
            <w:r w:rsidRPr="00E97428">
              <w:rPr>
                <w:b/>
                <w:bCs/>
                <w:sz w:val="20"/>
                <w:szCs w:val="20"/>
                <w:lang w:val="sr-Latn-BA" w:eastAsia="sr-Latn-BA"/>
              </w:rPr>
              <w:t>Укупно</w:t>
            </w:r>
            <w:proofErr w:type="spellEnd"/>
          </w:p>
        </w:tc>
      </w:tr>
      <w:tr w:rsidR="00E97428" w:rsidRPr="00E97428" w14:paraId="3E60B508" w14:textId="77777777" w:rsidTr="00E97428">
        <w:trPr>
          <w:trHeight w:val="285"/>
        </w:trPr>
        <w:tc>
          <w:tcPr>
            <w:tcW w:w="52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648FE6D" w14:textId="77777777" w:rsidR="00E97428" w:rsidRPr="00E97428" w:rsidRDefault="00E97428" w:rsidP="00E97428">
            <w:pPr>
              <w:ind w:left="0" w:right="0" w:firstLine="0"/>
              <w:jc w:val="center"/>
              <w:rPr>
                <w:sz w:val="20"/>
                <w:szCs w:val="20"/>
                <w:lang w:val="sr-Latn-BA" w:eastAsia="sr-Latn-BA"/>
              </w:rPr>
            </w:pPr>
            <w:r w:rsidRPr="00E97428">
              <w:rPr>
                <w:sz w:val="20"/>
                <w:szCs w:val="20"/>
                <w:lang w:val="sr-Latn-BA" w:eastAsia="sr-Latn-BA"/>
              </w:rPr>
              <w:t>1</w:t>
            </w:r>
          </w:p>
        </w:tc>
        <w:tc>
          <w:tcPr>
            <w:tcW w:w="5080" w:type="dxa"/>
            <w:tcBorders>
              <w:top w:val="single" w:sz="4" w:space="0" w:color="auto"/>
              <w:left w:val="nil"/>
              <w:bottom w:val="single" w:sz="4" w:space="0" w:color="auto"/>
              <w:right w:val="single" w:sz="4" w:space="0" w:color="auto"/>
            </w:tcBorders>
            <w:shd w:val="clear" w:color="auto" w:fill="auto"/>
            <w:noWrap/>
            <w:vAlign w:val="center"/>
            <w:hideMark/>
          </w:tcPr>
          <w:p w14:paraId="1955845A" w14:textId="77777777" w:rsidR="00E97428" w:rsidRPr="00E97428" w:rsidRDefault="00E97428" w:rsidP="00E97428">
            <w:pPr>
              <w:ind w:left="0" w:right="0" w:firstLine="0"/>
              <w:jc w:val="left"/>
              <w:rPr>
                <w:sz w:val="20"/>
                <w:szCs w:val="20"/>
                <w:lang w:val="sr-Latn-BA" w:eastAsia="sr-Latn-BA"/>
              </w:rPr>
            </w:pPr>
            <w:proofErr w:type="spellStart"/>
            <w:r w:rsidRPr="00E97428">
              <w:rPr>
                <w:sz w:val="20"/>
                <w:szCs w:val="20"/>
                <w:lang w:val="sr-Latn-BA" w:eastAsia="sr-Latn-BA"/>
              </w:rPr>
              <w:t>Удружење</w:t>
            </w:r>
            <w:proofErr w:type="spellEnd"/>
            <w:r w:rsidRPr="00E97428">
              <w:rPr>
                <w:sz w:val="20"/>
                <w:szCs w:val="20"/>
                <w:lang w:val="sr-Latn-BA" w:eastAsia="sr-Latn-BA"/>
              </w:rPr>
              <w:t xml:space="preserve"> </w:t>
            </w:r>
            <w:proofErr w:type="spellStart"/>
            <w:r w:rsidRPr="00E97428">
              <w:rPr>
                <w:sz w:val="20"/>
                <w:szCs w:val="20"/>
                <w:lang w:val="sr-Latn-BA" w:eastAsia="sr-Latn-BA"/>
              </w:rPr>
              <w:t>Италијана</w:t>
            </w:r>
            <w:proofErr w:type="spellEnd"/>
            <w:r w:rsidRPr="00E97428">
              <w:rPr>
                <w:sz w:val="20"/>
                <w:szCs w:val="20"/>
                <w:lang w:val="sr-Latn-BA" w:eastAsia="sr-Latn-BA"/>
              </w:rPr>
              <w:t xml:space="preserve"> </w:t>
            </w:r>
            <w:proofErr w:type="spellStart"/>
            <w:r w:rsidRPr="00E97428">
              <w:rPr>
                <w:sz w:val="20"/>
                <w:szCs w:val="20"/>
                <w:lang w:val="sr-Latn-BA" w:eastAsia="sr-Latn-BA"/>
              </w:rPr>
              <w:t>Штивор</w:t>
            </w:r>
            <w:proofErr w:type="spellEnd"/>
            <w:r w:rsidRPr="00E97428">
              <w:rPr>
                <w:sz w:val="20"/>
                <w:szCs w:val="20"/>
                <w:lang w:val="sr-Latn-BA" w:eastAsia="sr-Latn-BA"/>
              </w:rPr>
              <w:t>, "</w:t>
            </w:r>
            <w:proofErr w:type="spellStart"/>
            <w:r w:rsidRPr="00E97428">
              <w:rPr>
                <w:sz w:val="20"/>
                <w:szCs w:val="20"/>
                <w:lang w:val="sr-Latn-BA" w:eastAsia="sr-Latn-BA"/>
              </w:rPr>
              <w:t>Клуб</w:t>
            </w:r>
            <w:proofErr w:type="spellEnd"/>
            <w:r w:rsidRPr="00E97428">
              <w:rPr>
                <w:sz w:val="20"/>
                <w:szCs w:val="20"/>
                <w:lang w:val="sr-Latn-BA" w:eastAsia="sr-Latn-BA"/>
              </w:rPr>
              <w:t xml:space="preserve"> </w:t>
            </w:r>
            <w:proofErr w:type="spellStart"/>
            <w:r w:rsidRPr="00E97428">
              <w:rPr>
                <w:sz w:val="20"/>
                <w:szCs w:val="20"/>
                <w:lang w:val="sr-Latn-BA" w:eastAsia="sr-Latn-BA"/>
              </w:rPr>
              <w:t>Трентини</w:t>
            </w:r>
            <w:proofErr w:type="spellEnd"/>
            <w:r w:rsidRPr="00E97428">
              <w:rPr>
                <w:sz w:val="20"/>
                <w:szCs w:val="20"/>
                <w:lang w:val="sr-Latn-BA" w:eastAsia="sr-Latn-BA"/>
              </w:rPr>
              <w:t xml:space="preserve">" </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00C321A1"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2.250,00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58EDC20D"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0,00</w:t>
            </w:r>
          </w:p>
        </w:tc>
        <w:tc>
          <w:tcPr>
            <w:tcW w:w="1374" w:type="dxa"/>
            <w:tcBorders>
              <w:top w:val="single" w:sz="4" w:space="0" w:color="auto"/>
              <w:left w:val="nil"/>
              <w:bottom w:val="single" w:sz="4" w:space="0" w:color="auto"/>
              <w:right w:val="double" w:sz="6" w:space="0" w:color="auto"/>
            </w:tcBorders>
            <w:shd w:val="clear" w:color="auto" w:fill="auto"/>
            <w:noWrap/>
            <w:vAlign w:val="center"/>
            <w:hideMark/>
          </w:tcPr>
          <w:p w14:paraId="343A5F24"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2.250,00</w:t>
            </w:r>
          </w:p>
        </w:tc>
      </w:tr>
      <w:tr w:rsidR="00E97428" w:rsidRPr="00E97428" w14:paraId="31FACDA1" w14:textId="77777777" w:rsidTr="00E97428">
        <w:trPr>
          <w:trHeight w:val="270"/>
        </w:trPr>
        <w:tc>
          <w:tcPr>
            <w:tcW w:w="520" w:type="dxa"/>
            <w:tcBorders>
              <w:top w:val="nil"/>
              <w:left w:val="double" w:sz="6" w:space="0" w:color="auto"/>
              <w:bottom w:val="single" w:sz="4" w:space="0" w:color="auto"/>
              <w:right w:val="single" w:sz="4" w:space="0" w:color="auto"/>
            </w:tcBorders>
            <w:shd w:val="clear" w:color="auto" w:fill="auto"/>
            <w:noWrap/>
            <w:vAlign w:val="center"/>
            <w:hideMark/>
          </w:tcPr>
          <w:p w14:paraId="1F0DBC4A" w14:textId="77777777" w:rsidR="00E97428" w:rsidRPr="00E97428" w:rsidRDefault="00E97428" w:rsidP="00E97428">
            <w:pPr>
              <w:ind w:left="0" w:right="0" w:firstLine="0"/>
              <w:jc w:val="center"/>
              <w:rPr>
                <w:sz w:val="20"/>
                <w:szCs w:val="20"/>
                <w:lang w:val="sr-Latn-BA" w:eastAsia="sr-Latn-BA"/>
              </w:rPr>
            </w:pPr>
            <w:r w:rsidRPr="00E97428">
              <w:rPr>
                <w:sz w:val="20"/>
                <w:szCs w:val="20"/>
                <w:lang w:val="sr-Latn-BA" w:eastAsia="sr-Latn-BA"/>
              </w:rPr>
              <w:t>2</w:t>
            </w:r>
          </w:p>
        </w:tc>
        <w:tc>
          <w:tcPr>
            <w:tcW w:w="5080" w:type="dxa"/>
            <w:tcBorders>
              <w:top w:val="nil"/>
              <w:left w:val="nil"/>
              <w:bottom w:val="single" w:sz="4" w:space="0" w:color="auto"/>
              <w:right w:val="nil"/>
            </w:tcBorders>
            <w:shd w:val="clear" w:color="auto" w:fill="auto"/>
            <w:noWrap/>
            <w:vAlign w:val="center"/>
            <w:hideMark/>
          </w:tcPr>
          <w:p w14:paraId="6CFD2830" w14:textId="77777777" w:rsidR="00E97428" w:rsidRPr="00E97428" w:rsidRDefault="00E97428" w:rsidP="00E97428">
            <w:pPr>
              <w:ind w:left="0" w:right="0" w:firstLine="0"/>
              <w:jc w:val="left"/>
              <w:rPr>
                <w:sz w:val="20"/>
                <w:szCs w:val="20"/>
                <w:lang w:val="sr-Latn-BA" w:eastAsia="sr-Latn-BA"/>
              </w:rPr>
            </w:pPr>
            <w:proofErr w:type="spellStart"/>
            <w:r w:rsidRPr="00E97428">
              <w:rPr>
                <w:sz w:val="20"/>
                <w:szCs w:val="20"/>
                <w:lang w:val="sr-Latn-BA" w:eastAsia="sr-Latn-BA"/>
              </w:rPr>
              <w:t>Удружење</w:t>
            </w:r>
            <w:proofErr w:type="spellEnd"/>
            <w:r w:rsidRPr="00E97428">
              <w:rPr>
                <w:sz w:val="20"/>
                <w:szCs w:val="20"/>
                <w:lang w:val="sr-Latn-BA" w:eastAsia="sr-Latn-BA"/>
              </w:rPr>
              <w:t xml:space="preserve"> </w:t>
            </w:r>
            <w:proofErr w:type="spellStart"/>
            <w:r w:rsidRPr="00E97428">
              <w:rPr>
                <w:sz w:val="20"/>
                <w:szCs w:val="20"/>
                <w:lang w:val="sr-Latn-BA" w:eastAsia="sr-Latn-BA"/>
              </w:rPr>
              <w:t>Чеха</w:t>
            </w:r>
            <w:proofErr w:type="spellEnd"/>
            <w:r w:rsidRPr="00E97428">
              <w:rPr>
                <w:sz w:val="20"/>
                <w:szCs w:val="20"/>
                <w:lang w:val="sr-Latn-BA" w:eastAsia="sr-Latn-BA"/>
              </w:rPr>
              <w:t xml:space="preserve"> "</w:t>
            </w:r>
            <w:proofErr w:type="spellStart"/>
            <w:r w:rsidRPr="00E97428">
              <w:rPr>
                <w:sz w:val="20"/>
                <w:szCs w:val="20"/>
                <w:lang w:val="sr-Latn-BA" w:eastAsia="sr-Latn-BA"/>
              </w:rPr>
              <w:t>Чешка</w:t>
            </w:r>
            <w:proofErr w:type="spellEnd"/>
            <w:r w:rsidRPr="00E97428">
              <w:rPr>
                <w:sz w:val="20"/>
                <w:szCs w:val="20"/>
                <w:lang w:val="sr-Latn-BA" w:eastAsia="sr-Latn-BA"/>
              </w:rPr>
              <w:t xml:space="preserve"> </w:t>
            </w:r>
            <w:proofErr w:type="spellStart"/>
            <w:r w:rsidRPr="00E97428">
              <w:rPr>
                <w:sz w:val="20"/>
                <w:szCs w:val="20"/>
                <w:lang w:val="sr-Latn-BA" w:eastAsia="sr-Latn-BA"/>
              </w:rPr>
              <w:t>беседа</w:t>
            </w:r>
            <w:proofErr w:type="spellEnd"/>
            <w:r w:rsidRPr="00E97428">
              <w:rPr>
                <w:sz w:val="20"/>
                <w:szCs w:val="20"/>
                <w:lang w:val="sr-Latn-BA" w:eastAsia="sr-Latn-BA"/>
              </w:rPr>
              <w:t xml:space="preserve">" </w:t>
            </w:r>
            <w:proofErr w:type="spellStart"/>
            <w:r w:rsidRPr="00E97428">
              <w:rPr>
                <w:sz w:val="20"/>
                <w:szCs w:val="20"/>
                <w:lang w:val="sr-Latn-BA" w:eastAsia="sr-Latn-BA"/>
              </w:rPr>
              <w:t>Маћино</w:t>
            </w:r>
            <w:proofErr w:type="spellEnd"/>
            <w:r w:rsidRPr="00E97428">
              <w:rPr>
                <w:sz w:val="20"/>
                <w:szCs w:val="20"/>
                <w:lang w:val="sr-Latn-BA" w:eastAsia="sr-Latn-BA"/>
              </w:rPr>
              <w:t xml:space="preserve"> </w:t>
            </w:r>
            <w:proofErr w:type="spellStart"/>
            <w:r w:rsidRPr="00E97428">
              <w:rPr>
                <w:sz w:val="20"/>
                <w:szCs w:val="20"/>
                <w:lang w:val="sr-Latn-BA" w:eastAsia="sr-Latn-BA"/>
              </w:rPr>
              <w:t>брдо</w:t>
            </w:r>
            <w:proofErr w:type="spellEnd"/>
          </w:p>
        </w:tc>
        <w:tc>
          <w:tcPr>
            <w:tcW w:w="1227" w:type="dxa"/>
            <w:tcBorders>
              <w:top w:val="nil"/>
              <w:left w:val="single" w:sz="4" w:space="0" w:color="auto"/>
              <w:bottom w:val="single" w:sz="4" w:space="0" w:color="auto"/>
              <w:right w:val="single" w:sz="4" w:space="0" w:color="auto"/>
            </w:tcBorders>
            <w:shd w:val="clear" w:color="auto" w:fill="auto"/>
            <w:noWrap/>
            <w:vAlign w:val="center"/>
            <w:hideMark/>
          </w:tcPr>
          <w:p w14:paraId="46FBBA50"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3.000,00</w:t>
            </w:r>
          </w:p>
        </w:tc>
        <w:tc>
          <w:tcPr>
            <w:tcW w:w="1320" w:type="dxa"/>
            <w:tcBorders>
              <w:top w:val="nil"/>
              <w:left w:val="nil"/>
              <w:bottom w:val="single" w:sz="4" w:space="0" w:color="auto"/>
              <w:right w:val="single" w:sz="4" w:space="0" w:color="auto"/>
            </w:tcBorders>
            <w:shd w:val="clear" w:color="auto" w:fill="auto"/>
            <w:noWrap/>
            <w:vAlign w:val="center"/>
            <w:hideMark/>
          </w:tcPr>
          <w:p w14:paraId="42277916"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0,00</w:t>
            </w:r>
          </w:p>
        </w:tc>
        <w:tc>
          <w:tcPr>
            <w:tcW w:w="1374" w:type="dxa"/>
            <w:tcBorders>
              <w:top w:val="nil"/>
              <w:left w:val="nil"/>
              <w:bottom w:val="single" w:sz="4" w:space="0" w:color="auto"/>
              <w:right w:val="double" w:sz="6" w:space="0" w:color="auto"/>
            </w:tcBorders>
            <w:shd w:val="clear" w:color="auto" w:fill="auto"/>
            <w:noWrap/>
            <w:vAlign w:val="center"/>
            <w:hideMark/>
          </w:tcPr>
          <w:p w14:paraId="7F5D1BA7"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3.000,00</w:t>
            </w:r>
          </w:p>
        </w:tc>
      </w:tr>
      <w:tr w:rsidR="00E97428" w:rsidRPr="00E97428" w14:paraId="116DCCF1" w14:textId="77777777" w:rsidTr="00E97428">
        <w:trPr>
          <w:trHeight w:val="255"/>
        </w:trPr>
        <w:tc>
          <w:tcPr>
            <w:tcW w:w="520" w:type="dxa"/>
            <w:tcBorders>
              <w:top w:val="nil"/>
              <w:left w:val="double" w:sz="6" w:space="0" w:color="auto"/>
              <w:bottom w:val="nil"/>
              <w:right w:val="single" w:sz="4" w:space="0" w:color="auto"/>
            </w:tcBorders>
            <w:shd w:val="clear" w:color="auto" w:fill="auto"/>
            <w:noWrap/>
            <w:vAlign w:val="center"/>
            <w:hideMark/>
          </w:tcPr>
          <w:p w14:paraId="7DAF6BFB" w14:textId="77777777" w:rsidR="00E97428" w:rsidRPr="00E97428" w:rsidRDefault="00E97428" w:rsidP="00E97428">
            <w:pPr>
              <w:ind w:left="0" w:right="0" w:firstLine="0"/>
              <w:jc w:val="center"/>
              <w:rPr>
                <w:sz w:val="20"/>
                <w:szCs w:val="20"/>
                <w:lang w:val="sr-Latn-BA" w:eastAsia="sr-Latn-BA"/>
              </w:rPr>
            </w:pPr>
            <w:r w:rsidRPr="00E97428">
              <w:rPr>
                <w:sz w:val="20"/>
                <w:szCs w:val="20"/>
                <w:lang w:val="sr-Latn-BA" w:eastAsia="sr-Latn-BA"/>
              </w:rPr>
              <w:t>3</w:t>
            </w:r>
          </w:p>
        </w:tc>
        <w:tc>
          <w:tcPr>
            <w:tcW w:w="5080" w:type="dxa"/>
            <w:tcBorders>
              <w:top w:val="nil"/>
              <w:left w:val="nil"/>
              <w:bottom w:val="nil"/>
              <w:right w:val="nil"/>
            </w:tcBorders>
            <w:shd w:val="clear" w:color="auto" w:fill="auto"/>
            <w:noWrap/>
            <w:vAlign w:val="center"/>
            <w:hideMark/>
          </w:tcPr>
          <w:p w14:paraId="4DCE7BDC" w14:textId="77777777" w:rsidR="00E97428" w:rsidRPr="00E97428" w:rsidRDefault="00E97428" w:rsidP="00E97428">
            <w:pPr>
              <w:ind w:left="0" w:right="0" w:firstLine="0"/>
              <w:jc w:val="left"/>
              <w:rPr>
                <w:sz w:val="20"/>
                <w:szCs w:val="20"/>
                <w:lang w:val="sr-Latn-BA" w:eastAsia="sr-Latn-BA"/>
              </w:rPr>
            </w:pPr>
            <w:proofErr w:type="spellStart"/>
            <w:r w:rsidRPr="00E97428">
              <w:rPr>
                <w:sz w:val="20"/>
                <w:szCs w:val="20"/>
                <w:lang w:val="sr-Latn-BA" w:eastAsia="sr-Latn-BA"/>
              </w:rPr>
              <w:t>Удружење</w:t>
            </w:r>
            <w:proofErr w:type="spellEnd"/>
            <w:r w:rsidRPr="00E97428">
              <w:rPr>
                <w:sz w:val="20"/>
                <w:szCs w:val="20"/>
                <w:lang w:val="sr-Latn-BA" w:eastAsia="sr-Latn-BA"/>
              </w:rPr>
              <w:t xml:space="preserve"> </w:t>
            </w:r>
            <w:proofErr w:type="spellStart"/>
            <w:r w:rsidRPr="00E97428">
              <w:rPr>
                <w:sz w:val="20"/>
                <w:szCs w:val="20"/>
                <w:lang w:val="sr-Latn-BA" w:eastAsia="sr-Latn-BA"/>
              </w:rPr>
              <w:t>Украјинаца</w:t>
            </w:r>
            <w:proofErr w:type="spellEnd"/>
            <w:r w:rsidRPr="00E97428">
              <w:rPr>
                <w:sz w:val="20"/>
                <w:szCs w:val="20"/>
                <w:lang w:val="sr-Latn-BA" w:eastAsia="sr-Latn-BA"/>
              </w:rPr>
              <w:t xml:space="preserve"> "</w:t>
            </w:r>
            <w:proofErr w:type="spellStart"/>
            <w:r w:rsidRPr="00E97428">
              <w:rPr>
                <w:sz w:val="20"/>
                <w:szCs w:val="20"/>
                <w:lang w:val="sr-Latn-BA" w:eastAsia="sr-Latn-BA"/>
              </w:rPr>
              <w:t>Златни</w:t>
            </w:r>
            <w:proofErr w:type="spellEnd"/>
            <w:r w:rsidRPr="00E97428">
              <w:rPr>
                <w:sz w:val="20"/>
                <w:szCs w:val="20"/>
                <w:lang w:val="sr-Latn-BA" w:eastAsia="sr-Latn-BA"/>
              </w:rPr>
              <w:t xml:space="preserve"> </w:t>
            </w:r>
            <w:proofErr w:type="spellStart"/>
            <w:r w:rsidRPr="00E97428">
              <w:rPr>
                <w:sz w:val="20"/>
                <w:szCs w:val="20"/>
                <w:lang w:val="sr-Latn-BA" w:eastAsia="sr-Latn-BA"/>
              </w:rPr>
              <w:t>клас</w:t>
            </w:r>
            <w:proofErr w:type="spellEnd"/>
            <w:r w:rsidRPr="00E97428">
              <w:rPr>
                <w:sz w:val="20"/>
                <w:szCs w:val="20"/>
                <w:lang w:val="sr-Latn-BA" w:eastAsia="sr-Latn-BA"/>
              </w:rPr>
              <w:t xml:space="preserve">" </w:t>
            </w:r>
            <w:proofErr w:type="spellStart"/>
            <w:r w:rsidRPr="00E97428">
              <w:rPr>
                <w:sz w:val="20"/>
                <w:szCs w:val="20"/>
                <w:lang w:val="sr-Latn-BA" w:eastAsia="sr-Latn-BA"/>
              </w:rPr>
              <w:t>Прњавор</w:t>
            </w:r>
            <w:proofErr w:type="spellEnd"/>
          </w:p>
        </w:tc>
        <w:tc>
          <w:tcPr>
            <w:tcW w:w="1227" w:type="dxa"/>
            <w:tcBorders>
              <w:top w:val="nil"/>
              <w:left w:val="single" w:sz="4" w:space="0" w:color="auto"/>
              <w:bottom w:val="single" w:sz="4" w:space="0" w:color="auto"/>
              <w:right w:val="single" w:sz="4" w:space="0" w:color="auto"/>
            </w:tcBorders>
            <w:shd w:val="clear" w:color="auto" w:fill="auto"/>
            <w:noWrap/>
            <w:vAlign w:val="center"/>
            <w:hideMark/>
          </w:tcPr>
          <w:p w14:paraId="0572948C"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3.375,00</w:t>
            </w:r>
          </w:p>
        </w:tc>
        <w:tc>
          <w:tcPr>
            <w:tcW w:w="1320" w:type="dxa"/>
            <w:tcBorders>
              <w:top w:val="nil"/>
              <w:left w:val="nil"/>
              <w:bottom w:val="single" w:sz="4" w:space="0" w:color="auto"/>
              <w:right w:val="single" w:sz="4" w:space="0" w:color="auto"/>
            </w:tcBorders>
            <w:shd w:val="clear" w:color="auto" w:fill="auto"/>
            <w:noWrap/>
            <w:vAlign w:val="center"/>
            <w:hideMark/>
          </w:tcPr>
          <w:p w14:paraId="17B9685F"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0,00</w:t>
            </w:r>
          </w:p>
        </w:tc>
        <w:tc>
          <w:tcPr>
            <w:tcW w:w="1374" w:type="dxa"/>
            <w:tcBorders>
              <w:top w:val="nil"/>
              <w:left w:val="nil"/>
              <w:bottom w:val="single" w:sz="4" w:space="0" w:color="auto"/>
              <w:right w:val="double" w:sz="6" w:space="0" w:color="auto"/>
            </w:tcBorders>
            <w:shd w:val="clear" w:color="auto" w:fill="auto"/>
            <w:noWrap/>
            <w:vAlign w:val="center"/>
            <w:hideMark/>
          </w:tcPr>
          <w:p w14:paraId="3EE5D01D"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3.375,00</w:t>
            </w:r>
          </w:p>
        </w:tc>
      </w:tr>
      <w:tr w:rsidR="00E97428" w:rsidRPr="00E97428" w14:paraId="53C6D966" w14:textId="77777777" w:rsidTr="00E97428">
        <w:trPr>
          <w:trHeight w:val="285"/>
        </w:trPr>
        <w:tc>
          <w:tcPr>
            <w:tcW w:w="52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3C5BFC50" w14:textId="77777777" w:rsidR="00E97428" w:rsidRPr="00E97428" w:rsidRDefault="00E97428" w:rsidP="00E97428">
            <w:pPr>
              <w:ind w:left="0" w:right="0" w:firstLine="0"/>
              <w:jc w:val="center"/>
              <w:rPr>
                <w:sz w:val="20"/>
                <w:szCs w:val="20"/>
                <w:lang w:val="sr-Latn-BA" w:eastAsia="sr-Latn-BA"/>
              </w:rPr>
            </w:pPr>
            <w:r w:rsidRPr="00E97428">
              <w:rPr>
                <w:sz w:val="20"/>
                <w:szCs w:val="20"/>
                <w:lang w:val="sr-Latn-BA" w:eastAsia="sr-Latn-BA"/>
              </w:rPr>
              <w:t>4</w:t>
            </w:r>
          </w:p>
        </w:tc>
        <w:tc>
          <w:tcPr>
            <w:tcW w:w="5080" w:type="dxa"/>
            <w:tcBorders>
              <w:top w:val="single" w:sz="4" w:space="0" w:color="auto"/>
              <w:left w:val="nil"/>
              <w:bottom w:val="single" w:sz="4" w:space="0" w:color="auto"/>
              <w:right w:val="nil"/>
            </w:tcBorders>
            <w:shd w:val="clear" w:color="auto" w:fill="auto"/>
            <w:noWrap/>
            <w:vAlign w:val="center"/>
            <w:hideMark/>
          </w:tcPr>
          <w:p w14:paraId="2FEB5CD5" w14:textId="77777777" w:rsidR="00E97428" w:rsidRPr="00E97428" w:rsidRDefault="00E97428" w:rsidP="00E97428">
            <w:pPr>
              <w:ind w:left="0" w:right="0" w:firstLine="0"/>
              <w:jc w:val="left"/>
              <w:rPr>
                <w:sz w:val="20"/>
                <w:szCs w:val="20"/>
                <w:lang w:val="sr-Latn-BA" w:eastAsia="sr-Latn-BA"/>
              </w:rPr>
            </w:pPr>
            <w:proofErr w:type="spellStart"/>
            <w:r w:rsidRPr="00E97428">
              <w:rPr>
                <w:sz w:val="20"/>
                <w:szCs w:val="20"/>
                <w:lang w:val="sr-Latn-BA" w:eastAsia="sr-Latn-BA"/>
              </w:rPr>
              <w:t>Удружење</w:t>
            </w:r>
            <w:proofErr w:type="spellEnd"/>
            <w:r w:rsidRPr="00E97428">
              <w:rPr>
                <w:sz w:val="20"/>
                <w:szCs w:val="20"/>
                <w:lang w:val="sr-Latn-BA" w:eastAsia="sr-Latn-BA"/>
              </w:rPr>
              <w:t xml:space="preserve"> </w:t>
            </w:r>
            <w:proofErr w:type="spellStart"/>
            <w:r w:rsidRPr="00E97428">
              <w:rPr>
                <w:sz w:val="20"/>
                <w:szCs w:val="20"/>
                <w:lang w:val="sr-Latn-BA" w:eastAsia="sr-Latn-BA"/>
              </w:rPr>
              <w:t>Рома</w:t>
            </w:r>
            <w:proofErr w:type="spellEnd"/>
            <w:r w:rsidRPr="00E97428">
              <w:rPr>
                <w:sz w:val="20"/>
                <w:szCs w:val="20"/>
                <w:lang w:val="sr-Latn-BA" w:eastAsia="sr-Latn-BA"/>
              </w:rPr>
              <w:t xml:space="preserve"> "</w:t>
            </w:r>
            <w:proofErr w:type="spellStart"/>
            <w:r w:rsidRPr="00E97428">
              <w:rPr>
                <w:sz w:val="20"/>
                <w:szCs w:val="20"/>
                <w:lang w:val="sr-Latn-BA" w:eastAsia="sr-Latn-BA"/>
              </w:rPr>
              <w:t>Ромска</w:t>
            </w:r>
            <w:proofErr w:type="spellEnd"/>
            <w:r w:rsidRPr="00E97428">
              <w:rPr>
                <w:sz w:val="20"/>
                <w:szCs w:val="20"/>
                <w:lang w:val="sr-Latn-BA" w:eastAsia="sr-Latn-BA"/>
              </w:rPr>
              <w:t xml:space="preserve"> </w:t>
            </w:r>
            <w:proofErr w:type="spellStart"/>
            <w:r w:rsidRPr="00E97428">
              <w:rPr>
                <w:sz w:val="20"/>
                <w:szCs w:val="20"/>
                <w:lang w:val="sr-Latn-BA" w:eastAsia="sr-Latn-BA"/>
              </w:rPr>
              <w:t>дјевојка</w:t>
            </w:r>
            <w:proofErr w:type="spellEnd"/>
            <w:r w:rsidRPr="00E97428">
              <w:rPr>
                <w:sz w:val="20"/>
                <w:szCs w:val="20"/>
                <w:lang w:val="sr-Latn-BA" w:eastAsia="sr-Latn-BA"/>
              </w:rPr>
              <w:t xml:space="preserve"> - </w:t>
            </w:r>
            <w:proofErr w:type="spellStart"/>
            <w:r w:rsidRPr="00E97428">
              <w:rPr>
                <w:sz w:val="20"/>
                <w:szCs w:val="20"/>
                <w:lang w:val="sr-Latn-BA" w:eastAsia="sr-Latn-BA"/>
              </w:rPr>
              <w:t>Романи</w:t>
            </w:r>
            <w:proofErr w:type="spellEnd"/>
            <w:r w:rsidRPr="00E97428">
              <w:rPr>
                <w:sz w:val="20"/>
                <w:szCs w:val="20"/>
                <w:lang w:val="sr-Latn-BA" w:eastAsia="sr-Latn-BA"/>
              </w:rPr>
              <w:t xml:space="preserve"> </w:t>
            </w:r>
            <w:proofErr w:type="spellStart"/>
            <w:r w:rsidRPr="00E97428">
              <w:rPr>
                <w:sz w:val="20"/>
                <w:szCs w:val="20"/>
                <w:lang w:val="sr-Latn-BA" w:eastAsia="sr-Latn-BA"/>
              </w:rPr>
              <w:t>ћеј</w:t>
            </w:r>
            <w:proofErr w:type="spellEnd"/>
            <w:r w:rsidRPr="00E97428">
              <w:rPr>
                <w:sz w:val="20"/>
                <w:szCs w:val="20"/>
                <w:lang w:val="sr-Latn-BA" w:eastAsia="sr-Latn-BA"/>
              </w:rPr>
              <w:t>"</w:t>
            </w:r>
          </w:p>
        </w:tc>
        <w:tc>
          <w:tcPr>
            <w:tcW w:w="1227" w:type="dxa"/>
            <w:tcBorders>
              <w:top w:val="nil"/>
              <w:left w:val="single" w:sz="4" w:space="0" w:color="auto"/>
              <w:bottom w:val="single" w:sz="4" w:space="0" w:color="auto"/>
              <w:right w:val="single" w:sz="4" w:space="0" w:color="auto"/>
            </w:tcBorders>
            <w:shd w:val="clear" w:color="auto" w:fill="auto"/>
            <w:noWrap/>
            <w:vAlign w:val="center"/>
            <w:hideMark/>
          </w:tcPr>
          <w:p w14:paraId="73553410"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1.125,00</w:t>
            </w:r>
          </w:p>
        </w:tc>
        <w:tc>
          <w:tcPr>
            <w:tcW w:w="1320" w:type="dxa"/>
            <w:tcBorders>
              <w:top w:val="nil"/>
              <w:left w:val="nil"/>
              <w:bottom w:val="single" w:sz="4" w:space="0" w:color="auto"/>
              <w:right w:val="single" w:sz="4" w:space="0" w:color="auto"/>
            </w:tcBorders>
            <w:shd w:val="clear" w:color="auto" w:fill="auto"/>
            <w:noWrap/>
            <w:vAlign w:val="center"/>
            <w:hideMark/>
          </w:tcPr>
          <w:p w14:paraId="26BB3E1A"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0,00</w:t>
            </w:r>
          </w:p>
        </w:tc>
        <w:tc>
          <w:tcPr>
            <w:tcW w:w="1374" w:type="dxa"/>
            <w:tcBorders>
              <w:top w:val="nil"/>
              <w:left w:val="nil"/>
              <w:bottom w:val="single" w:sz="4" w:space="0" w:color="auto"/>
              <w:right w:val="double" w:sz="6" w:space="0" w:color="auto"/>
            </w:tcBorders>
            <w:shd w:val="clear" w:color="auto" w:fill="auto"/>
            <w:noWrap/>
            <w:vAlign w:val="center"/>
            <w:hideMark/>
          </w:tcPr>
          <w:p w14:paraId="784A41AF"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1.125,00</w:t>
            </w:r>
          </w:p>
        </w:tc>
      </w:tr>
      <w:tr w:rsidR="00E97428" w:rsidRPr="00E97428" w14:paraId="76C57CE5" w14:textId="77777777" w:rsidTr="00E97428">
        <w:trPr>
          <w:trHeight w:val="285"/>
        </w:trPr>
        <w:tc>
          <w:tcPr>
            <w:tcW w:w="520" w:type="dxa"/>
            <w:tcBorders>
              <w:top w:val="nil"/>
              <w:left w:val="double" w:sz="6" w:space="0" w:color="auto"/>
              <w:bottom w:val="single" w:sz="4" w:space="0" w:color="auto"/>
              <w:right w:val="single" w:sz="4" w:space="0" w:color="auto"/>
            </w:tcBorders>
            <w:shd w:val="clear" w:color="auto" w:fill="auto"/>
            <w:noWrap/>
            <w:vAlign w:val="center"/>
            <w:hideMark/>
          </w:tcPr>
          <w:p w14:paraId="0E8EFD97" w14:textId="77777777" w:rsidR="00E97428" w:rsidRPr="00E97428" w:rsidRDefault="00E97428" w:rsidP="00E97428">
            <w:pPr>
              <w:ind w:left="0" w:right="0" w:firstLine="0"/>
              <w:jc w:val="center"/>
              <w:rPr>
                <w:sz w:val="20"/>
                <w:szCs w:val="20"/>
                <w:lang w:val="sr-Latn-BA" w:eastAsia="sr-Latn-BA"/>
              </w:rPr>
            </w:pPr>
            <w:r w:rsidRPr="00E97428">
              <w:rPr>
                <w:sz w:val="20"/>
                <w:szCs w:val="20"/>
                <w:lang w:val="sr-Latn-BA" w:eastAsia="sr-Latn-BA"/>
              </w:rPr>
              <w:t>5</w:t>
            </w:r>
          </w:p>
        </w:tc>
        <w:tc>
          <w:tcPr>
            <w:tcW w:w="5080" w:type="dxa"/>
            <w:tcBorders>
              <w:top w:val="nil"/>
              <w:left w:val="nil"/>
              <w:bottom w:val="single" w:sz="4" w:space="0" w:color="auto"/>
              <w:right w:val="nil"/>
            </w:tcBorders>
            <w:shd w:val="clear" w:color="auto" w:fill="auto"/>
            <w:noWrap/>
            <w:vAlign w:val="center"/>
            <w:hideMark/>
          </w:tcPr>
          <w:p w14:paraId="1EA35409" w14:textId="77777777" w:rsidR="00E97428" w:rsidRPr="00E97428" w:rsidRDefault="00E97428" w:rsidP="00E97428">
            <w:pPr>
              <w:ind w:left="0" w:right="0" w:firstLine="0"/>
              <w:jc w:val="left"/>
              <w:rPr>
                <w:sz w:val="20"/>
                <w:szCs w:val="20"/>
                <w:lang w:val="sr-Latn-BA" w:eastAsia="sr-Latn-BA"/>
              </w:rPr>
            </w:pPr>
            <w:proofErr w:type="spellStart"/>
            <w:r w:rsidRPr="00E97428">
              <w:rPr>
                <w:sz w:val="20"/>
                <w:szCs w:val="20"/>
                <w:lang w:val="sr-Latn-BA" w:eastAsia="sr-Latn-BA"/>
              </w:rPr>
              <w:t>Удружење</w:t>
            </w:r>
            <w:proofErr w:type="spellEnd"/>
            <w:r w:rsidRPr="00E97428">
              <w:rPr>
                <w:sz w:val="20"/>
                <w:szCs w:val="20"/>
                <w:lang w:val="sr-Latn-BA" w:eastAsia="sr-Latn-BA"/>
              </w:rPr>
              <w:t xml:space="preserve"> </w:t>
            </w:r>
            <w:proofErr w:type="spellStart"/>
            <w:r w:rsidRPr="00E97428">
              <w:rPr>
                <w:sz w:val="20"/>
                <w:szCs w:val="20"/>
                <w:lang w:val="sr-Latn-BA" w:eastAsia="sr-Latn-BA"/>
              </w:rPr>
              <w:t>Рома</w:t>
            </w:r>
            <w:proofErr w:type="spellEnd"/>
            <w:r w:rsidRPr="00E97428">
              <w:rPr>
                <w:sz w:val="20"/>
                <w:szCs w:val="20"/>
                <w:lang w:val="sr-Latn-BA" w:eastAsia="sr-Latn-BA"/>
              </w:rPr>
              <w:t xml:space="preserve"> </w:t>
            </w:r>
            <w:proofErr w:type="spellStart"/>
            <w:r w:rsidRPr="00E97428">
              <w:rPr>
                <w:sz w:val="20"/>
                <w:szCs w:val="20"/>
                <w:lang w:val="sr-Latn-BA" w:eastAsia="sr-Latn-BA"/>
              </w:rPr>
              <w:t>општине</w:t>
            </w:r>
            <w:proofErr w:type="spellEnd"/>
            <w:r w:rsidRPr="00E97428">
              <w:rPr>
                <w:sz w:val="20"/>
                <w:szCs w:val="20"/>
                <w:lang w:val="sr-Latn-BA" w:eastAsia="sr-Latn-BA"/>
              </w:rPr>
              <w:t xml:space="preserve"> </w:t>
            </w:r>
            <w:proofErr w:type="spellStart"/>
            <w:r w:rsidRPr="00E97428">
              <w:rPr>
                <w:sz w:val="20"/>
                <w:szCs w:val="20"/>
                <w:lang w:val="sr-Latn-BA" w:eastAsia="sr-Latn-BA"/>
              </w:rPr>
              <w:t>Прњавор</w:t>
            </w:r>
            <w:proofErr w:type="spellEnd"/>
          </w:p>
        </w:tc>
        <w:tc>
          <w:tcPr>
            <w:tcW w:w="1227" w:type="dxa"/>
            <w:tcBorders>
              <w:top w:val="nil"/>
              <w:left w:val="single" w:sz="4" w:space="0" w:color="auto"/>
              <w:bottom w:val="single" w:sz="4" w:space="0" w:color="auto"/>
              <w:right w:val="single" w:sz="4" w:space="0" w:color="auto"/>
            </w:tcBorders>
            <w:shd w:val="clear" w:color="auto" w:fill="auto"/>
            <w:noWrap/>
            <w:vAlign w:val="center"/>
            <w:hideMark/>
          </w:tcPr>
          <w:p w14:paraId="7ADBB05D"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1.125,00</w:t>
            </w:r>
          </w:p>
        </w:tc>
        <w:tc>
          <w:tcPr>
            <w:tcW w:w="1320" w:type="dxa"/>
            <w:tcBorders>
              <w:top w:val="nil"/>
              <w:left w:val="nil"/>
              <w:bottom w:val="single" w:sz="4" w:space="0" w:color="auto"/>
              <w:right w:val="single" w:sz="4" w:space="0" w:color="auto"/>
            </w:tcBorders>
            <w:shd w:val="clear" w:color="auto" w:fill="auto"/>
            <w:noWrap/>
            <w:vAlign w:val="center"/>
            <w:hideMark/>
          </w:tcPr>
          <w:p w14:paraId="5909CA7B"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0,00</w:t>
            </w:r>
          </w:p>
        </w:tc>
        <w:tc>
          <w:tcPr>
            <w:tcW w:w="1374" w:type="dxa"/>
            <w:tcBorders>
              <w:top w:val="nil"/>
              <w:left w:val="nil"/>
              <w:bottom w:val="single" w:sz="4" w:space="0" w:color="auto"/>
              <w:right w:val="double" w:sz="6" w:space="0" w:color="auto"/>
            </w:tcBorders>
            <w:shd w:val="clear" w:color="auto" w:fill="auto"/>
            <w:noWrap/>
            <w:vAlign w:val="center"/>
            <w:hideMark/>
          </w:tcPr>
          <w:p w14:paraId="67A9C3B2"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1.125,00</w:t>
            </w:r>
          </w:p>
        </w:tc>
      </w:tr>
      <w:tr w:rsidR="00E97428" w:rsidRPr="00E97428" w14:paraId="7AAE51ED" w14:textId="77777777" w:rsidTr="00E97428">
        <w:trPr>
          <w:trHeight w:val="270"/>
        </w:trPr>
        <w:tc>
          <w:tcPr>
            <w:tcW w:w="520" w:type="dxa"/>
            <w:tcBorders>
              <w:top w:val="nil"/>
              <w:left w:val="double" w:sz="6" w:space="0" w:color="auto"/>
              <w:bottom w:val="single" w:sz="4" w:space="0" w:color="auto"/>
              <w:right w:val="single" w:sz="4" w:space="0" w:color="auto"/>
            </w:tcBorders>
            <w:shd w:val="clear" w:color="auto" w:fill="auto"/>
            <w:noWrap/>
            <w:vAlign w:val="center"/>
            <w:hideMark/>
          </w:tcPr>
          <w:p w14:paraId="1155595A" w14:textId="77777777" w:rsidR="00E97428" w:rsidRPr="00E97428" w:rsidRDefault="00E97428" w:rsidP="00E97428">
            <w:pPr>
              <w:ind w:left="0" w:right="0" w:firstLine="0"/>
              <w:jc w:val="center"/>
              <w:rPr>
                <w:sz w:val="20"/>
                <w:szCs w:val="20"/>
                <w:lang w:val="sr-Latn-BA" w:eastAsia="sr-Latn-BA"/>
              </w:rPr>
            </w:pPr>
            <w:r w:rsidRPr="00E97428">
              <w:rPr>
                <w:sz w:val="20"/>
                <w:szCs w:val="20"/>
                <w:lang w:val="sr-Latn-BA" w:eastAsia="sr-Latn-BA"/>
              </w:rPr>
              <w:t>6</w:t>
            </w:r>
          </w:p>
        </w:tc>
        <w:tc>
          <w:tcPr>
            <w:tcW w:w="5080" w:type="dxa"/>
            <w:tcBorders>
              <w:top w:val="nil"/>
              <w:left w:val="nil"/>
              <w:bottom w:val="single" w:sz="4" w:space="0" w:color="auto"/>
              <w:right w:val="nil"/>
            </w:tcBorders>
            <w:shd w:val="clear" w:color="auto" w:fill="auto"/>
            <w:noWrap/>
            <w:vAlign w:val="center"/>
            <w:hideMark/>
          </w:tcPr>
          <w:p w14:paraId="1251846D" w14:textId="77777777" w:rsidR="00E97428" w:rsidRPr="00E97428" w:rsidRDefault="00E97428" w:rsidP="00E97428">
            <w:pPr>
              <w:ind w:left="0" w:right="0" w:firstLine="0"/>
              <w:jc w:val="left"/>
              <w:rPr>
                <w:sz w:val="20"/>
                <w:szCs w:val="20"/>
                <w:lang w:val="sr-Latn-BA" w:eastAsia="sr-Latn-BA"/>
              </w:rPr>
            </w:pPr>
            <w:r w:rsidRPr="00E97428">
              <w:rPr>
                <w:sz w:val="20"/>
                <w:szCs w:val="20"/>
                <w:lang w:val="sr-Latn-BA" w:eastAsia="sr-Latn-BA"/>
              </w:rPr>
              <w:t>УКПД "</w:t>
            </w:r>
            <w:proofErr w:type="spellStart"/>
            <w:r w:rsidRPr="00E97428">
              <w:rPr>
                <w:sz w:val="20"/>
                <w:szCs w:val="20"/>
                <w:lang w:val="sr-Latn-BA" w:eastAsia="sr-Latn-BA"/>
              </w:rPr>
              <w:t>Тарас</w:t>
            </w:r>
            <w:proofErr w:type="spellEnd"/>
            <w:r w:rsidRPr="00E97428">
              <w:rPr>
                <w:sz w:val="20"/>
                <w:szCs w:val="20"/>
                <w:lang w:val="sr-Latn-BA" w:eastAsia="sr-Latn-BA"/>
              </w:rPr>
              <w:t xml:space="preserve"> </w:t>
            </w:r>
            <w:proofErr w:type="spellStart"/>
            <w:r w:rsidRPr="00E97428">
              <w:rPr>
                <w:sz w:val="20"/>
                <w:szCs w:val="20"/>
                <w:lang w:val="sr-Latn-BA" w:eastAsia="sr-Latn-BA"/>
              </w:rPr>
              <w:t>Шевченко</w:t>
            </w:r>
            <w:proofErr w:type="spellEnd"/>
            <w:r w:rsidRPr="00E97428">
              <w:rPr>
                <w:sz w:val="20"/>
                <w:szCs w:val="20"/>
                <w:lang w:val="sr-Latn-BA" w:eastAsia="sr-Latn-BA"/>
              </w:rPr>
              <w:t xml:space="preserve">" </w:t>
            </w:r>
            <w:proofErr w:type="spellStart"/>
            <w:r w:rsidRPr="00E97428">
              <w:rPr>
                <w:sz w:val="20"/>
                <w:szCs w:val="20"/>
                <w:lang w:val="sr-Latn-BA" w:eastAsia="sr-Latn-BA"/>
              </w:rPr>
              <w:t>Прњавор</w:t>
            </w:r>
            <w:proofErr w:type="spellEnd"/>
          </w:p>
        </w:tc>
        <w:tc>
          <w:tcPr>
            <w:tcW w:w="1227" w:type="dxa"/>
            <w:tcBorders>
              <w:top w:val="nil"/>
              <w:left w:val="single" w:sz="4" w:space="0" w:color="auto"/>
              <w:bottom w:val="single" w:sz="4" w:space="0" w:color="auto"/>
              <w:right w:val="single" w:sz="4" w:space="0" w:color="auto"/>
            </w:tcBorders>
            <w:shd w:val="clear" w:color="auto" w:fill="auto"/>
            <w:noWrap/>
            <w:vAlign w:val="center"/>
            <w:hideMark/>
          </w:tcPr>
          <w:p w14:paraId="5C51FBF3"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9.677,38</w:t>
            </w:r>
          </w:p>
        </w:tc>
        <w:tc>
          <w:tcPr>
            <w:tcW w:w="1320" w:type="dxa"/>
            <w:tcBorders>
              <w:top w:val="nil"/>
              <w:left w:val="nil"/>
              <w:bottom w:val="single" w:sz="4" w:space="0" w:color="auto"/>
              <w:right w:val="single" w:sz="4" w:space="0" w:color="auto"/>
            </w:tcBorders>
            <w:shd w:val="clear" w:color="auto" w:fill="auto"/>
            <w:noWrap/>
            <w:vAlign w:val="center"/>
            <w:hideMark/>
          </w:tcPr>
          <w:p w14:paraId="503B7583"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3.000,00</w:t>
            </w:r>
          </w:p>
        </w:tc>
        <w:tc>
          <w:tcPr>
            <w:tcW w:w="1374" w:type="dxa"/>
            <w:tcBorders>
              <w:top w:val="nil"/>
              <w:left w:val="nil"/>
              <w:bottom w:val="single" w:sz="4" w:space="0" w:color="auto"/>
              <w:right w:val="double" w:sz="6" w:space="0" w:color="auto"/>
            </w:tcBorders>
            <w:shd w:val="clear" w:color="auto" w:fill="auto"/>
            <w:noWrap/>
            <w:vAlign w:val="center"/>
            <w:hideMark/>
          </w:tcPr>
          <w:p w14:paraId="1418136F"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12.677,38</w:t>
            </w:r>
          </w:p>
        </w:tc>
      </w:tr>
      <w:tr w:rsidR="00E97428" w:rsidRPr="00E97428" w14:paraId="3F9A33D3" w14:textId="77777777" w:rsidTr="00E97428">
        <w:trPr>
          <w:trHeight w:val="285"/>
        </w:trPr>
        <w:tc>
          <w:tcPr>
            <w:tcW w:w="520" w:type="dxa"/>
            <w:tcBorders>
              <w:top w:val="single" w:sz="4" w:space="0" w:color="auto"/>
              <w:left w:val="double" w:sz="6" w:space="0" w:color="auto"/>
              <w:bottom w:val="nil"/>
              <w:right w:val="single" w:sz="4" w:space="0" w:color="auto"/>
            </w:tcBorders>
            <w:shd w:val="clear" w:color="auto" w:fill="auto"/>
            <w:noWrap/>
            <w:vAlign w:val="center"/>
            <w:hideMark/>
          </w:tcPr>
          <w:p w14:paraId="0C89F1AE" w14:textId="77777777" w:rsidR="00E97428" w:rsidRPr="00E97428" w:rsidRDefault="00E97428" w:rsidP="00E97428">
            <w:pPr>
              <w:ind w:left="0" w:right="0" w:firstLine="0"/>
              <w:jc w:val="center"/>
              <w:rPr>
                <w:sz w:val="20"/>
                <w:szCs w:val="20"/>
                <w:lang w:val="sr-Latn-BA" w:eastAsia="sr-Latn-BA"/>
              </w:rPr>
            </w:pPr>
            <w:r w:rsidRPr="00E97428">
              <w:rPr>
                <w:sz w:val="20"/>
                <w:szCs w:val="20"/>
                <w:lang w:val="sr-Latn-BA" w:eastAsia="sr-Latn-BA"/>
              </w:rPr>
              <w:t>7</w:t>
            </w:r>
          </w:p>
        </w:tc>
        <w:tc>
          <w:tcPr>
            <w:tcW w:w="5080" w:type="dxa"/>
            <w:tcBorders>
              <w:top w:val="single" w:sz="4" w:space="0" w:color="auto"/>
              <w:left w:val="nil"/>
              <w:bottom w:val="nil"/>
              <w:right w:val="nil"/>
            </w:tcBorders>
            <w:shd w:val="clear" w:color="auto" w:fill="auto"/>
            <w:noWrap/>
            <w:vAlign w:val="center"/>
            <w:hideMark/>
          </w:tcPr>
          <w:p w14:paraId="23094800" w14:textId="77777777" w:rsidR="00E97428" w:rsidRPr="00E97428" w:rsidRDefault="00E97428" w:rsidP="00E97428">
            <w:pPr>
              <w:ind w:left="0" w:right="0" w:firstLine="0"/>
              <w:jc w:val="left"/>
              <w:rPr>
                <w:sz w:val="20"/>
                <w:szCs w:val="20"/>
                <w:lang w:val="sr-Latn-BA" w:eastAsia="sr-Latn-BA"/>
              </w:rPr>
            </w:pPr>
            <w:proofErr w:type="spellStart"/>
            <w:r w:rsidRPr="00E97428">
              <w:rPr>
                <w:sz w:val="20"/>
                <w:szCs w:val="20"/>
                <w:lang w:val="sr-Latn-BA" w:eastAsia="sr-Latn-BA"/>
              </w:rPr>
              <w:t>Удружење</w:t>
            </w:r>
            <w:proofErr w:type="spellEnd"/>
            <w:r w:rsidRPr="00E97428">
              <w:rPr>
                <w:sz w:val="20"/>
                <w:szCs w:val="20"/>
                <w:lang w:val="sr-Latn-BA" w:eastAsia="sr-Latn-BA"/>
              </w:rPr>
              <w:t xml:space="preserve"> </w:t>
            </w:r>
            <w:proofErr w:type="spellStart"/>
            <w:r w:rsidRPr="00E97428">
              <w:rPr>
                <w:sz w:val="20"/>
                <w:szCs w:val="20"/>
                <w:lang w:val="sr-Latn-BA" w:eastAsia="sr-Latn-BA"/>
              </w:rPr>
              <w:t>Пољака</w:t>
            </w:r>
            <w:proofErr w:type="spellEnd"/>
            <w:r w:rsidRPr="00E97428">
              <w:rPr>
                <w:sz w:val="20"/>
                <w:szCs w:val="20"/>
                <w:lang w:val="sr-Latn-BA" w:eastAsia="sr-Latn-BA"/>
              </w:rPr>
              <w:t xml:space="preserve"> и </w:t>
            </w:r>
            <w:proofErr w:type="spellStart"/>
            <w:r w:rsidRPr="00E97428">
              <w:rPr>
                <w:sz w:val="20"/>
                <w:szCs w:val="20"/>
                <w:lang w:val="sr-Latn-BA" w:eastAsia="sr-Latn-BA"/>
              </w:rPr>
              <w:t>пријатеља</w:t>
            </w:r>
            <w:proofErr w:type="spellEnd"/>
            <w:r w:rsidRPr="00E97428">
              <w:rPr>
                <w:sz w:val="20"/>
                <w:szCs w:val="20"/>
                <w:lang w:val="sr-Latn-BA" w:eastAsia="sr-Latn-BA"/>
              </w:rPr>
              <w:t xml:space="preserve"> "</w:t>
            </w:r>
            <w:proofErr w:type="spellStart"/>
            <w:r w:rsidRPr="00E97428">
              <w:rPr>
                <w:sz w:val="20"/>
                <w:szCs w:val="20"/>
                <w:lang w:val="sr-Latn-BA" w:eastAsia="sr-Latn-BA"/>
              </w:rPr>
              <w:t>Boleslawiec</w:t>
            </w:r>
            <w:proofErr w:type="spellEnd"/>
            <w:r w:rsidRPr="00E97428">
              <w:rPr>
                <w:sz w:val="20"/>
                <w:szCs w:val="20"/>
                <w:lang w:val="sr-Latn-BA" w:eastAsia="sr-Latn-BA"/>
              </w:rPr>
              <w:t>"</w:t>
            </w:r>
          </w:p>
        </w:tc>
        <w:tc>
          <w:tcPr>
            <w:tcW w:w="1227" w:type="dxa"/>
            <w:tcBorders>
              <w:top w:val="nil"/>
              <w:left w:val="single" w:sz="4" w:space="0" w:color="auto"/>
              <w:bottom w:val="nil"/>
              <w:right w:val="single" w:sz="4" w:space="0" w:color="auto"/>
            </w:tcBorders>
            <w:shd w:val="clear" w:color="auto" w:fill="auto"/>
            <w:noWrap/>
            <w:vAlign w:val="center"/>
            <w:hideMark/>
          </w:tcPr>
          <w:p w14:paraId="361BECC9"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3.000,00</w:t>
            </w:r>
          </w:p>
        </w:tc>
        <w:tc>
          <w:tcPr>
            <w:tcW w:w="1320" w:type="dxa"/>
            <w:tcBorders>
              <w:top w:val="nil"/>
              <w:left w:val="nil"/>
              <w:bottom w:val="nil"/>
              <w:right w:val="single" w:sz="4" w:space="0" w:color="auto"/>
            </w:tcBorders>
            <w:shd w:val="clear" w:color="auto" w:fill="auto"/>
            <w:noWrap/>
            <w:vAlign w:val="center"/>
            <w:hideMark/>
          </w:tcPr>
          <w:p w14:paraId="6857AB1E"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500,00</w:t>
            </w:r>
          </w:p>
        </w:tc>
        <w:tc>
          <w:tcPr>
            <w:tcW w:w="1374" w:type="dxa"/>
            <w:tcBorders>
              <w:top w:val="nil"/>
              <w:left w:val="nil"/>
              <w:bottom w:val="nil"/>
              <w:right w:val="double" w:sz="6" w:space="0" w:color="auto"/>
            </w:tcBorders>
            <w:shd w:val="clear" w:color="auto" w:fill="auto"/>
            <w:noWrap/>
            <w:vAlign w:val="center"/>
            <w:hideMark/>
          </w:tcPr>
          <w:p w14:paraId="064C7E69"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3.500,00</w:t>
            </w:r>
          </w:p>
        </w:tc>
      </w:tr>
      <w:tr w:rsidR="00E97428" w:rsidRPr="00E97428" w14:paraId="331C7111" w14:textId="77777777" w:rsidTr="00E97428">
        <w:trPr>
          <w:trHeight w:val="270"/>
        </w:trPr>
        <w:tc>
          <w:tcPr>
            <w:tcW w:w="520"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19C2E98A" w14:textId="77777777" w:rsidR="00E97428" w:rsidRPr="00E97428" w:rsidRDefault="00E97428" w:rsidP="00E97428">
            <w:pPr>
              <w:ind w:left="0" w:right="0" w:firstLine="0"/>
              <w:jc w:val="center"/>
              <w:rPr>
                <w:sz w:val="20"/>
                <w:szCs w:val="20"/>
                <w:lang w:val="sr-Latn-BA" w:eastAsia="sr-Latn-BA"/>
              </w:rPr>
            </w:pPr>
            <w:r w:rsidRPr="00E97428">
              <w:rPr>
                <w:sz w:val="20"/>
                <w:szCs w:val="20"/>
                <w:lang w:val="sr-Latn-BA" w:eastAsia="sr-Latn-BA"/>
              </w:rPr>
              <w:t>8</w:t>
            </w:r>
          </w:p>
        </w:tc>
        <w:tc>
          <w:tcPr>
            <w:tcW w:w="5080" w:type="dxa"/>
            <w:tcBorders>
              <w:top w:val="single" w:sz="4" w:space="0" w:color="auto"/>
              <w:left w:val="nil"/>
              <w:bottom w:val="double" w:sz="6" w:space="0" w:color="auto"/>
              <w:right w:val="single" w:sz="4" w:space="0" w:color="auto"/>
            </w:tcBorders>
            <w:shd w:val="clear" w:color="auto" w:fill="auto"/>
            <w:noWrap/>
            <w:vAlign w:val="center"/>
            <w:hideMark/>
          </w:tcPr>
          <w:p w14:paraId="65861C56" w14:textId="77777777" w:rsidR="00E97428" w:rsidRPr="00E97428" w:rsidRDefault="00E97428" w:rsidP="00E97428">
            <w:pPr>
              <w:ind w:left="0" w:right="0" w:firstLine="0"/>
              <w:jc w:val="left"/>
              <w:rPr>
                <w:sz w:val="20"/>
                <w:szCs w:val="20"/>
                <w:lang w:val="sr-Latn-BA" w:eastAsia="sr-Latn-BA"/>
              </w:rPr>
            </w:pPr>
            <w:proofErr w:type="spellStart"/>
            <w:r w:rsidRPr="00E97428">
              <w:rPr>
                <w:sz w:val="20"/>
                <w:szCs w:val="20"/>
                <w:lang w:val="sr-Latn-BA" w:eastAsia="sr-Latn-BA"/>
              </w:rPr>
              <w:t>Савез</w:t>
            </w:r>
            <w:proofErr w:type="spellEnd"/>
            <w:r w:rsidRPr="00E97428">
              <w:rPr>
                <w:sz w:val="20"/>
                <w:szCs w:val="20"/>
                <w:lang w:val="sr-Latn-BA" w:eastAsia="sr-Latn-BA"/>
              </w:rPr>
              <w:t xml:space="preserve"> </w:t>
            </w:r>
            <w:proofErr w:type="spellStart"/>
            <w:r w:rsidRPr="00E97428">
              <w:rPr>
                <w:sz w:val="20"/>
                <w:szCs w:val="20"/>
                <w:lang w:val="sr-Latn-BA" w:eastAsia="sr-Latn-BA"/>
              </w:rPr>
              <w:t>националних</w:t>
            </w:r>
            <w:proofErr w:type="spellEnd"/>
            <w:r w:rsidRPr="00E97428">
              <w:rPr>
                <w:sz w:val="20"/>
                <w:szCs w:val="20"/>
                <w:lang w:val="sr-Latn-BA" w:eastAsia="sr-Latn-BA"/>
              </w:rPr>
              <w:t xml:space="preserve"> </w:t>
            </w:r>
            <w:proofErr w:type="spellStart"/>
            <w:r w:rsidRPr="00E97428">
              <w:rPr>
                <w:sz w:val="20"/>
                <w:szCs w:val="20"/>
                <w:lang w:val="sr-Latn-BA" w:eastAsia="sr-Latn-BA"/>
              </w:rPr>
              <w:t>мањина</w:t>
            </w:r>
            <w:proofErr w:type="spellEnd"/>
            <w:r w:rsidRPr="00E97428">
              <w:rPr>
                <w:sz w:val="20"/>
                <w:szCs w:val="20"/>
                <w:lang w:val="sr-Latn-BA" w:eastAsia="sr-Latn-BA"/>
              </w:rPr>
              <w:t xml:space="preserve"> </w:t>
            </w:r>
            <w:proofErr w:type="spellStart"/>
            <w:r w:rsidRPr="00E97428">
              <w:rPr>
                <w:sz w:val="20"/>
                <w:szCs w:val="20"/>
                <w:lang w:val="sr-Latn-BA" w:eastAsia="sr-Latn-BA"/>
              </w:rPr>
              <w:t>општине</w:t>
            </w:r>
            <w:proofErr w:type="spellEnd"/>
            <w:r w:rsidRPr="00E97428">
              <w:rPr>
                <w:sz w:val="20"/>
                <w:szCs w:val="20"/>
                <w:lang w:val="sr-Latn-BA" w:eastAsia="sr-Latn-BA"/>
              </w:rPr>
              <w:t xml:space="preserve"> </w:t>
            </w:r>
            <w:proofErr w:type="spellStart"/>
            <w:r w:rsidRPr="00E97428">
              <w:rPr>
                <w:sz w:val="20"/>
                <w:szCs w:val="20"/>
                <w:lang w:val="sr-Latn-BA" w:eastAsia="sr-Latn-BA"/>
              </w:rPr>
              <w:t>Прњавор</w:t>
            </w:r>
            <w:proofErr w:type="spellEnd"/>
          </w:p>
        </w:tc>
        <w:tc>
          <w:tcPr>
            <w:tcW w:w="1227" w:type="dxa"/>
            <w:tcBorders>
              <w:top w:val="single" w:sz="4" w:space="0" w:color="auto"/>
              <w:left w:val="nil"/>
              <w:bottom w:val="double" w:sz="6" w:space="0" w:color="auto"/>
              <w:right w:val="single" w:sz="4" w:space="0" w:color="auto"/>
            </w:tcBorders>
            <w:shd w:val="clear" w:color="000000" w:fill="FFFFFF"/>
            <w:noWrap/>
            <w:vAlign w:val="center"/>
            <w:hideMark/>
          </w:tcPr>
          <w:p w14:paraId="64F9FAD6"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750,00</w:t>
            </w:r>
          </w:p>
        </w:tc>
        <w:tc>
          <w:tcPr>
            <w:tcW w:w="1320" w:type="dxa"/>
            <w:tcBorders>
              <w:top w:val="single" w:sz="4" w:space="0" w:color="auto"/>
              <w:left w:val="nil"/>
              <w:bottom w:val="double" w:sz="6" w:space="0" w:color="auto"/>
              <w:right w:val="single" w:sz="4" w:space="0" w:color="auto"/>
            </w:tcBorders>
            <w:shd w:val="clear" w:color="auto" w:fill="auto"/>
            <w:noWrap/>
            <w:vAlign w:val="bottom"/>
            <w:hideMark/>
          </w:tcPr>
          <w:p w14:paraId="6518DDA6"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1.500,00</w:t>
            </w:r>
          </w:p>
        </w:tc>
        <w:tc>
          <w:tcPr>
            <w:tcW w:w="1374" w:type="dxa"/>
            <w:tcBorders>
              <w:top w:val="single" w:sz="4" w:space="0" w:color="auto"/>
              <w:left w:val="nil"/>
              <w:bottom w:val="double" w:sz="6" w:space="0" w:color="auto"/>
              <w:right w:val="double" w:sz="6" w:space="0" w:color="auto"/>
            </w:tcBorders>
            <w:shd w:val="clear" w:color="auto" w:fill="auto"/>
            <w:noWrap/>
            <w:vAlign w:val="bottom"/>
            <w:hideMark/>
          </w:tcPr>
          <w:p w14:paraId="05FC1774"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2.250,00</w:t>
            </w:r>
          </w:p>
        </w:tc>
      </w:tr>
      <w:tr w:rsidR="00E97428" w:rsidRPr="00E97428" w14:paraId="6D2DD0B7" w14:textId="77777777" w:rsidTr="00E97428">
        <w:trPr>
          <w:trHeight w:val="285"/>
        </w:trPr>
        <w:tc>
          <w:tcPr>
            <w:tcW w:w="5600" w:type="dxa"/>
            <w:gridSpan w:val="2"/>
            <w:tcBorders>
              <w:top w:val="double" w:sz="6" w:space="0" w:color="auto"/>
              <w:left w:val="double" w:sz="6" w:space="0" w:color="auto"/>
              <w:bottom w:val="double" w:sz="6" w:space="0" w:color="auto"/>
              <w:right w:val="single" w:sz="4" w:space="0" w:color="auto"/>
            </w:tcBorders>
            <w:shd w:val="clear" w:color="auto" w:fill="auto"/>
            <w:vAlign w:val="center"/>
            <w:hideMark/>
          </w:tcPr>
          <w:p w14:paraId="652A6E4B" w14:textId="77777777" w:rsidR="00E97428" w:rsidRPr="00E97428" w:rsidRDefault="00E97428" w:rsidP="00E97428">
            <w:pPr>
              <w:ind w:left="0" w:right="0" w:firstLine="0"/>
              <w:jc w:val="center"/>
              <w:rPr>
                <w:b/>
                <w:bCs/>
                <w:sz w:val="20"/>
                <w:szCs w:val="20"/>
                <w:lang w:val="sr-Latn-BA" w:eastAsia="sr-Latn-BA"/>
              </w:rPr>
            </w:pPr>
            <w:r w:rsidRPr="00E97428">
              <w:rPr>
                <w:b/>
                <w:bCs/>
                <w:sz w:val="20"/>
                <w:szCs w:val="20"/>
                <w:lang w:val="sr-Latn-BA" w:eastAsia="sr-Latn-BA"/>
              </w:rPr>
              <w:t>У К У П Н О</w:t>
            </w:r>
          </w:p>
        </w:tc>
        <w:tc>
          <w:tcPr>
            <w:tcW w:w="1227" w:type="dxa"/>
            <w:tcBorders>
              <w:top w:val="nil"/>
              <w:left w:val="single" w:sz="4" w:space="0" w:color="auto"/>
              <w:bottom w:val="double" w:sz="6" w:space="0" w:color="auto"/>
              <w:right w:val="single" w:sz="4" w:space="0" w:color="auto"/>
            </w:tcBorders>
            <w:shd w:val="clear" w:color="auto" w:fill="auto"/>
            <w:noWrap/>
            <w:vAlign w:val="center"/>
            <w:hideMark/>
          </w:tcPr>
          <w:p w14:paraId="27D61A46" w14:textId="77777777" w:rsidR="00E97428" w:rsidRPr="00E97428" w:rsidRDefault="00E97428" w:rsidP="00E97428">
            <w:pPr>
              <w:ind w:left="0" w:right="0" w:firstLine="0"/>
              <w:jc w:val="right"/>
              <w:rPr>
                <w:b/>
                <w:bCs/>
                <w:sz w:val="20"/>
                <w:szCs w:val="20"/>
                <w:lang w:val="sr-Latn-BA" w:eastAsia="sr-Latn-BA"/>
              </w:rPr>
            </w:pPr>
            <w:r w:rsidRPr="00E97428">
              <w:rPr>
                <w:b/>
                <w:bCs/>
                <w:sz w:val="20"/>
                <w:szCs w:val="20"/>
                <w:lang w:val="sr-Latn-BA" w:eastAsia="sr-Latn-BA"/>
              </w:rPr>
              <w:t>24.302,38</w:t>
            </w:r>
          </w:p>
        </w:tc>
        <w:tc>
          <w:tcPr>
            <w:tcW w:w="1320" w:type="dxa"/>
            <w:tcBorders>
              <w:top w:val="nil"/>
              <w:left w:val="nil"/>
              <w:bottom w:val="double" w:sz="6" w:space="0" w:color="auto"/>
              <w:right w:val="single" w:sz="4" w:space="0" w:color="auto"/>
            </w:tcBorders>
            <w:shd w:val="clear" w:color="auto" w:fill="auto"/>
            <w:noWrap/>
            <w:vAlign w:val="center"/>
            <w:hideMark/>
          </w:tcPr>
          <w:p w14:paraId="5BBABFE7" w14:textId="77777777" w:rsidR="00E97428" w:rsidRPr="00E97428" w:rsidRDefault="00E97428" w:rsidP="00E97428">
            <w:pPr>
              <w:ind w:left="0" w:right="0" w:firstLine="0"/>
              <w:jc w:val="right"/>
              <w:rPr>
                <w:b/>
                <w:bCs/>
                <w:sz w:val="20"/>
                <w:szCs w:val="20"/>
                <w:lang w:val="sr-Latn-BA" w:eastAsia="sr-Latn-BA"/>
              </w:rPr>
            </w:pPr>
            <w:r w:rsidRPr="00E97428">
              <w:rPr>
                <w:b/>
                <w:bCs/>
                <w:sz w:val="20"/>
                <w:szCs w:val="20"/>
                <w:lang w:val="sr-Latn-BA" w:eastAsia="sr-Latn-BA"/>
              </w:rPr>
              <w:t>5.000,00</w:t>
            </w:r>
          </w:p>
        </w:tc>
        <w:tc>
          <w:tcPr>
            <w:tcW w:w="1374" w:type="dxa"/>
            <w:tcBorders>
              <w:top w:val="nil"/>
              <w:left w:val="nil"/>
              <w:bottom w:val="double" w:sz="6" w:space="0" w:color="auto"/>
              <w:right w:val="double" w:sz="6" w:space="0" w:color="auto"/>
            </w:tcBorders>
            <w:shd w:val="clear" w:color="auto" w:fill="auto"/>
            <w:noWrap/>
            <w:vAlign w:val="center"/>
            <w:hideMark/>
          </w:tcPr>
          <w:p w14:paraId="2660DDE8" w14:textId="77777777" w:rsidR="00E97428" w:rsidRPr="00E97428" w:rsidRDefault="00E97428" w:rsidP="00E97428">
            <w:pPr>
              <w:ind w:left="0" w:right="0" w:firstLine="0"/>
              <w:jc w:val="right"/>
              <w:rPr>
                <w:b/>
                <w:bCs/>
                <w:sz w:val="20"/>
                <w:szCs w:val="20"/>
                <w:lang w:val="sr-Latn-BA" w:eastAsia="sr-Latn-BA"/>
              </w:rPr>
            </w:pPr>
            <w:r w:rsidRPr="00E97428">
              <w:rPr>
                <w:b/>
                <w:bCs/>
                <w:sz w:val="20"/>
                <w:szCs w:val="20"/>
                <w:lang w:val="sr-Latn-BA" w:eastAsia="sr-Latn-BA"/>
              </w:rPr>
              <w:t>29.302,38</w:t>
            </w:r>
          </w:p>
        </w:tc>
      </w:tr>
    </w:tbl>
    <w:p w14:paraId="11ACE89B" w14:textId="77777777" w:rsidR="00BF4728" w:rsidRPr="00E97428" w:rsidRDefault="00BF4728" w:rsidP="003E0BA8">
      <w:pPr>
        <w:tabs>
          <w:tab w:val="right" w:leader="dot" w:pos="9214"/>
        </w:tabs>
        <w:ind w:left="0" w:firstLine="0"/>
        <w:rPr>
          <w:b/>
          <w:lang w:val="sr-Cyrl-BA"/>
        </w:rPr>
      </w:pPr>
    </w:p>
    <w:p w14:paraId="316439FB" w14:textId="77777777" w:rsidR="003E0BA8" w:rsidRDefault="003E0BA8" w:rsidP="00E043EA">
      <w:pPr>
        <w:spacing w:before="120"/>
        <w:ind w:left="0" w:firstLine="0"/>
        <w:rPr>
          <w:lang w:val="sr-Cyrl-BA"/>
        </w:rPr>
      </w:pPr>
      <w:r>
        <w:rPr>
          <w:b/>
          <w:i/>
        </w:rPr>
        <w:tab/>
      </w:r>
      <w:r w:rsidRPr="00937B51">
        <w:rPr>
          <w:b/>
          <w:i/>
        </w:rPr>
        <w:t xml:space="preserve">Средства за помоћ </w:t>
      </w:r>
      <w:proofErr w:type="spellStart"/>
      <w:r w:rsidRPr="00937B51">
        <w:rPr>
          <w:b/>
          <w:i/>
        </w:rPr>
        <w:t>вјерским</w:t>
      </w:r>
      <w:proofErr w:type="spellEnd"/>
      <w:r w:rsidRPr="00937B51">
        <w:rPr>
          <w:b/>
          <w:i/>
        </w:rPr>
        <w:t xml:space="preserve"> заједницама (заштита културно-историјског </w:t>
      </w:r>
      <w:proofErr w:type="spellStart"/>
      <w:r w:rsidRPr="00937B51">
        <w:rPr>
          <w:b/>
          <w:i/>
        </w:rPr>
        <w:t>наслијеђа</w:t>
      </w:r>
      <w:proofErr w:type="spellEnd"/>
      <w:r w:rsidRPr="00937B51">
        <w:rPr>
          <w:b/>
          <w:i/>
        </w:rPr>
        <w:t>)</w:t>
      </w:r>
      <w:r w:rsidRPr="008C193E">
        <w:t xml:space="preserve"> (</w:t>
      </w:r>
      <w:proofErr w:type="spellStart"/>
      <w:r w:rsidRPr="008C193E">
        <w:t>потр</w:t>
      </w:r>
      <w:proofErr w:type="spellEnd"/>
      <w:r w:rsidRPr="008C193E">
        <w:t xml:space="preserve">. јед. 00750150) </w:t>
      </w:r>
      <w:r>
        <w:t xml:space="preserve">у </w:t>
      </w:r>
      <w:proofErr w:type="spellStart"/>
      <w:r>
        <w:t>извјештајном</w:t>
      </w:r>
      <w:proofErr w:type="spellEnd"/>
      <w:r>
        <w:t xml:space="preserve"> периоду </w:t>
      </w:r>
      <w:r w:rsidRPr="008C193E">
        <w:t>искориш</w:t>
      </w:r>
      <w:r>
        <w:t>ћ</w:t>
      </w:r>
      <w:r w:rsidRPr="008C193E">
        <w:t xml:space="preserve">ена </w:t>
      </w:r>
      <w:r>
        <w:t xml:space="preserve">су </w:t>
      </w:r>
      <w:r w:rsidRPr="008C193E">
        <w:t xml:space="preserve">у </w:t>
      </w:r>
      <w:r>
        <w:t xml:space="preserve">укупном </w:t>
      </w:r>
      <w:r w:rsidRPr="008C193E">
        <w:t xml:space="preserve">износу од </w:t>
      </w:r>
      <w:r w:rsidR="00E97428">
        <w:t>75.222,57</w:t>
      </w:r>
      <w:r w:rsidRPr="008C193E">
        <w:t xml:space="preserve"> КМ</w:t>
      </w:r>
      <w:r>
        <w:t>,</w:t>
      </w:r>
      <w:r w:rsidRPr="008C193E">
        <w:t xml:space="preserve"> што је </w:t>
      </w:r>
      <w:r w:rsidR="00E97428">
        <w:t>100</w:t>
      </w:r>
      <w:r w:rsidRPr="008C193E">
        <w:t xml:space="preserve">% од </w:t>
      </w:r>
      <w:r>
        <w:t>планираних средстава</w:t>
      </w:r>
      <w:r w:rsidR="00716212">
        <w:rPr>
          <w:lang w:val="sr-Latn-RS"/>
        </w:rPr>
        <w:t xml:space="preserve"> </w:t>
      </w:r>
      <w:r w:rsidR="00886EEE">
        <w:t xml:space="preserve">са извршеним </w:t>
      </w:r>
      <w:proofErr w:type="spellStart"/>
      <w:r w:rsidR="00886EEE">
        <w:t>реалокацијама</w:t>
      </w:r>
      <w:proofErr w:type="spellEnd"/>
      <w:r w:rsidRPr="008C193E">
        <w:t xml:space="preserve">. </w:t>
      </w:r>
      <w:r>
        <w:t xml:space="preserve">Износ од </w:t>
      </w:r>
      <w:r w:rsidR="00E97428">
        <w:t>50.910</w:t>
      </w:r>
      <w:r w:rsidR="00BF4728">
        <w:t>,00</w:t>
      </w:r>
      <w:r>
        <w:t xml:space="preserve"> КМ </w:t>
      </w:r>
      <w:proofErr w:type="spellStart"/>
      <w:r>
        <w:t>додијељен</w:t>
      </w:r>
      <w:proofErr w:type="spellEnd"/>
      <w:r>
        <w:t xml:space="preserve"> је из редовних буџетских средстава, у складу са Одлуком о </w:t>
      </w:r>
      <w:proofErr w:type="spellStart"/>
      <w:r>
        <w:t>расподјели</w:t>
      </w:r>
      <w:proofErr w:type="spellEnd"/>
      <w:r>
        <w:t xml:space="preserve"> средстава са буџетске позиције Помоћи </w:t>
      </w:r>
      <w:proofErr w:type="spellStart"/>
      <w:r>
        <w:t>вјерским</w:t>
      </w:r>
      <w:proofErr w:type="spellEnd"/>
      <w:r>
        <w:t xml:space="preserve"> заједницама (заштита културно-историјског </w:t>
      </w:r>
      <w:proofErr w:type="spellStart"/>
      <w:r>
        <w:t>наслијеђа</w:t>
      </w:r>
      <w:proofErr w:type="spellEnd"/>
      <w:r>
        <w:t xml:space="preserve">) („Службени гласник општине Прњавор“, бр. </w:t>
      </w:r>
      <w:r w:rsidR="00BF4728">
        <w:t>1/18</w:t>
      </w:r>
      <w:r>
        <w:t xml:space="preserve">), док је износ од </w:t>
      </w:r>
      <w:r w:rsidR="00E97428">
        <w:t>24.312,57</w:t>
      </w:r>
      <w:r w:rsidR="00965149">
        <w:t xml:space="preserve"> КМ </w:t>
      </w:r>
      <w:proofErr w:type="spellStart"/>
      <w:r w:rsidR="00965149">
        <w:t>додијељен</w:t>
      </w:r>
      <w:proofErr w:type="spellEnd"/>
      <w:r w:rsidR="00965149">
        <w:t xml:space="preserve"> из средстава</w:t>
      </w:r>
      <w:r>
        <w:t xml:space="preserve"> текуће буџетске резерве. </w:t>
      </w:r>
      <w:proofErr w:type="spellStart"/>
      <w:r>
        <w:t>Додијељена</w:t>
      </w:r>
      <w:proofErr w:type="spellEnd"/>
      <w:r>
        <w:t xml:space="preserve"> сре</w:t>
      </w:r>
      <w:r w:rsidR="007170EB">
        <w:t>дства у периоду 0</w:t>
      </w:r>
      <w:r w:rsidR="009B71BB">
        <w:t>1.01-3</w:t>
      </w:r>
      <w:r w:rsidR="00E97428">
        <w:t>1.</w:t>
      </w:r>
      <w:r w:rsidR="00E97428">
        <w:rPr>
          <w:lang w:val="sr-Cyrl-BA"/>
        </w:rPr>
        <w:t>12</w:t>
      </w:r>
      <w:r w:rsidR="005B1747">
        <w:t>.2020</w:t>
      </w:r>
      <w:r>
        <w:t xml:space="preserve">. године односе се на сљедеће </w:t>
      </w:r>
      <w:proofErr w:type="spellStart"/>
      <w:r>
        <w:t>вјерске</w:t>
      </w:r>
      <w:proofErr w:type="spellEnd"/>
      <w:r>
        <w:t xml:space="preserve"> заједнице:</w:t>
      </w:r>
    </w:p>
    <w:p w14:paraId="6D112A72" w14:textId="77777777" w:rsidR="00E97428" w:rsidRPr="00E97428" w:rsidRDefault="00E97428" w:rsidP="00E043EA">
      <w:pPr>
        <w:spacing w:before="120"/>
        <w:ind w:left="0" w:firstLine="0"/>
        <w:rPr>
          <w:lang w:val="sr-Cyrl-BA"/>
        </w:rPr>
      </w:pPr>
    </w:p>
    <w:p w14:paraId="46965691" w14:textId="77777777" w:rsidR="003E0BA8" w:rsidRDefault="003E0BA8" w:rsidP="00522DF9">
      <w:pPr>
        <w:autoSpaceDE w:val="0"/>
        <w:autoSpaceDN w:val="0"/>
        <w:adjustRightInd w:val="0"/>
        <w:ind w:left="0" w:right="0" w:firstLine="0"/>
        <w:jc w:val="center"/>
        <w:rPr>
          <w:rFonts w:eastAsia="Calibri"/>
          <w:bCs/>
          <w:lang w:eastAsia="en-US"/>
        </w:rPr>
      </w:pPr>
      <w:r>
        <w:rPr>
          <w:rFonts w:eastAsia="Calibri"/>
          <w:bCs/>
          <w:lang w:eastAsia="en-US"/>
        </w:rPr>
        <w:t>Таб</w:t>
      </w:r>
      <w:r w:rsidR="00E97428">
        <w:rPr>
          <w:rFonts w:eastAsia="Calibri"/>
          <w:bCs/>
          <w:lang w:eastAsia="en-US"/>
        </w:rPr>
        <w:t xml:space="preserve">ела бр. </w:t>
      </w:r>
      <w:r w:rsidR="00E97428">
        <w:rPr>
          <w:rFonts w:eastAsia="Calibri"/>
          <w:bCs/>
          <w:lang w:val="sr-Cyrl-BA" w:eastAsia="en-US"/>
        </w:rPr>
        <w:t>10</w:t>
      </w:r>
      <w:r>
        <w:rPr>
          <w:rFonts w:eastAsia="Calibri"/>
          <w:bCs/>
          <w:lang w:eastAsia="en-US"/>
        </w:rPr>
        <w:t xml:space="preserve">. Преглед </w:t>
      </w:r>
      <w:proofErr w:type="spellStart"/>
      <w:r>
        <w:rPr>
          <w:rFonts w:eastAsia="Calibri"/>
          <w:bCs/>
          <w:lang w:eastAsia="en-US"/>
        </w:rPr>
        <w:t>дозначених</w:t>
      </w:r>
      <w:proofErr w:type="spellEnd"/>
      <w:r>
        <w:rPr>
          <w:rFonts w:eastAsia="Calibri"/>
          <w:bCs/>
          <w:lang w:eastAsia="en-US"/>
        </w:rPr>
        <w:t xml:space="preserve"> средстава </w:t>
      </w:r>
      <w:proofErr w:type="spellStart"/>
      <w:r>
        <w:rPr>
          <w:rFonts w:eastAsia="Calibri"/>
          <w:bCs/>
          <w:lang w:eastAsia="en-US"/>
        </w:rPr>
        <w:t>вјерским</w:t>
      </w:r>
      <w:proofErr w:type="spellEnd"/>
      <w:r>
        <w:rPr>
          <w:rFonts w:eastAsia="Calibri"/>
          <w:bCs/>
          <w:lang w:eastAsia="en-US"/>
        </w:rPr>
        <w:t xml:space="preserve"> заједницама</w:t>
      </w:r>
    </w:p>
    <w:p w14:paraId="1083DBF6" w14:textId="77777777" w:rsidR="003E0BA8" w:rsidRDefault="00E97428" w:rsidP="003E0BA8">
      <w:pPr>
        <w:autoSpaceDE w:val="0"/>
        <w:autoSpaceDN w:val="0"/>
        <w:adjustRightInd w:val="0"/>
        <w:ind w:left="0" w:right="0" w:firstLine="0"/>
        <w:jc w:val="center"/>
        <w:rPr>
          <w:rFonts w:eastAsia="Calibri"/>
          <w:bCs/>
          <w:lang w:val="sr-Cyrl-BA" w:eastAsia="en-US"/>
        </w:rPr>
      </w:pPr>
      <w:r>
        <w:rPr>
          <w:rFonts w:eastAsia="Calibri"/>
          <w:bCs/>
          <w:lang w:eastAsia="en-US"/>
        </w:rPr>
        <w:t>у периоду 01.01-3</w:t>
      </w:r>
      <w:r>
        <w:rPr>
          <w:rFonts w:eastAsia="Calibri"/>
          <w:bCs/>
          <w:lang w:val="sr-Cyrl-BA" w:eastAsia="en-US"/>
        </w:rPr>
        <w:t>1</w:t>
      </w:r>
      <w:r>
        <w:rPr>
          <w:rFonts w:eastAsia="Calibri"/>
          <w:bCs/>
          <w:lang w:eastAsia="en-US"/>
        </w:rPr>
        <w:t>.</w:t>
      </w:r>
      <w:r>
        <w:rPr>
          <w:rFonts w:eastAsia="Calibri"/>
          <w:bCs/>
          <w:lang w:val="sr-Cyrl-BA" w:eastAsia="en-US"/>
        </w:rPr>
        <w:t>12</w:t>
      </w:r>
      <w:r w:rsidR="005B1747">
        <w:rPr>
          <w:rFonts w:eastAsia="Calibri"/>
          <w:bCs/>
          <w:lang w:eastAsia="en-US"/>
        </w:rPr>
        <w:t>.2020</w:t>
      </w:r>
      <w:r w:rsidR="003E0BA8">
        <w:rPr>
          <w:rFonts w:eastAsia="Calibri"/>
          <w:bCs/>
          <w:lang w:eastAsia="en-US"/>
        </w:rPr>
        <w:t>. године</w:t>
      </w:r>
    </w:p>
    <w:tbl>
      <w:tblPr>
        <w:tblW w:w="9521" w:type="dxa"/>
        <w:tblInd w:w="85" w:type="dxa"/>
        <w:tblLook w:val="04A0" w:firstRow="1" w:lastRow="0" w:firstColumn="1" w:lastColumn="0" w:noHBand="0" w:noVBand="1"/>
      </w:tblPr>
      <w:tblGrid>
        <w:gridCol w:w="539"/>
        <w:gridCol w:w="5013"/>
        <w:gridCol w:w="1275"/>
        <w:gridCol w:w="1405"/>
        <w:gridCol w:w="1289"/>
      </w:tblGrid>
      <w:tr w:rsidR="00E97428" w:rsidRPr="00E97428" w14:paraId="5B5048F5" w14:textId="77777777" w:rsidTr="00E97428">
        <w:trPr>
          <w:trHeight w:val="330"/>
          <w:tblHeader/>
        </w:trPr>
        <w:tc>
          <w:tcPr>
            <w:tcW w:w="539"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14:paraId="2D9A1355" w14:textId="77777777" w:rsidR="00E97428" w:rsidRPr="00E97428" w:rsidRDefault="00E97428" w:rsidP="00E97428">
            <w:pPr>
              <w:ind w:left="0" w:right="0" w:firstLine="0"/>
              <w:jc w:val="center"/>
              <w:rPr>
                <w:b/>
                <w:bCs/>
                <w:sz w:val="20"/>
                <w:szCs w:val="20"/>
                <w:lang w:val="sr-Latn-BA" w:eastAsia="sr-Latn-BA"/>
              </w:rPr>
            </w:pPr>
            <w:proofErr w:type="spellStart"/>
            <w:r w:rsidRPr="00E97428">
              <w:rPr>
                <w:b/>
                <w:bCs/>
                <w:sz w:val="20"/>
                <w:szCs w:val="20"/>
                <w:lang w:val="sr-Latn-BA" w:eastAsia="sr-Latn-BA"/>
              </w:rPr>
              <w:t>Р.б</w:t>
            </w:r>
            <w:proofErr w:type="spellEnd"/>
            <w:r w:rsidRPr="00E97428">
              <w:rPr>
                <w:b/>
                <w:bCs/>
                <w:sz w:val="20"/>
                <w:szCs w:val="20"/>
                <w:lang w:val="sr-Latn-BA" w:eastAsia="sr-Latn-BA"/>
              </w:rPr>
              <w:t>.</w:t>
            </w:r>
          </w:p>
        </w:tc>
        <w:tc>
          <w:tcPr>
            <w:tcW w:w="5013" w:type="dxa"/>
            <w:vMerge w:val="restart"/>
            <w:tcBorders>
              <w:top w:val="double" w:sz="6" w:space="0" w:color="auto"/>
              <w:left w:val="nil"/>
              <w:bottom w:val="double" w:sz="6" w:space="0" w:color="000000"/>
              <w:right w:val="single" w:sz="4" w:space="0" w:color="auto"/>
            </w:tcBorders>
            <w:shd w:val="clear" w:color="auto" w:fill="auto"/>
            <w:vAlign w:val="center"/>
            <w:hideMark/>
          </w:tcPr>
          <w:p w14:paraId="0AE468BE" w14:textId="77777777" w:rsidR="00E97428" w:rsidRPr="00E97428" w:rsidRDefault="00E97428" w:rsidP="00E97428">
            <w:pPr>
              <w:ind w:left="0" w:right="0" w:firstLine="0"/>
              <w:jc w:val="center"/>
              <w:rPr>
                <w:b/>
                <w:bCs/>
                <w:sz w:val="20"/>
                <w:szCs w:val="20"/>
                <w:lang w:val="sr-Latn-BA" w:eastAsia="sr-Latn-BA"/>
              </w:rPr>
            </w:pPr>
            <w:proofErr w:type="spellStart"/>
            <w:r w:rsidRPr="00E97428">
              <w:rPr>
                <w:b/>
                <w:bCs/>
                <w:sz w:val="20"/>
                <w:szCs w:val="20"/>
                <w:lang w:val="sr-Latn-BA" w:eastAsia="sr-Latn-BA"/>
              </w:rPr>
              <w:t>Назив</w:t>
            </w:r>
            <w:proofErr w:type="spellEnd"/>
            <w:r w:rsidRPr="00E97428">
              <w:rPr>
                <w:b/>
                <w:bCs/>
                <w:sz w:val="20"/>
                <w:szCs w:val="20"/>
                <w:lang w:val="sr-Latn-BA" w:eastAsia="sr-Latn-BA"/>
              </w:rPr>
              <w:t xml:space="preserve"> </w:t>
            </w:r>
            <w:proofErr w:type="spellStart"/>
            <w:r w:rsidRPr="00E97428">
              <w:rPr>
                <w:b/>
                <w:bCs/>
                <w:sz w:val="20"/>
                <w:szCs w:val="20"/>
                <w:lang w:val="sr-Latn-BA" w:eastAsia="sr-Latn-BA"/>
              </w:rPr>
              <w:t>вјерске</w:t>
            </w:r>
            <w:proofErr w:type="spellEnd"/>
            <w:r w:rsidRPr="00E97428">
              <w:rPr>
                <w:b/>
                <w:bCs/>
                <w:sz w:val="20"/>
                <w:szCs w:val="20"/>
                <w:lang w:val="sr-Latn-BA" w:eastAsia="sr-Latn-BA"/>
              </w:rPr>
              <w:t xml:space="preserve"> </w:t>
            </w:r>
            <w:proofErr w:type="spellStart"/>
            <w:r w:rsidRPr="00E97428">
              <w:rPr>
                <w:b/>
                <w:bCs/>
                <w:sz w:val="20"/>
                <w:szCs w:val="20"/>
                <w:lang w:val="sr-Latn-BA" w:eastAsia="sr-Latn-BA"/>
              </w:rPr>
              <w:t>заједнице</w:t>
            </w:r>
            <w:proofErr w:type="spellEnd"/>
          </w:p>
        </w:tc>
        <w:tc>
          <w:tcPr>
            <w:tcW w:w="3969" w:type="dxa"/>
            <w:gridSpan w:val="3"/>
            <w:tcBorders>
              <w:top w:val="double" w:sz="6" w:space="0" w:color="auto"/>
              <w:left w:val="nil"/>
              <w:bottom w:val="single" w:sz="4" w:space="0" w:color="auto"/>
              <w:right w:val="double" w:sz="6" w:space="0" w:color="000000"/>
            </w:tcBorders>
            <w:shd w:val="clear" w:color="auto" w:fill="auto"/>
            <w:vAlign w:val="center"/>
            <w:hideMark/>
          </w:tcPr>
          <w:p w14:paraId="7792F1B9" w14:textId="77777777" w:rsidR="00E97428" w:rsidRPr="00E97428" w:rsidRDefault="00E97428" w:rsidP="00E97428">
            <w:pPr>
              <w:ind w:left="0" w:right="0" w:firstLine="0"/>
              <w:jc w:val="center"/>
              <w:rPr>
                <w:b/>
                <w:bCs/>
                <w:sz w:val="20"/>
                <w:szCs w:val="20"/>
                <w:lang w:val="sr-Latn-BA" w:eastAsia="sr-Latn-BA"/>
              </w:rPr>
            </w:pPr>
            <w:proofErr w:type="spellStart"/>
            <w:r w:rsidRPr="00E97428">
              <w:rPr>
                <w:b/>
                <w:bCs/>
                <w:sz w:val="20"/>
                <w:szCs w:val="20"/>
                <w:lang w:val="sr-Latn-BA" w:eastAsia="sr-Latn-BA"/>
              </w:rPr>
              <w:t>Износ</w:t>
            </w:r>
            <w:proofErr w:type="spellEnd"/>
            <w:r w:rsidRPr="00E97428">
              <w:rPr>
                <w:b/>
                <w:bCs/>
                <w:sz w:val="20"/>
                <w:szCs w:val="20"/>
                <w:lang w:val="sr-Latn-BA" w:eastAsia="sr-Latn-BA"/>
              </w:rPr>
              <w:t xml:space="preserve"> (КМ)</w:t>
            </w:r>
          </w:p>
        </w:tc>
      </w:tr>
      <w:tr w:rsidR="00E97428" w:rsidRPr="00E97428" w14:paraId="319400A9" w14:textId="77777777" w:rsidTr="00E97428">
        <w:trPr>
          <w:trHeight w:val="330"/>
          <w:tblHeader/>
        </w:trPr>
        <w:tc>
          <w:tcPr>
            <w:tcW w:w="539" w:type="dxa"/>
            <w:vMerge/>
            <w:tcBorders>
              <w:top w:val="double" w:sz="6" w:space="0" w:color="auto"/>
              <w:left w:val="double" w:sz="6" w:space="0" w:color="auto"/>
              <w:bottom w:val="double" w:sz="6" w:space="0" w:color="000000"/>
              <w:right w:val="single" w:sz="4" w:space="0" w:color="auto"/>
            </w:tcBorders>
            <w:vAlign w:val="center"/>
            <w:hideMark/>
          </w:tcPr>
          <w:p w14:paraId="320BB77F" w14:textId="77777777" w:rsidR="00E97428" w:rsidRPr="00E97428" w:rsidRDefault="00E97428" w:rsidP="00E97428">
            <w:pPr>
              <w:ind w:left="0" w:right="0" w:firstLine="0"/>
              <w:jc w:val="left"/>
              <w:rPr>
                <w:b/>
                <w:bCs/>
                <w:sz w:val="20"/>
                <w:szCs w:val="20"/>
                <w:lang w:val="sr-Latn-BA" w:eastAsia="sr-Latn-BA"/>
              </w:rPr>
            </w:pPr>
          </w:p>
        </w:tc>
        <w:tc>
          <w:tcPr>
            <w:tcW w:w="5013" w:type="dxa"/>
            <w:vMerge/>
            <w:tcBorders>
              <w:top w:val="double" w:sz="6" w:space="0" w:color="auto"/>
              <w:left w:val="nil"/>
              <w:bottom w:val="double" w:sz="6" w:space="0" w:color="000000"/>
              <w:right w:val="single" w:sz="4" w:space="0" w:color="auto"/>
            </w:tcBorders>
            <w:vAlign w:val="center"/>
            <w:hideMark/>
          </w:tcPr>
          <w:p w14:paraId="068B4A79" w14:textId="77777777" w:rsidR="00E97428" w:rsidRPr="00E97428" w:rsidRDefault="00E97428" w:rsidP="00E97428">
            <w:pPr>
              <w:ind w:left="0" w:right="0" w:firstLine="0"/>
              <w:jc w:val="left"/>
              <w:rPr>
                <w:b/>
                <w:bCs/>
                <w:sz w:val="20"/>
                <w:szCs w:val="20"/>
                <w:lang w:val="sr-Latn-BA" w:eastAsia="sr-Latn-BA"/>
              </w:rPr>
            </w:pPr>
          </w:p>
        </w:tc>
        <w:tc>
          <w:tcPr>
            <w:tcW w:w="1275" w:type="dxa"/>
            <w:tcBorders>
              <w:top w:val="nil"/>
              <w:left w:val="nil"/>
              <w:bottom w:val="double" w:sz="6" w:space="0" w:color="auto"/>
              <w:right w:val="single" w:sz="4" w:space="0" w:color="auto"/>
            </w:tcBorders>
            <w:shd w:val="clear" w:color="auto" w:fill="auto"/>
            <w:vAlign w:val="center"/>
            <w:hideMark/>
          </w:tcPr>
          <w:p w14:paraId="28B4B470" w14:textId="77777777" w:rsidR="00E97428" w:rsidRPr="00E97428" w:rsidRDefault="00E97428" w:rsidP="00E97428">
            <w:pPr>
              <w:ind w:left="0" w:right="0" w:firstLine="0"/>
              <w:jc w:val="center"/>
              <w:rPr>
                <w:b/>
                <w:bCs/>
                <w:sz w:val="20"/>
                <w:szCs w:val="20"/>
                <w:lang w:val="sr-Latn-BA" w:eastAsia="sr-Latn-BA"/>
              </w:rPr>
            </w:pPr>
            <w:proofErr w:type="spellStart"/>
            <w:r w:rsidRPr="00E97428">
              <w:rPr>
                <w:b/>
                <w:bCs/>
                <w:sz w:val="20"/>
                <w:szCs w:val="20"/>
                <w:lang w:val="sr-Latn-BA" w:eastAsia="sr-Latn-BA"/>
              </w:rPr>
              <w:t>Редовно</w:t>
            </w:r>
            <w:proofErr w:type="spellEnd"/>
          </w:p>
        </w:tc>
        <w:tc>
          <w:tcPr>
            <w:tcW w:w="1405" w:type="dxa"/>
            <w:tcBorders>
              <w:top w:val="nil"/>
              <w:left w:val="nil"/>
              <w:bottom w:val="double" w:sz="6" w:space="0" w:color="auto"/>
              <w:right w:val="single" w:sz="4" w:space="0" w:color="auto"/>
            </w:tcBorders>
            <w:shd w:val="clear" w:color="auto" w:fill="auto"/>
            <w:noWrap/>
            <w:vAlign w:val="center"/>
            <w:hideMark/>
          </w:tcPr>
          <w:p w14:paraId="377AF42C" w14:textId="77777777" w:rsidR="00E97428" w:rsidRPr="00E97428" w:rsidRDefault="00E97428" w:rsidP="00E97428">
            <w:pPr>
              <w:ind w:left="0" w:right="0" w:firstLine="0"/>
              <w:jc w:val="center"/>
              <w:rPr>
                <w:b/>
                <w:bCs/>
                <w:sz w:val="20"/>
                <w:szCs w:val="20"/>
                <w:lang w:val="sr-Latn-BA" w:eastAsia="sr-Latn-BA"/>
              </w:rPr>
            </w:pPr>
            <w:proofErr w:type="spellStart"/>
            <w:r w:rsidRPr="00E97428">
              <w:rPr>
                <w:b/>
                <w:bCs/>
                <w:sz w:val="20"/>
                <w:szCs w:val="20"/>
                <w:lang w:val="sr-Latn-BA" w:eastAsia="sr-Latn-BA"/>
              </w:rPr>
              <w:t>Буџ</w:t>
            </w:r>
            <w:proofErr w:type="spellEnd"/>
            <w:r w:rsidRPr="00E97428">
              <w:rPr>
                <w:b/>
                <w:bCs/>
                <w:sz w:val="20"/>
                <w:szCs w:val="20"/>
                <w:lang w:val="sr-Latn-BA" w:eastAsia="sr-Latn-BA"/>
              </w:rPr>
              <w:t xml:space="preserve">. </w:t>
            </w:r>
            <w:proofErr w:type="spellStart"/>
            <w:r w:rsidRPr="00E97428">
              <w:rPr>
                <w:b/>
                <w:bCs/>
                <w:sz w:val="20"/>
                <w:szCs w:val="20"/>
                <w:lang w:val="sr-Latn-BA" w:eastAsia="sr-Latn-BA"/>
              </w:rPr>
              <w:t>резерва</w:t>
            </w:r>
            <w:proofErr w:type="spellEnd"/>
          </w:p>
        </w:tc>
        <w:tc>
          <w:tcPr>
            <w:tcW w:w="1289" w:type="dxa"/>
            <w:tcBorders>
              <w:top w:val="nil"/>
              <w:left w:val="nil"/>
              <w:bottom w:val="double" w:sz="6" w:space="0" w:color="auto"/>
              <w:right w:val="double" w:sz="6" w:space="0" w:color="auto"/>
            </w:tcBorders>
            <w:shd w:val="clear" w:color="auto" w:fill="auto"/>
            <w:noWrap/>
            <w:vAlign w:val="center"/>
            <w:hideMark/>
          </w:tcPr>
          <w:p w14:paraId="02F5FA67" w14:textId="77777777" w:rsidR="00E97428" w:rsidRPr="00E97428" w:rsidRDefault="00E97428" w:rsidP="00E97428">
            <w:pPr>
              <w:ind w:left="0" w:right="0" w:firstLine="0"/>
              <w:jc w:val="center"/>
              <w:rPr>
                <w:b/>
                <w:bCs/>
                <w:sz w:val="20"/>
                <w:szCs w:val="20"/>
                <w:lang w:val="sr-Latn-BA" w:eastAsia="sr-Latn-BA"/>
              </w:rPr>
            </w:pPr>
            <w:proofErr w:type="spellStart"/>
            <w:r w:rsidRPr="00E97428">
              <w:rPr>
                <w:b/>
                <w:bCs/>
                <w:sz w:val="20"/>
                <w:szCs w:val="20"/>
                <w:lang w:val="sr-Latn-BA" w:eastAsia="sr-Latn-BA"/>
              </w:rPr>
              <w:t>Укупно</w:t>
            </w:r>
            <w:proofErr w:type="spellEnd"/>
          </w:p>
        </w:tc>
      </w:tr>
      <w:tr w:rsidR="00E97428" w:rsidRPr="00E97428" w14:paraId="5FD5214A" w14:textId="77777777" w:rsidTr="00E97428">
        <w:trPr>
          <w:trHeight w:val="270"/>
        </w:trPr>
        <w:tc>
          <w:tcPr>
            <w:tcW w:w="539"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15EA1290" w14:textId="77777777" w:rsidR="00E97428" w:rsidRPr="00E97428" w:rsidRDefault="00E97428" w:rsidP="00E97428">
            <w:pPr>
              <w:ind w:left="0" w:right="0" w:firstLine="0"/>
              <w:jc w:val="center"/>
              <w:rPr>
                <w:sz w:val="20"/>
                <w:szCs w:val="20"/>
                <w:lang w:val="sr-Latn-BA" w:eastAsia="sr-Latn-BA"/>
              </w:rPr>
            </w:pPr>
            <w:r w:rsidRPr="00E97428">
              <w:rPr>
                <w:sz w:val="20"/>
                <w:szCs w:val="20"/>
                <w:lang w:val="sr-Latn-BA" w:eastAsia="sr-Latn-BA"/>
              </w:rPr>
              <w:t>1</w:t>
            </w:r>
          </w:p>
        </w:tc>
        <w:tc>
          <w:tcPr>
            <w:tcW w:w="5013" w:type="dxa"/>
            <w:tcBorders>
              <w:top w:val="nil"/>
              <w:left w:val="nil"/>
              <w:bottom w:val="single" w:sz="4" w:space="0" w:color="auto"/>
              <w:right w:val="single" w:sz="4" w:space="0" w:color="auto"/>
            </w:tcBorders>
            <w:shd w:val="clear" w:color="auto" w:fill="auto"/>
            <w:noWrap/>
            <w:vAlign w:val="center"/>
            <w:hideMark/>
          </w:tcPr>
          <w:p w14:paraId="4FD6ED83" w14:textId="77777777" w:rsidR="00E97428" w:rsidRPr="00E97428" w:rsidRDefault="00E97428" w:rsidP="00E97428">
            <w:pPr>
              <w:ind w:left="0" w:right="0" w:firstLine="0"/>
              <w:jc w:val="left"/>
              <w:rPr>
                <w:sz w:val="20"/>
                <w:szCs w:val="20"/>
                <w:lang w:val="sr-Latn-BA" w:eastAsia="sr-Latn-BA"/>
              </w:rPr>
            </w:pPr>
            <w:r w:rsidRPr="00E97428">
              <w:rPr>
                <w:sz w:val="20"/>
                <w:szCs w:val="20"/>
                <w:lang w:val="sr-Latn-BA" w:eastAsia="sr-Latn-BA"/>
              </w:rPr>
              <w:t xml:space="preserve">СПЦО </w:t>
            </w:r>
            <w:proofErr w:type="spellStart"/>
            <w:r w:rsidRPr="00E97428">
              <w:rPr>
                <w:sz w:val="20"/>
                <w:szCs w:val="20"/>
                <w:lang w:val="sr-Latn-BA" w:eastAsia="sr-Latn-BA"/>
              </w:rPr>
              <w:t>Слатина</w:t>
            </w:r>
            <w:proofErr w:type="spellEnd"/>
            <w:r w:rsidRPr="00E97428">
              <w:rPr>
                <w:sz w:val="20"/>
                <w:szCs w:val="20"/>
                <w:lang w:val="sr-Latn-BA" w:eastAsia="sr-Latn-BA"/>
              </w:rPr>
              <w:t xml:space="preserve"> </w:t>
            </w:r>
            <w:proofErr w:type="spellStart"/>
            <w:r w:rsidRPr="00E97428">
              <w:rPr>
                <w:sz w:val="20"/>
                <w:szCs w:val="20"/>
                <w:lang w:val="sr-Latn-BA" w:eastAsia="sr-Latn-BA"/>
              </w:rPr>
              <w:t>Прњавор</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3629435"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7.300,00</w:t>
            </w:r>
          </w:p>
        </w:tc>
        <w:tc>
          <w:tcPr>
            <w:tcW w:w="1405" w:type="dxa"/>
            <w:tcBorders>
              <w:top w:val="single" w:sz="4" w:space="0" w:color="auto"/>
              <w:left w:val="nil"/>
              <w:bottom w:val="single" w:sz="4" w:space="0" w:color="auto"/>
              <w:right w:val="single" w:sz="4" w:space="0" w:color="auto"/>
            </w:tcBorders>
            <w:shd w:val="clear" w:color="auto" w:fill="auto"/>
            <w:noWrap/>
            <w:vAlign w:val="center"/>
            <w:hideMark/>
          </w:tcPr>
          <w:p w14:paraId="77DC7205"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0,00</w:t>
            </w:r>
          </w:p>
        </w:tc>
        <w:tc>
          <w:tcPr>
            <w:tcW w:w="1289" w:type="dxa"/>
            <w:tcBorders>
              <w:top w:val="single" w:sz="4" w:space="0" w:color="auto"/>
              <w:left w:val="nil"/>
              <w:bottom w:val="single" w:sz="4" w:space="0" w:color="auto"/>
              <w:right w:val="double" w:sz="6" w:space="0" w:color="auto"/>
            </w:tcBorders>
            <w:shd w:val="clear" w:color="auto" w:fill="auto"/>
            <w:noWrap/>
            <w:vAlign w:val="center"/>
            <w:hideMark/>
          </w:tcPr>
          <w:p w14:paraId="5F0F0F91"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7.300,00</w:t>
            </w:r>
          </w:p>
        </w:tc>
      </w:tr>
      <w:tr w:rsidR="00E97428" w:rsidRPr="00E97428" w14:paraId="19351925" w14:textId="77777777" w:rsidTr="00E97428">
        <w:trPr>
          <w:trHeight w:val="270"/>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0E6AF824" w14:textId="77777777" w:rsidR="00E97428" w:rsidRPr="00E97428" w:rsidRDefault="00E97428" w:rsidP="00E97428">
            <w:pPr>
              <w:ind w:left="0" w:right="0" w:firstLine="0"/>
              <w:jc w:val="center"/>
              <w:rPr>
                <w:sz w:val="20"/>
                <w:szCs w:val="20"/>
                <w:lang w:val="sr-Latn-BA" w:eastAsia="sr-Latn-BA"/>
              </w:rPr>
            </w:pPr>
            <w:r w:rsidRPr="00E97428">
              <w:rPr>
                <w:sz w:val="20"/>
                <w:szCs w:val="20"/>
                <w:lang w:val="sr-Latn-BA" w:eastAsia="sr-Latn-BA"/>
              </w:rPr>
              <w:t>2</w:t>
            </w:r>
          </w:p>
        </w:tc>
        <w:tc>
          <w:tcPr>
            <w:tcW w:w="5013" w:type="dxa"/>
            <w:tcBorders>
              <w:top w:val="nil"/>
              <w:left w:val="nil"/>
              <w:bottom w:val="single" w:sz="4" w:space="0" w:color="auto"/>
              <w:right w:val="single" w:sz="4" w:space="0" w:color="auto"/>
            </w:tcBorders>
            <w:shd w:val="clear" w:color="auto" w:fill="auto"/>
            <w:noWrap/>
            <w:vAlign w:val="center"/>
            <w:hideMark/>
          </w:tcPr>
          <w:p w14:paraId="38BE31E7" w14:textId="77777777" w:rsidR="00E97428" w:rsidRPr="00E97428" w:rsidRDefault="00E97428" w:rsidP="00E97428">
            <w:pPr>
              <w:ind w:left="0" w:right="0" w:firstLine="0"/>
              <w:jc w:val="left"/>
              <w:rPr>
                <w:sz w:val="20"/>
                <w:szCs w:val="20"/>
                <w:lang w:val="sr-Latn-BA" w:eastAsia="sr-Latn-BA"/>
              </w:rPr>
            </w:pPr>
            <w:r w:rsidRPr="00E97428">
              <w:rPr>
                <w:sz w:val="20"/>
                <w:szCs w:val="20"/>
                <w:lang w:val="sr-Latn-BA" w:eastAsia="sr-Latn-BA"/>
              </w:rPr>
              <w:t xml:space="preserve">СПЦО </w:t>
            </w:r>
            <w:proofErr w:type="spellStart"/>
            <w:r w:rsidRPr="00E97428">
              <w:rPr>
                <w:sz w:val="20"/>
                <w:szCs w:val="20"/>
                <w:lang w:val="sr-Latn-BA" w:eastAsia="sr-Latn-BA"/>
              </w:rPr>
              <w:t>Штрпци</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738D46ED"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15.000,00</w:t>
            </w:r>
          </w:p>
        </w:tc>
        <w:tc>
          <w:tcPr>
            <w:tcW w:w="1405" w:type="dxa"/>
            <w:tcBorders>
              <w:top w:val="nil"/>
              <w:left w:val="nil"/>
              <w:bottom w:val="single" w:sz="4" w:space="0" w:color="auto"/>
              <w:right w:val="single" w:sz="4" w:space="0" w:color="auto"/>
            </w:tcBorders>
            <w:shd w:val="clear" w:color="auto" w:fill="auto"/>
            <w:noWrap/>
            <w:vAlign w:val="center"/>
            <w:hideMark/>
          </w:tcPr>
          <w:p w14:paraId="0DE6F467"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0,00</w:t>
            </w:r>
          </w:p>
        </w:tc>
        <w:tc>
          <w:tcPr>
            <w:tcW w:w="1289" w:type="dxa"/>
            <w:tcBorders>
              <w:top w:val="nil"/>
              <w:left w:val="nil"/>
              <w:bottom w:val="single" w:sz="4" w:space="0" w:color="auto"/>
              <w:right w:val="double" w:sz="6" w:space="0" w:color="auto"/>
            </w:tcBorders>
            <w:shd w:val="clear" w:color="auto" w:fill="auto"/>
            <w:noWrap/>
            <w:vAlign w:val="center"/>
            <w:hideMark/>
          </w:tcPr>
          <w:p w14:paraId="703AC218"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15.000,00</w:t>
            </w:r>
          </w:p>
        </w:tc>
      </w:tr>
      <w:tr w:rsidR="00E97428" w:rsidRPr="00E97428" w14:paraId="1E8473ED" w14:textId="77777777" w:rsidTr="00E97428">
        <w:trPr>
          <w:trHeight w:val="270"/>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25124ED3" w14:textId="77777777" w:rsidR="00E97428" w:rsidRPr="00E97428" w:rsidRDefault="00E97428" w:rsidP="00E97428">
            <w:pPr>
              <w:ind w:left="0" w:right="0" w:firstLine="0"/>
              <w:jc w:val="center"/>
              <w:rPr>
                <w:sz w:val="20"/>
                <w:szCs w:val="20"/>
                <w:lang w:val="sr-Latn-BA" w:eastAsia="sr-Latn-BA"/>
              </w:rPr>
            </w:pPr>
            <w:r w:rsidRPr="00E97428">
              <w:rPr>
                <w:sz w:val="20"/>
                <w:szCs w:val="20"/>
                <w:lang w:val="sr-Latn-BA" w:eastAsia="sr-Latn-BA"/>
              </w:rPr>
              <w:t>3</w:t>
            </w:r>
          </w:p>
        </w:tc>
        <w:tc>
          <w:tcPr>
            <w:tcW w:w="5013" w:type="dxa"/>
            <w:tcBorders>
              <w:top w:val="nil"/>
              <w:left w:val="nil"/>
              <w:bottom w:val="single" w:sz="4" w:space="0" w:color="auto"/>
              <w:right w:val="single" w:sz="4" w:space="0" w:color="auto"/>
            </w:tcBorders>
            <w:shd w:val="clear" w:color="auto" w:fill="auto"/>
            <w:noWrap/>
            <w:vAlign w:val="center"/>
            <w:hideMark/>
          </w:tcPr>
          <w:p w14:paraId="4A66B8D6" w14:textId="77777777" w:rsidR="00E97428" w:rsidRPr="00E97428" w:rsidRDefault="00E97428" w:rsidP="00E97428">
            <w:pPr>
              <w:ind w:left="0" w:right="0" w:firstLine="0"/>
              <w:jc w:val="left"/>
              <w:rPr>
                <w:sz w:val="20"/>
                <w:szCs w:val="20"/>
                <w:lang w:val="sr-Latn-BA" w:eastAsia="sr-Latn-BA"/>
              </w:rPr>
            </w:pPr>
            <w:r w:rsidRPr="00E97428">
              <w:rPr>
                <w:sz w:val="20"/>
                <w:szCs w:val="20"/>
                <w:lang w:val="sr-Latn-BA" w:eastAsia="sr-Latn-BA"/>
              </w:rPr>
              <w:t xml:space="preserve">СПЦО </w:t>
            </w:r>
            <w:proofErr w:type="spellStart"/>
            <w:r w:rsidRPr="00E97428">
              <w:rPr>
                <w:sz w:val="20"/>
                <w:szCs w:val="20"/>
                <w:lang w:val="sr-Latn-BA" w:eastAsia="sr-Latn-BA"/>
              </w:rPr>
              <w:t>Насеобина</w:t>
            </w:r>
            <w:proofErr w:type="spellEnd"/>
            <w:r w:rsidRPr="00E97428">
              <w:rPr>
                <w:sz w:val="20"/>
                <w:szCs w:val="20"/>
                <w:lang w:val="sr-Latn-BA" w:eastAsia="sr-Latn-BA"/>
              </w:rPr>
              <w:t xml:space="preserve"> </w:t>
            </w:r>
            <w:proofErr w:type="spellStart"/>
            <w:r w:rsidRPr="00E97428">
              <w:rPr>
                <w:sz w:val="20"/>
                <w:szCs w:val="20"/>
                <w:lang w:val="sr-Latn-BA" w:eastAsia="sr-Latn-BA"/>
              </w:rPr>
              <w:t>Лишња</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61CDCED2"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3.500,00</w:t>
            </w:r>
          </w:p>
        </w:tc>
        <w:tc>
          <w:tcPr>
            <w:tcW w:w="1405" w:type="dxa"/>
            <w:tcBorders>
              <w:top w:val="nil"/>
              <w:left w:val="nil"/>
              <w:bottom w:val="single" w:sz="4" w:space="0" w:color="auto"/>
              <w:right w:val="single" w:sz="4" w:space="0" w:color="auto"/>
            </w:tcBorders>
            <w:shd w:val="clear" w:color="auto" w:fill="auto"/>
            <w:noWrap/>
            <w:vAlign w:val="center"/>
            <w:hideMark/>
          </w:tcPr>
          <w:p w14:paraId="2F842967"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2.300,00</w:t>
            </w:r>
          </w:p>
        </w:tc>
        <w:tc>
          <w:tcPr>
            <w:tcW w:w="1289" w:type="dxa"/>
            <w:tcBorders>
              <w:top w:val="nil"/>
              <w:left w:val="nil"/>
              <w:bottom w:val="single" w:sz="4" w:space="0" w:color="auto"/>
              <w:right w:val="double" w:sz="6" w:space="0" w:color="auto"/>
            </w:tcBorders>
            <w:shd w:val="clear" w:color="auto" w:fill="auto"/>
            <w:noWrap/>
            <w:vAlign w:val="center"/>
            <w:hideMark/>
          </w:tcPr>
          <w:p w14:paraId="7C352975"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5.800,00</w:t>
            </w:r>
          </w:p>
        </w:tc>
      </w:tr>
      <w:tr w:rsidR="00E97428" w:rsidRPr="00E97428" w14:paraId="7374A18D" w14:textId="77777777" w:rsidTr="00E97428">
        <w:trPr>
          <w:trHeight w:val="270"/>
        </w:trPr>
        <w:tc>
          <w:tcPr>
            <w:tcW w:w="539"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5A601FD7" w14:textId="77777777" w:rsidR="00E97428" w:rsidRPr="00E97428" w:rsidRDefault="00E97428" w:rsidP="00E97428">
            <w:pPr>
              <w:ind w:left="0" w:right="0" w:firstLine="0"/>
              <w:jc w:val="center"/>
              <w:rPr>
                <w:sz w:val="20"/>
                <w:szCs w:val="20"/>
                <w:lang w:val="sr-Latn-BA" w:eastAsia="sr-Latn-BA"/>
              </w:rPr>
            </w:pPr>
            <w:r w:rsidRPr="00E97428">
              <w:rPr>
                <w:sz w:val="20"/>
                <w:szCs w:val="20"/>
                <w:lang w:val="sr-Latn-BA" w:eastAsia="sr-Latn-BA"/>
              </w:rPr>
              <w:lastRenderedPageBreak/>
              <w:t>4</w:t>
            </w:r>
          </w:p>
        </w:tc>
        <w:tc>
          <w:tcPr>
            <w:tcW w:w="5013" w:type="dxa"/>
            <w:tcBorders>
              <w:top w:val="nil"/>
              <w:left w:val="nil"/>
              <w:bottom w:val="single" w:sz="4" w:space="0" w:color="auto"/>
              <w:right w:val="single" w:sz="4" w:space="0" w:color="auto"/>
            </w:tcBorders>
            <w:shd w:val="clear" w:color="auto" w:fill="auto"/>
            <w:noWrap/>
            <w:vAlign w:val="center"/>
            <w:hideMark/>
          </w:tcPr>
          <w:p w14:paraId="34B265A8" w14:textId="77777777" w:rsidR="00E97428" w:rsidRPr="00E97428" w:rsidRDefault="00E97428" w:rsidP="00E97428">
            <w:pPr>
              <w:ind w:left="0" w:right="0" w:firstLine="0"/>
              <w:jc w:val="left"/>
              <w:rPr>
                <w:sz w:val="20"/>
                <w:szCs w:val="20"/>
                <w:lang w:val="sr-Latn-BA" w:eastAsia="sr-Latn-BA"/>
              </w:rPr>
            </w:pPr>
            <w:r w:rsidRPr="00E97428">
              <w:rPr>
                <w:sz w:val="20"/>
                <w:szCs w:val="20"/>
                <w:lang w:val="sr-Latn-BA" w:eastAsia="sr-Latn-BA"/>
              </w:rPr>
              <w:t xml:space="preserve">СПЦО </w:t>
            </w:r>
            <w:proofErr w:type="spellStart"/>
            <w:r w:rsidRPr="00E97428">
              <w:rPr>
                <w:sz w:val="20"/>
                <w:szCs w:val="20"/>
                <w:lang w:val="sr-Latn-BA" w:eastAsia="sr-Latn-BA"/>
              </w:rPr>
              <w:t>Друговићи</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AF29CBF"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8.000,00</w:t>
            </w:r>
          </w:p>
        </w:tc>
        <w:tc>
          <w:tcPr>
            <w:tcW w:w="1405" w:type="dxa"/>
            <w:tcBorders>
              <w:top w:val="single" w:sz="4" w:space="0" w:color="auto"/>
              <w:left w:val="nil"/>
              <w:bottom w:val="single" w:sz="4" w:space="0" w:color="auto"/>
              <w:right w:val="single" w:sz="4" w:space="0" w:color="auto"/>
            </w:tcBorders>
            <w:shd w:val="clear" w:color="auto" w:fill="auto"/>
            <w:noWrap/>
            <w:vAlign w:val="center"/>
            <w:hideMark/>
          </w:tcPr>
          <w:p w14:paraId="08742681"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2.000,00</w:t>
            </w:r>
          </w:p>
        </w:tc>
        <w:tc>
          <w:tcPr>
            <w:tcW w:w="1289" w:type="dxa"/>
            <w:tcBorders>
              <w:top w:val="single" w:sz="4" w:space="0" w:color="auto"/>
              <w:left w:val="nil"/>
              <w:bottom w:val="single" w:sz="4" w:space="0" w:color="auto"/>
              <w:right w:val="double" w:sz="6" w:space="0" w:color="auto"/>
            </w:tcBorders>
            <w:shd w:val="clear" w:color="auto" w:fill="auto"/>
            <w:noWrap/>
            <w:vAlign w:val="center"/>
            <w:hideMark/>
          </w:tcPr>
          <w:p w14:paraId="6AF5D18B"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10.000,00</w:t>
            </w:r>
          </w:p>
        </w:tc>
      </w:tr>
      <w:tr w:rsidR="00E97428" w:rsidRPr="00E97428" w14:paraId="6B41BDA5" w14:textId="77777777" w:rsidTr="00E97428">
        <w:trPr>
          <w:trHeight w:val="28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5C669954" w14:textId="77777777" w:rsidR="00E97428" w:rsidRPr="00E97428" w:rsidRDefault="00E97428" w:rsidP="00E97428">
            <w:pPr>
              <w:ind w:left="0" w:right="0" w:firstLine="0"/>
              <w:jc w:val="center"/>
              <w:rPr>
                <w:sz w:val="20"/>
                <w:szCs w:val="20"/>
                <w:lang w:val="sr-Latn-BA" w:eastAsia="sr-Latn-BA"/>
              </w:rPr>
            </w:pPr>
            <w:r w:rsidRPr="00E97428">
              <w:rPr>
                <w:sz w:val="20"/>
                <w:szCs w:val="20"/>
                <w:lang w:val="sr-Latn-BA" w:eastAsia="sr-Latn-BA"/>
              </w:rPr>
              <w:t>5</w:t>
            </w:r>
          </w:p>
        </w:tc>
        <w:tc>
          <w:tcPr>
            <w:tcW w:w="5013" w:type="dxa"/>
            <w:tcBorders>
              <w:top w:val="nil"/>
              <w:left w:val="nil"/>
              <w:bottom w:val="single" w:sz="4" w:space="0" w:color="auto"/>
              <w:right w:val="single" w:sz="4" w:space="0" w:color="auto"/>
            </w:tcBorders>
            <w:shd w:val="clear" w:color="auto" w:fill="auto"/>
            <w:noWrap/>
            <w:vAlign w:val="center"/>
            <w:hideMark/>
          </w:tcPr>
          <w:p w14:paraId="67151623" w14:textId="77777777" w:rsidR="00E97428" w:rsidRPr="00E97428" w:rsidRDefault="00E97428" w:rsidP="00E97428">
            <w:pPr>
              <w:ind w:left="0" w:right="0" w:firstLine="0"/>
              <w:jc w:val="left"/>
              <w:rPr>
                <w:sz w:val="20"/>
                <w:szCs w:val="20"/>
                <w:lang w:val="sr-Latn-BA" w:eastAsia="sr-Latn-BA"/>
              </w:rPr>
            </w:pPr>
            <w:r w:rsidRPr="00E97428">
              <w:rPr>
                <w:sz w:val="20"/>
                <w:szCs w:val="20"/>
                <w:lang w:val="sr-Latn-BA" w:eastAsia="sr-Latn-BA"/>
              </w:rPr>
              <w:t xml:space="preserve">СПЦО </w:t>
            </w:r>
            <w:proofErr w:type="spellStart"/>
            <w:r w:rsidRPr="00E97428">
              <w:rPr>
                <w:sz w:val="20"/>
                <w:szCs w:val="20"/>
                <w:lang w:val="sr-Latn-BA" w:eastAsia="sr-Latn-BA"/>
              </w:rPr>
              <w:t>Прњавор</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2EFF28C3"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7.500,00</w:t>
            </w:r>
          </w:p>
        </w:tc>
        <w:tc>
          <w:tcPr>
            <w:tcW w:w="1405" w:type="dxa"/>
            <w:tcBorders>
              <w:top w:val="nil"/>
              <w:left w:val="nil"/>
              <w:bottom w:val="single" w:sz="4" w:space="0" w:color="auto"/>
              <w:right w:val="single" w:sz="4" w:space="0" w:color="auto"/>
            </w:tcBorders>
            <w:shd w:val="clear" w:color="auto" w:fill="auto"/>
            <w:noWrap/>
            <w:vAlign w:val="center"/>
            <w:hideMark/>
          </w:tcPr>
          <w:p w14:paraId="0DCB97D6"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2.500,00</w:t>
            </w:r>
          </w:p>
        </w:tc>
        <w:tc>
          <w:tcPr>
            <w:tcW w:w="1289" w:type="dxa"/>
            <w:tcBorders>
              <w:top w:val="nil"/>
              <w:left w:val="nil"/>
              <w:bottom w:val="single" w:sz="4" w:space="0" w:color="auto"/>
              <w:right w:val="double" w:sz="6" w:space="0" w:color="auto"/>
            </w:tcBorders>
            <w:shd w:val="clear" w:color="auto" w:fill="auto"/>
            <w:noWrap/>
            <w:vAlign w:val="center"/>
            <w:hideMark/>
          </w:tcPr>
          <w:p w14:paraId="568C9BCC"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10.000,00</w:t>
            </w:r>
          </w:p>
        </w:tc>
      </w:tr>
      <w:tr w:rsidR="00E97428" w:rsidRPr="00E97428" w14:paraId="2D8F6E47" w14:textId="77777777" w:rsidTr="00E97428">
        <w:trPr>
          <w:trHeight w:val="28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5415494B" w14:textId="77777777" w:rsidR="00E97428" w:rsidRPr="00E97428" w:rsidRDefault="00E97428" w:rsidP="00E97428">
            <w:pPr>
              <w:ind w:left="0" w:right="0" w:firstLine="0"/>
              <w:jc w:val="center"/>
              <w:rPr>
                <w:sz w:val="20"/>
                <w:szCs w:val="20"/>
                <w:lang w:val="sr-Latn-BA" w:eastAsia="sr-Latn-BA"/>
              </w:rPr>
            </w:pPr>
            <w:r w:rsidRPr="00E97428">
              <w:rPr>
                <w:sz w:val="20"/>
                <w:szCs w:val="20"/>
                <w:lang w:val="sr-Latn-BA" w:eastAsia="sr-Latn-BA"/>
              </w:rPr>
              <w:t>6</w:t>
            </w:r>
          </w:p>
        </w:tc>
        <w:tc>
          <w:tcPr>
            <w:tcW w:w="5013" w:type="dxa"/>
            <w:tcBorders>
              <w:top w:val="nil"/>
              <w:left w:val="nil"/>
              <w:bottom w:val="single" w:sz="4" w:space="0" w:color="auto"/>
              <w:right w:val="single" w:sz="4" w:space="0" w:color="auto"/>
            </w:tcBorders>
            <w:shd w:val="clear" w:color="auto" w:fill="auto"/>
            <w:noWrap/>
            <w:vAlign w:val="center"/>
            <w:hideMark/>
          </w:tcPr>
          <w:p w14:paraId="4FA9A0E1" w14:textId="77777777" w:rsidR="00E97428" w:rsidRPr="00E97428" w:rsidRDefault="00E97428" w:rsidP="00E97428">
            <w:pPr>
              <w:ind w:left="0" w:right="0" w:firstLine="0"/>
              <w:jc w:val="left"/>
              <w:rPr>
                <w:sz w:val="20"/>
                <w:szCs w:val="20"/>
                <w:lang w:val="sr-Latn-BA" w:eastAsia="sr-Latn-BA"/>
              </w:rPr>
            </w:pPr>
            <w:r w:rsidRPr="00E97428">
              <w:rPr>
                <w:sz w:val="20"/>
                <w:szCs w:val="20"/>
                <w:lang w:val="sr-Latn-BA" w:eastAsia="sr-Latn-BA"/>
              </w:rPr>
              <w:t xml:space="preserve">СПЦО </w:t>
            </w:r>
            <w:proofErr w:type="spellStart"/>
            <w:r w:rsidRPr="00E97428">
              <w:rPr>
                <w:sz w:val="20"/>
                <w:szCs w:val="20"/>
                <w:lang w:val="sr-Latn-BA" w:eastAsia="sr-Latn-BA"/>
              </w:rPr>
              <w:t>Поточани</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398DC163"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2.300,00</w:t>
            </w:r>
          </w:p>
        </w:tc>
        <w:tc>
          <w:tcPr>
            <w:tcW w:w="1405" w:type="dxa"/>
            <w:tcBorders>
              <w:top w:val="nil"/>
              <w:left w:val="nil"/>
              <w:bottom w:val="single" w:sz="4" w:space="0" w:color="auto"/>
              <w:right w:val="single" w:sz="4" w:space="0" w:color="auto"/>
            </w:tcBorders>
            <w:shd w:val="clear" w:color="auto" w:fill="auto"/>
            <w:noWrap/>
            <w:vAlign w:val="center"/>
            <w:hideMark/>
          </w:tcPr>
          <w:p w14:paraId="0E40D127"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500,00</w:t>
            </w:r>
          </w:p>
        </w:tc>
        <w:tc>
          <w:tcPr>
            <w:tcW w:w="1289" w:type="dxa"/>
            <w:tcBorders>
              <w:top w:val="nil"/>
              <w:left w:val="nil"/>
              <w:bottom w:val="single" w:sz="4" w:space="0" w:color="auto"/>
              <w:right w:val="double" w:sz="6" w:space="0" w:color="auto"/>
            </w:tcBorders>
            <w:shd w:val="clear" w:color="auto" w:fill="auto"/>
            <w:noWrap/>
            <w:vAlign w:val="center"/>
            <w:hideMark/>
          </w:tcPr>
          <w:p w14:paraId="67A48501"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2.800,00</w:t>
            </w:r>
          </w:p>
        </w:tc>
      </w:tr>
      <w:tr w:rsidR="00E97428" w:rsidRPr="00E97428" w14:paraId="3F8FC275" w14:textId="77777777" w:rsidTr="00E97428">
        <w:trPr>
          <w:trHeight w:val="270"/>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72865762" w14:textId="77777777" w:rsidR="00E97428" w:rsidRPr="00E97428" w:rsidRDefault="00E97428" w:rsidP="00E97428">
            <w:pPr>
              <w:ind w:left="0" w:right="0" w:firstLine="0"/>
              <w:jc w:val="center"/>
              <w:rPr>
                <w:sz w:val="20"/>
                <w:szCs w:val="20"/>
                <w:lang w:val="sr-Latn-BA" w:eastAsia="sr-Latn-BA"/>
              </w:rPr>
            </w:pPr>
            <w:r w:rsidRPr="00E97428">
              <w:rPr>
                <w:sz w:val="20"/>
                <w:szCs w:val="20"/>
                <w:lang w:val="sr-Latn-BA" w:eastAsia="sr-Latn-BA"/>
              </w:rPr>
              <w:t>7</w:t>
            </w:r>
          </w:p>
        </w:tc>
        <w:tc>
          <w:tcPr>
            <w:tcW w:w="5013" w:type="dxa"/>
            <w:tcBorders>
              <w:top w:val="nil"/>
              <w:left w:val="nil"/>
              <w:bottom w:val="single" w:sz="4" w:space="0" w:color="auto"/>
              <w:right w:val="single" w:sz="4" w:space="0" w:color="auto"/>
            </w:tcBorders>
            <w:shd w:val="clear" w:color="auto" w:fill="auto"/>
            <w:noWrap/>
            <w:vAlign w:val="center"/>
            <w:hideMark/>
          </w:tcPr>
          <w:p w14:paraId="26D33048" w14:textId="77777777" w:rsidR="00E97428" w:rsidRPr="00E97428" w:rsidRDefault="00E97428" w:rsidP="00E97428">
            <w:pPr>
              <w:ind w:left="0" w:right="0" w:firstLine="0"/>
              <w:jc w:val="left"/>
              <w:rPr>
                <w:sz w:val="20"/>
                <w:szCs w:val="20"/>
                <w:lang w:val="sr-Latn-BA" w:eastAsia="sr-Latn-BA"/>
              </w:rPr>
            </w:pPr>
            <w:r w:rsidRPr="00E97428">
              <w:rPr>
                <w:sz w:val="20"/>
                <w:szCs w:val="20"/>
                <w:lang w:val="sr-Latn-BA" w:eastAsia="sr-Latn-BA"/>
              </w:rPr>
              <w:t xml:space="preserve">СПЦО </w:t>
            </w:r>
            <w:proofErr w:type="spellStart"/>
            <w:r w:rsidRPr="00E97428">
              <w:rPr>
                <w:sz w:val="20"/>
                <w:szCs w:val="20"/>
                <w:lang w:val="sr-Latn-BA" w:eastAsia="sr-Latn-BA"/>
              </w:rPr>
              <w:t>Велика</w:t>
            </w:r>
            <w:proofErr w:type="spellEnd"/>
            <w:r w:rsidRPr="00E97428">
              <w:rPr>
                <w:sz w:val="20"/>
                <w:szCs w:val="20"/>
                <w:lang w:val="sr-Latn-BA" w:eastAsia="sr-Latn-BA"/>
              </w:rPr>
              <w:t xml:space="preserve"> </w:t>
            </w:r>
            <w:proofErr w:type="spellStart"/>
            <w:r w:rsidRPr="00E97428">
              <w:rPr>
                <w:sz w:val="20"/>
                <w:szCs w:val="20"/>
                <w:lang w:val="sr-Latn-BA" w:eastAsia="sr-Latn-BA"/>
              </w:rPr>
              <w:t>Илова</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0EF0005E"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300,00</w:t>
            </w:r>
          </w:p>
        </w:tc>
        <w:tc>
          <w:tcPr>
            <w:tcW w:w="1405" w:type="dxa"/>
            <w:tcBorders>
              <w:top w:val="nil"/>
              <w:left w:val="nil"/>
              <w:bottom w:val="single" w:sz="4" w:space="0" w:color="auto"/>
              <w:right w:val="single" w:sz="4" w:space="0" w:color="auto"/>
            </w:tcBorders>
            <w:shd w:val="clear" w:color="auto" w:fill="auto"/>
            <w:noWrap/>
            <w:vAlign w:val="center"/>
            <w:hideMark/>
          </w:tcPr>
          <w:p w14:paraId="284AD132"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1.100,00</w:t>
            </w:r>
          </w:p>
        </w:tc>
        <w:tc>
          <w:tcPr>
            <w:tcW w:w="1289" w:type="dxa"/>
            <w:tcBorders>
              <w:top w:val="nil"/>
              <w:left w:val="nil"/>
              <w:bottom w:val="single" w:sz="4" w:space="0" w:color="auto"/>
              <w:right w:val="double" w:sz="6" w:space="0" w:color="auto"/>
            </w:tcBorders>
            <w:shd w:val="clear" w:color="auto" w:fill="auto"/>
            <w:noWrap/>
            <w:vAlign w:val="center"/>
            <w:hideMark/>
          </w:tcPr>
          <w:p w14:paraId="594823BC"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1.400,00</w:t>
            </w:r>
          </w:p>
        </w:tc>
      </w:tr>
      <w:tr w:rsidR="00E97428" w:rsidRPr="00E97428" w14:paraId="74793BA1" w14:textId="77777777" w:rsidTr="00E97428">
        <w:trPr>
          <w:trHeight w:val="28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0923D035" w14:textId="77777777" w:rsidR="00E97428" w:rsidRPr="00E97428" w:rsidRDefault="00E97428" w:rsidP="00E97428">
            <w:pPr>
              <w:ind w:left="0" w:right="0" w:firstLine="0"/>
              <w:jc w:val="center"/>
              <w:rPr>
                <w:sz w:val="20"/>
                <w:szCs w:val="20"/>
                <w:lang w:val="sr-Latn-BA" w:eastAsia="sr-Latn-BA"/>
              </w:rPr>
            </w:pPr>
            <w:r w:rsidRPr="00E97428">
              <w:rPr>
                <w:sz w:val="20"/>
                <w:szCs w:val="20"/>
                <w:lang w:val="sr-Latn-BA" w:eastAsia="sr-Latn-BA"/>
              </w:rPr>
              <w:t>8</w:t>
            </w:r>
          </w:p>
        </w:tc>
        <w:tc>
          <w:tcPr>
            <w:tcW w:w="5013" w:type="dxa"/>
            <w:tcBorders>
              <w:top w:val="nil"/>
              <w:left w:val="nil"/>
              <w:bottom w:val="single" w:sz="4" w:space="0" w:color="auto"/>
              <w:right w:val="single" w:sz="4" w:space="0" w:color="auto"/>
            </w:tcBorders>
            <w:shd w:val="clear" w:color="auto" w:fill="auto"/>
            <w:noWrap/>
            <w:vAlign w:val="center"/>
            <w:hideMark/>
          </w:tcPr>
          <w:p w14:paraId="3DF74298" w14:textId="77777777" w:rsidR="00E97428" w:rsidRPr="00E97428" w:rsidRDefault="00E97428" w:rsidP="00E97428">
            <w:pPr>
              <w:ind w:left="0" w:right="0" w:firstLine="0"/>
              <w:jc w:val="left"/>
              <w:rPr>
                <w:sz w:val="20"/>
                <w:szCs w:val="20"/>
                <w:lang w:val="sr-Latn-BA" w:eastAsia="sr-Latn-BA"/>
              </w:rPr>
            </w:pPr>
            <w:r w:rsidRPr="00E97428">
              <w:rPr>
                <w:sz w:val="20"/>
                <w:szCs w:val="20"/>
                <w:lang w:val="sr-Latn-BA" w:eastAsia="sr-Latn-BA"/>
              </w:rPr>
              <w:t xml:space="preserve">СПЦО </w:t>
            </w:r>
            <w:proofErr w:type="spellStart"/>
            <w:r w:rsidRPr="00E97428">
              <w:rPr>
                <w:sz w:val="20"/>
                <w:szCs w:val="20"/>
                <w:lang w:val="sr-Latn-BA" w:eastAsia="sr-Latn-BA"/>
              </w:rPr>
              <w:t>Гаљиповци</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51C283AE"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300,00</w:t>
            </w:r>
          </w:p>
        </w:tc>
        <w:tc>
          <w:tcPr>
            <w:tcW w:w="1405" w:type="dxa"/>
            <w:tcBorders>
              <w:top w:val="nil"/>
              <w:left w:val="nil"/>
              <w:bottom w:val="single" w:sz="4" w:space="0" w:color="auto"/>
              <w:right w:val="single" w:sz="4" w:space="0" w:color="auto"/>
            </w:tcBorders>
            <w:shd w:val="clear" w:color="auto" w:fill="auto"/>
            <w:noWrap/>
            <w:vAlign w:val="center"/>
            <w:hideMark/>
          </w:tcPr>
          <w:p w14:paraId="2E428879"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2.412,57</w:t>
            </w:r>
          </w:p>
        </w:tc>
        <w:tc>
          <w:tcPr>
            <w:tcW w:w="1289" w:type="dxa"/>
            <w:tcBorders>
              <w:top w:val="nil"/>
              <w:left w:val="nil"/>
              <w:bottom w:val="single" w:sz="4" w:space="0" w:color="auto"/>
              <w:right w:val="double" w:sz="6" w:space="0" w:color="auto"/>
            </w:tcBorders>
            <w:shd w:val="clear" w:color="auto" w:fill="auto"/>
            <w:noWrap/>
            <w:vAlign w:val="center"/>
            <w:hideMark/>
          </w:tcPr>
          <w:p w14:paraId="497A50C4"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2.712,57</w:t>
            </w:r>
          </w:p>
        </w:tc>
      </w:tr>
      <w:tr w:rsidR="00E97428" w:rsidRPr="00E97428" w14:paraId="216669F9" w14:textId="77777777" w:rsidTr="00E97428">
        <w:trPr>
          <w:trHeight w:val="315"/>
        </w:trPr>
        <w:tc>
          <w:tcPr>
            <w:tcW w:w="539"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9F173D1" w14:textId="77777777" w:rsidR="00E97428" w:rsidRPr="00E97428" w:rsidRDefault="00E97428" w:rsidP="00E97428">
            <w:pPr>
              <w:ind w:left="0" w:right="0" w:firstLine="0"/>
              <w:jc w:val="center"/>
              <w:rPr>
                <w:sz w:val="20"/>
                <w:szCs w:val="20"/>
                <w:lang w:val="sr-Latn-BA" w:eastAsia="sr-Latn-BA"/>
              </w:rPr>
            </w:pPr>
            <w:r w:rsidRPr="00E97428">
              <w:rPr>
                <w:sz w:val="20"/>
                <w:szCs w:val="20"/>
                <w:lang w:val="sr-Latn-BA" w:eastAsia="sr-Latn-BA"/>
              </w:rPr>
              <w:t>9</w:t>
            </w:r>
          </w:p>
        </w:tc>
        <w:tc>
          <w:tcPr>
            <w:tcW w:w="5013" w:type="dxa"/>
            <w:tcBorders>
              <w:top w:val="single" w:sz="4" w:space="0" w:color="auto"/>
              <w:left w:val="nil"/>
              <w:bottom w:val="single" w:sz="4" w:space="0" w:color="auto"/>
              <w:right w:val="single" w:sz="4" w:space="0" w:color="auto"/>
            </w:tcBorders>
            <w:shd w:val="clear" w:color="auto" w:fill="auto"/>
            <w:noWrap/>
            <w:vAlign w:val="center"/>
            <w:hideMark/>
          </w:tcPr>
          <w:p w14:paraId="6EF4FB27" w14:textId="77777777" w:rsidR="00E97428" w:rsidRPr="00E97428" w:rsidRDefault="00E97428" w:rsidP="00E97428">
            <w:pPr>
              <w:ind w:left="0" w:right="0" w:firstLine="0"/>
              <w:jc w:val="left"/>
              <w:rPr>
                <w:sz w:val="20"/>
                <w:szCs w:val="20"/>
                <w:lang w:val="sr-Latn-BA" w:eastAsia="sr-Latn-BA"/>
              </w:rPr>
            </w:pPr>
            <w:r w:rsidRPr="00E97428">
              <w:rPr>
                <w:sz w:val="20"/>
                <w:szCs w:val="20"/>
                <w:lang w:val="sr-Latn-BA" w:eastAsia="sr-Latn-BA"/>
              </w:rPr>
              <w:t xml:space="preserve">СПЦО </w:t>
            </w:r>
            <w:proofErr w:type="spellStart"/>
            <w:r w:rsidRPr="00E97428">
              <w:rPr>
                <w:sz w:val="20"/>
                <w:szCs w:val="20"/>
                <w:lang w:val="sr-Latn-BA" w:eastAsia="sr-Latn-BA"/>
              </w:rPr>
              <w:t>Шибовска</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7540C64"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0,00</w:t>
            </w:r>
          </w:p>
        </w:tc>
        <w:tc>
          <w:tcPr>
            <w:tcW w:w="1405" w:type="dxa"/>
            <w:tcBorders>
              <w:top w:val="single" w:sz="4" w:space="0" w:color="auto"/>
              <w:left w:val="nil"/>
              <w:bottom w:val="single" w:sz="4" w:space="0" w:color="auto"/>
              <w:right w:val="single" w:sz="4" w:space="0" w:color="auto"/>
            </w:tcBorders>
            <w:shd w:val="clear" w:color="auto" w:fill="auto"/>
            <w:noWrap/>
            <w:vAlign w:val="center"/>
            <w:hideMark/>
          </w:tcPr>
          <w:p w14:paraId="7E6C30AA"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1.000,00</w:t>
            </w:r>
          </w:p>
        </w:tc>
        <w:tc>
          <w:tcPr>
            <w:tcW w:w="1289" w:type="dxa"/>
            <w:tcBorders>
              <w:top w:val="single" w:sz="4" w:space="0" w:color="auto"/>
              <w:left w:val="nil"/>
              <w:bottom w:val="single" w:sz="4" w:space="0" w:color="auto"/>
              <w:right w:val="double" w:sz="6" w:space="0" w:color="auto"/>
            </w:tcBorders>
            <w:shd w:val="clear" w:color="auto" w:fill="auto"/>
            <w:noWrap/>
            <w:vAlign w:val="center"/>
            <w:hideMark/>
          </w:tcPr>
          <w:p w14:paraId="1793EFE2"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1.000,00</w:t>
            </w:r>
          </w:p>
        </w:tc>
      </w:tr>
      <w:tr w:rsidR="00E97428" w:rsidRPr="00E97428" w14:paraId="72917605" w14:textId="77777777" w:rsidTr="00E97428">
        <w:trPr>
          <w:trHeight w:val="255"/>
        </w:trPr>
        <w:tc>
          <w:tcPr>
            <w:tcW w:w="539" w:type="dxa"/>
            <w:tcBorders>
              <w:top w:val="single" w:sz="4" w:space="0" w:color="auto"/>
              <w:left w:val="double" w:sz="6" w:space="0" w:color="auto"/>
              <w:bottom w:val="nil"/>
              <w:right w:val="single" w:sz="4" w:space="0" w:color="auto"/>
            </w:tcBorders>
            <w:shd w:val="clear" w:color="auto" w:fill="auto"/>
            <w:noWrap/>
            <w:vAlign w:val="center"/>
            <w:hideMark/>
          </w:tcPr>
          <w:p w14:paraId="70FC4A20" w14:textId="77777777" w:rsidR="00E97428" w:rsidRPr="00E97428" w:rsidRDefault="00E97428" w:rsidP="00E97428">
            <w:pPr>
              <w:ind w:left="0" w:right="0" w:firstLine="0"/>
              <w:jc w:val="center"/>
              <w:rPr>
                <w:sz w:val="20"/>
                <w:szCs w:val="20"/>
                <w:lang w:val="sr-Latn-BA" w:eastAsia="sr-Latn-BA"/>
              </w:rPr>
            </w:pPr>
            <w:r w:rsidRPr="00E97428">
              <w:rPr>
                <w:sz w:val="20"/>
                <w:szCs w:val="20"/>
                <w:lang w:val="sr-Latn-BA" w:eastAsia="sr-Latn-BA"/>
              </w:rPr>
              <w:t>10</w:t>
            </w:r>
          </w:p>
        </w:tc>
        <w:tc>
          <w:tcPr>
            <w:tcW w:w="5013" w:type="dxa"/>
            <w:tcBorders>
              <w:top w:val="single" w:sz="4" w:space="0" w:color="auto"/>
              <w:left w:val="nil"/>
              <w:bottom w:val="single" w:sz="4" w:space="0" w:color="auto"/>
              <w:right w:val="single" w:sz="4" w:space="0" w:color="auto"/>
            </w:tcBorders>
            <w:shd w:val="clear" w:color="auto" w:fill="auto"/>
            <w:noWrap/>
            <w:vAlign w:val="center"/>
            <w:hideMark/>
          </w:tcPr>
          <w:p w14:paraId="19B49135" w14:textId="77777777" w:rsidR="00E97428" w:rsidRPr="00E97428" w:rsidRDefault="00E97428" w:rsidP="00E97428">
            <w:pPr>
              <w:ind w:left="0" w:right="0" w:firstLine="0"/>
              <w:jc w:val="left"/>
              <w:rPr>
                <w:sz w:val="20"/>
                <w:szCs w:val="20"/>
                <w:lang w:val="sr-Latn-BA" w:eastAsia="sr-Latn-BA"/>
              </w:rPr>
            </w:pPr>
            <w:r w:rsidRPr="00E97428">
              <w:rPr>
                <w:sz w:val="20"/>
                <w:szCs w:val="20"/>
                <w:lang w:val="sr-Latn-BA" w:eastAsia="sr-Latn-BA"/>
              </w:rPr>
              <w:t xml:space="preserve">СПЦО </w:t>
            </w:r>
            <w:proofErr w:type="spellStart"/>
            <w:r w:rsidRPr="00E97428">
              <w:rPr>
                <w:sz w:val="20"/>
                <w:szCs w:val="20"/>
                <w:lang w:val="sr-Latn-BA" w:eastAsia="sr-Latn-BA"/>
              </w:rPr>
              <w:t>Завидовићи</w:t>
            </w:r>
            <w:proofErr w:type="spellEnd"/>
          </w:p>
        </w:tc>
        <w:tc>
          <w:tcPr>
            <w:tcW w:w="1275" w:type="dxa"/>
            <w:tcBorders>
              <w:top w:val="single" w:sz="4" w:space="0" w:color="auto"/>
              <w:left w:val="nil"/>
              <w:bottom w:val="nil"/>
              <w:right w:val="single" w:sz="4" w:space="0" w:color="auto"/>
            </w:tcBorders>
            <w:shd w:val="clear" w:color="auto" w:fill="auto"/>
            <w:noWrap/>
            <w:vAlign w:val="center"/>
            <w:hideMark/>
          </w:tcPr>
          <w:p w14:paraId="3F33612A"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0,00</w:t>
            </w:r>
          </w:p>
        </w:tc>
        <w:tc>
          <w:tcPr>
            <w:tcW w:w="1405" w:type="dxa"/>
            <w:tcBorders>
              <w:top w:val="single" w:sz="4" w:space="0" w:color="auto"/>
              <w:left w:val="nil"/>
              <w:bottom w:val="single" w:sz="4" w:space="0" w:color="auto"/>
              <w:right w:val="single" w:sz="4" w:space="0" w:color="auto"/>
            </w:tcBorders>
            <w:shd w:val="clear" w:color="auto" w:fill="auto"/>
            <w:noWrap/>
            <w:vAlign w:val="center"/>
            <w:hideMark/>
          </w:tcPr>
          <w:p w14:paraId="312369F7"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1.000,00</w:t>
            </w:r>
          </w:p>
        </w:tc>
        <w:tc>
          <w:tcPr>
            <w:tcW w:w="1289" w:type="dxa"/>
            <w:tcBorders>
              <w:top w:val="single" w:sz="4" w:space="0" w:color="auto"/>
              <w:left w:val="nil"/>
              <w:bottom w:val="single" w:sz="4" w:space="0" w:color="auto"/>
              <w:right w:val="double" w:sz="6" w:space="0" w:color="auto"/>
            </w:tcBorders>
            <w:shd w:val="clear" w:color="auto" w:fill="auto"/>
            <w:noWrap/>
            <w:vAlign w:val="center"/>
            <w:hideMark/>
          </w:tcPr>
          <w:p w14:paraId="36A4FD2D"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1.000,00</w:t>
            </w:r>
          </w:p>
        </w:tc>
      </w:tr>
      <w:tr w:rsidR="00E97428" w:rsidRPr="00E97428" w14:paraId="567CA649" w14:textId="77777777" w:rsidTr="00E97428">
        <w:trPr>
          <w:trHeight w:val="255"/>
        </w:trPr>
        <w:tc>
          <w:tcPr>
            <w:tcW w:w="539" w:type="dxa"/>
            <w:tcBorders>
              <w:top w:val="single" w:sz="4" w:space="0" w:color="auto"/>
              <w:left w:val="double" w:sz="6" w:space="0" w:color="auto"/>
              <w:bottom w:val="nil"/>
              <w:right w:val="single" w:sz="4" w:space="0" w:color="auto"/>
            </w:tcBorders>
            <w:shd w:val="clear" w:color="auto" w:fill="auto"/>
            <w:noWrap/>
            <w:vAlign w:val="center"/>
            <w:hideMark/>
          </w:tcPr>
          <w:p w14:paraId="51699361" w14:textId="77777777" w:rsidR="00E97428" w:rsidRPr="00E97428" w:rsidRDefault="00E97428" w:rsidP="00E97428">
            <w:pPr>
              <w:ind w:left="0" w:right="0" w:firstLine="0"/>
              <w:jc w:val="center"/>
              <w:rPr>
                <w:sz w:val="20"/>
                <w:szCs w:val="20"/>
                <w:lang w:val="sr-Latn-BA" w:eastAsia="sr-Latn-BA"/>
              </w:rPr>
            </w:pPr>
            <w:r w:rsidRPr="00E97428">
              <w:rPr>
                <w:sz w:val="20"/>
                <w:szCs w:val="20"/>
                <w:lang w:val="sr-Latn-BA" w:eastAsia="sr-Latn-BA"/>
              </w:rPr>
              <w:t>11</w:t>
            </w:r>
          </w:p>
        </w:tc>
        <w:tc>
          <w:tcPr>
            <w:tcW w:w="5013" w:type="dxa"/>
            <w:tcBorders>
              <w:top w:val="nil"/>
              <w:left w:val="nil"/>
              <w:bottom w:val="single" w:sz="4" w:space="0" w:color="auto"/>
              <w:right w:val="single" w:sz="4" w:space="0" w:color="auto"/>
            </w:tcBorders>
            <w:shd w:val="clear" w:color="auto" w:fill="auto"/>
            <w:noWrap/>
            <w:vAlign w:val="center"/>
            <w:hideMark/>
          </w:tcPr>
          <w:p w14:paraId="5A47C9ED" w14:textId="77777777" w:rsidR="00E97428" w:rsidRPr="00E97428" w:rsidRDefault="00E97428" w:rsidP="00E97428">
            <w:pPr>
              <w:ind w:left="0" w:right="0" w:firstLine="0"/>
              <w:jc w:val="left"/>
              <w:rPr>
                <w:sz w:val="20"/>
                <w:szCs w:val="20"/>
                <w:lang w:val="sr-Latn-BA" w:eastAsia="sr-Latn-BA"/>
              </w:rPr>
            </w:pPr>
            <w:r w:rsidRPr="00E97428">
              <w:rPr>
                <w:sz w:val="20"/>
                <w:szCs w:val="20"/>
                <w:lang w:val="sr-Latn-BA" w:eastAsia="sr-Latn-BA"/>
              </w:rPr>
              <w:t xml:space="preserve">СПЦО </w:t>
            </w:r>
            <w:proofErr w:type="spellStart"/>
            <w:r w:rsidRPr="00E97428">
              <w:rPr>
                <w:sz w:val="20"/>
                <w:szCs w:val="20"/>
                <w:lang w:val="sr-Latn-BA" w:eastAsia="sr-Latn-BA"/>
              </w:rPr>
              <w:t>Дубрава</w:t>
            </w:r>
            <w:proofErr w:type="spellEnd"/>
            <w:r w:rsidRPr="00E97428">
              <w:rPr>
                <w:sz w:val="20"/>
                <w:szCs w:val="20"/>
                <w:lang w:val="sr-Latn-BA" w:eastAsia="sr-Latn-BA"/>
              </w:rPr>
              <w:t xml:space="preserve"> </w:t>
            </w:r>
            <w:proofErr w:type="spellStart"/>
            <w:r w:rsidRPr="00E97428">
              <w:rPr>
                <w:sz w:val="20"/>
                <w:szCs w:val="20"/>
                <w:lang w:val="sr-Latn-BA" w:eastAsia="sr-Latn-BA"/>
              </w:rPr>
              <w:t>Стара</w:t>
            </w:r>
            <w:proofErr w:type="spellEnd"/>
          </w:p>
        </w:tc>
        <w:tc>
          <w:tcPr>
            <w:tcW w:w="1275" w:type="dxa"/>
            <w:tcBorders>
              <w:top w:val="single" w:sz="4" w:space="0" w:color="auto"/>
              <w:left w:val="nil"/>
              <w:bottom w:val="nil"/>
              <w:right w:val="single" w:sz="4" w:space="0" w:color="auto"/>
            </w:tcBorders>
            <w:shd w:val="clear" w:color="auto" w:fill="auto"/>
            <w:noWrap/>
            <w:vAlign w:val="center"/>
            <w:hideMark/>
          </w:tcPr>
          <w:p w14:paraId="0F1A7333"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0,00</w:t>
            </w:r>
          </w:p>
        </w:tc>
        <w:tc>
          <w:tcPr>
            <w:tcW w:w="1405" w:type="dxa"/>
            <w:tcBorders>
              <w:top w:val="nil"/>
              <w:left w:val="nil"/>
              <w:bottom w:val="single" w:sz="4" w:space="0" w:color="auto"/>
              <w:right w:val="single" w:sz="4" w:space="0" w:color="auto"/>
            </w:tcBorders>
            <w:shd w:val="clear" w:color="auto" w:fill="auto"/>
            <w:noWrap/>
            <w:vAlign w:val="center"/>
            <w:hideMark/>
          </w:tcPr>
          <w:p w14:paraId="04C226CD"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3.000,00</w:t>
            </w:r>
          </w:p>
        </w:tc>
        <w:tc>
          <w:tcPr>
            <w:tcW w:w="1289" w:type="dxa"/>
            <w:tcBorders>
              <w:top w:val="nil"/>
              <w:left w:val="nil"/>
              <w:bottom w:val="single" w:sz="4" w:space="0" w:color="auto"/>
              <w:right w:val="double" w:sz="6" w:space="0" w:color="auto"/>
            </w:tcBorders>
            <w:shd w:val="clear" w:color="auto" w:fill="auto"/>
            <w:noWrap/>
            <w:vAlign w:val="center"/>
            <w:hideMark/>
          </w:tcPr>
          <w:p w14:paraId="27572D96"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3.000,00</w:t>
            </w:r>
          </w:p>
        </w:tc>
      </w:tr>
      <w:tr w:rsidR="00E97428" w:rsidRPr="00E97428" w14:paraId="025F7708" w14:textId="77777777" w:rsidTr="00E97428">
        <w:trPr>
          <w:trHeight w:val="255"/>
        </w:trPr>
        <w:tc>
          <w:tcPr>
            <w:tcW w:w="539" w:type="dxa"/>
            <w:tcBorders>
              <w:top w:val="single" w:sz="4" w:space="0" w:color="auto"/>
              <w:left w:val="double" w:sz="6" w:space="0" w:color="auto"/>
              <w:bottom w:val="nil"/>
              <w:right w:val="single" w:sz="4" w:space="0" w:color="auto"/>
            </w:tcBorders>
            <w:shd w:val="clear" w:color="auto" w:fill="auto"/>
            <w:noWrap/>
            <w:vAlign w:val="center"/>
            <w:hideMark/>
          </w:tcPr>
          <w:p w14:paraId="070433B6" w14:textId="77777777" w:rsidR="00E97428" w:rsidRPr="00E97428" w:rsidRDefault="00E97428" w:rsidP="00E97428">
            <w:pPr>
              <w:ind w:left="0" w:right="0" w:firstLine="0"/>
              <w:jc w:val="center"/>
              <w:rPr>
                <w:sz w:val="20"/>
                <w:szCs w:val="20"/>
                <w:lang w:val="sr-Latn-BA" w:eastAsia="sr-Latn-BA"/>
              </w:rPr>
            </w:pPr>
            <w:r w:rsidRPr="00E97428">
              <w:rPr>
                <w:sz w:val="20"/>
                <w:szCs w:val="20"/>
                <w:lang w:val="sr-Latn-BA" w:eastAsia="sr-Latn-BA"/>
              </w:rPr>
              <w:t>12</w:t>
            </w:r>
          </w:p>
        </w:tc>
        <w:tc>
          <w:tcPr>
            <w:tcW w:w="5013" w:type="dxa"/>
            <w:tcBorders>
              <w:top w:val="nil"/>
              <w:left w:val="nil"/>
              <w:bottom w:val="single" w:sz="4" w:space="0" w:color="auto"/>
              <w:right w:val="single" w:sz="4" w:space="0" w:color="auto"/>
            </w:tcBorders>
            <w:shd w:val="clear" w:color="auto" w:fill="auto"/>
            <w:noWrap/>
            <w:vAlign w:val="center"/>
            <w:hideMark/>
          </w:tcPr>
          <w:p w14:paraId="474083E4" w14:textId="77777777" w:rsidR="00E97428" w:rsidRPr="00E97428" w:rsidRDefault="00E97428" w:rsidP="00E97428">
            <w:pPr>
              <w:ind w:left="0" w:right="0" w:firstLine="0"/>
              <w:jc w:val="left"/>
              <w:rPr>
                <w:sz w:val="20"/>
                <w:szCs w:val="20"/>
                <w:lang w:val="sr-Latn-BA" w:eastAsia="sr-Latn-BA"/>
              </w:rPr>
            </w:pPr>
            <w:proofErr w:type="spellStart"/>
            <w:r w:rsidRPr="00E97428">
              <w:rPr>
                <w:sz w:val="20"/>
                <w:szCs w:val="20"/>
                <w:lang w:val="sr-Latn-BA" w:eastAsia="sr-Latn-BA"/>
              </w:rPr>
              <w:t>Српски</w:t>
            </w:r>
            <w:proofErr w:type="spellEnd"/>
            <w:r w:rsidRPr="00E97428">
              <w:rPr>
                <w:sz w:val="20"/>
                <w:szCs w:val="20"/>
                <w:lang w:val="sr-Latn-BA" w:eastAsia="sr-Latn-BA"/>
              </w:rPr>
              <w:t xml:space="preserve"> </w:t>
            </w:r>
            <w:proofErr w:type="spellStart"/>
            <w:r w:rsidRPr="00E97428">
              <w:rPr>
                <w:sz w:val="20"/>
                <w:szCs w:val="20"/>
                <w:lang w:val="sr-Latn-BA" w:eastAsia="sr-Latn-BA"/>
              </w:rPr>
              <w:t>православни</w:t>
            </w:r>
            <w:proofErr w:type="spellEnd"/>
            <w:r w:rsidRPr="00E97428">
              <w:rPr>
                <w:sz w:val="20"/>
                <w:szCs w:val="20"/>
                <w:lang w:val="sr-Latn-BA" w:eastAsia="sr-Latn-BA"/>
              </w:rPr>
              <w:t xml:space="preserve"> </w:t>
            </w:r>
            <w:proofErr w:type="spellStart"/>
            <w:r w:rsidRPr="00E97428">
              <w:rPr>
                <w:sz w:val="20"/>
                <w:szCs w:val="20"/>
                <w:lang w:val="sr-Latn-BA" w:eastAsia="sr-Latn-BA"/>
              </w:rPr>
              <w:t>манастир</w:t>
            </w:r>
            <w:proofErr w:type="spellEnd"/>
            <w:r w:rsidRPr="00E97428">
              <w:rPr>
                <w:sz w:val="20"/>
                <w:szCs w:val="20"/>
                <w:lang w:val="sr-Latn-BA" w:eastAsia="sr-Latn-BA"/>
              </w:rPr>
              <w:t xml:space="preserve"> </w:t>
            </w:r>
            <w:proofErr w:type="spellStart"/>
            <w:r w:rsidRPr="00E97428">
              <w:rPr>
                <w:sz w:val="20"/>
                <w:szCs w:val="20"/>
                <w:lang w:val="sr-Latn-BA" w:eastAsia="sr-Latn-BA"/>
              </w:rPr>
              <w:t>Ступље</w:t>
            </w:r>
            <w:proofErr w:type="spellEnd"/>
            <w:r w:rsidRPr="00E97428">
              <w:rPr>
                <w:sz w:val="20"/>
                <w:szCs w:val="20"/>
                <w:lang w:val="sr-Latn-BA" w:eastAsia="sr-Latn-BA"/>
              </w:rPr>
              <w:t xml:space="preserve"> Г. </w:t>
            </w:r>
            <w:proofErr w:type="spellStart"/>
            <w:r w:rsidRPr="00E97428">
              <w:rPr>
                <w:sz w:val="20"/>
                <w:szCs w:val="20"/>
                <w:lang w:val="sr-Latn-BA" w:eastAsia="sr-Latn-BA"/>
              </w:rPr>
              <w:t>Вијачани</w:t>
            </w:r>
            <w:proofErr w:type="spellEnd"/>
          </w:p>
        </w:tc>
        <w:tc>
          <w:tcPr>
            <w:tcW w:w="1275" w:type="dxa"/>
            <w:tcBorders>
              <w:top w:val="single" w:sz="4" w:space="0" w:color="auto"/>
              <w:left w:val="nil"/>
              <w:bottom w:val="nil"/>
              <w:right w:val="single" w:sz="4" w:space="0" w:color="auto"/>
            </w:tcBorders>
            <w:shd w:val="clear" w:color="auto" w:fill="auto"/>
            <w:noWrap/>
            <w:vAlign w:val="center"/>
            <w:hideMark/>
          </w:tcPr>
          <w:p w14:paraId="11109334"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0,00</w:t>
            </w:r>
          </w:p>
        </w:tc>
        <w:tc>
          <w:tcPr>
            <w:tcW w:w="1405" w:type="dxa"/>
            <w:tcBorders>
              <w:top w:val="nil"/>
              <w:left w:val="nil"/>
              <w:bottom w:val="single" w:sz="4" w:space="0" w:color="auto"/>
              <w:right w:val="single" w:sz="4" w:space="0" w:color="auto"/>
            </w:tcBorders>
            <w:shd w:val="clear" w:color="auto" w:fill="auto"/>
            <w:noWrap/>
            <w:vAlign w:val="center"/>
            <w:hideMark/>
          </w:tcPr>
          <w:p w14:paraId="43EBEF68"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3.000,00</w:t>
            </w:r>
          </w:p>
        </w:tc>
        <w:tc>
          <w:tcPr>
            <w:tcW w:w="1289" w:type="dxa"/>
            <w:tcBorders>
              <w:top w:val="nil"/>
              <w:left w:val="nil"/>
              <w:bottom w:val="single" w:sz="4" w:space="0" w:color="auto"/>
              <w:right w:val="double" w:sz="6" w:space="0" w:color="auto"/>
            </w:tcBorders>
            <w:shd w:val="clear" w:color="auto" w:fill="auto"/>
            <w:noWrap/>
            <w:vAlign w:val="center"/>
            <w:hideMark/>
          </w:tcPr>
          <w:p w14:paraId="4D4C477D"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3.000,00</w:t>
            </w:r>
          </w:p>
        </w:tc>
      </w:tr>
      <w:tr w:rsidR="00E97428" w:rsidRPr="00E97428" w14:paraId="03BFCBC7" w14:textId="77777777" w:rsidTr="00E97428">
        <w:trPr>
          <w:trHeight w:val="510"/>
        </w:trPr>
        <w:tc>
          <w:tcPr>
            <w:tcW w:w="539" w:type="dxa"/>
            <w:tcBorders>
              <w:top w:val="single" w:sz="4" w:space="0" w:color="auto"/>
              <w:left w:val="double" w:sz="6" w:space="0" w:color="auto"/>
              <w:bottom w:val="nil"/>
              <w:right w:val="single" w:sz="4" w:space="0" w:color="auto"/>
            </w:tcBorders>
            <w:shd w:val="clear" w:color="auto" w:fill="auto"/>
            <w:noWrap/>
            <w:vAlign w:val="center"/>
            <w:hideMark/>
          </w:tcPr>
          <w:p w14:paraId="2366219C" w14:textId="77777777" w:rsidR="00E97428" w:rsidRPr="00E97428" w:rsidRDefault="00E97428" w:rsidP="00E97428">
            <w:pPr>
              <w:ind w:left="0" w:right="0" w:firstLine="0"/>
              <w:jc w:val="center"/>
              <w:rPr>
                <w:sz w:val="20"/>
                <w:szCs w:val="20"/>
                <w:lang w:val="sr-Latn-BA" w:eastAsia="sr-Latn-BA"/>
              </w:rPr>
            </w:pPr>
            <w:r w:rsidRPr="00E97428">
              <w:rPr>
                <w:sz w:val="20"/>
                <w:szCs w:val="20"/>
                <w:lang w:val="sr-Latn-BA" w:eastAsia="sr-Latn-BA"/>
              </w:rPr>
              <w:t>13</w:t>
            </w:r>
          </w:p>
        </w:tc>
        <w:tc>
          <w:tcPr>
            <w:tcW w:w="5013" w:type="dxa"/>
            <w:tcBorders>
              <w:top w:val="nil"/>
              <w:left w:val="nil"/>
              <w:bottom w:val="single" w:sz="4" w:space="0" w:color="auto"/>
              <w:right w:val="single" w:sz="4" w:space="0" w:color="auto"/>
            </w:tcBorders>
            <w:shd w:val="clear" w:color="auto" w:fill="auto"/>
            <w:vAlign w:val="center"/>
            <w:hideMark/>
          </w:tcPr>
          <w:p w14:paraId="20241DE4" w14:textId="77777777" w:rsidR="00E97428" w:rsidRPr="00E97428" w:rsidRDefault="00E97428" w:rsidP="00E97428">
            <w:pPr>
              <w:ind w:left="0" w:right="0" w:firstLine="0"/>
              <w:jc w:val="left"/>
              <w:rPr>
                <w:sz w:val="20"/>
                <w:szCs w:val="20"/>
                <w:lang w:val="sr-Latn-BA" w:eastAsia="sr-Latn-BA"/>
              </w:rPr>
            </w:pPr>
            <w:proofErr w:type="spellStart"/>
            <w:r w:rsidRPr="00E97428">
              <w:rPr>
                <w:sz w:val="20"/>
                <w:szCs w:val="20"/>
                <w:lang w:val="sr-Latn-BA" w:eastAsia="sr-Latn-BA"/>
              </w:rPr>
              <w:t>Римокатолички</w:t>
            </w:r>
            <w:proofErr w:type="spellEnd"/>
            <w:r w:rsidRPr="00E97428">
              <w:rPr>
                <w:sz w:val="20"/>
                <w:szCs w:val="20"/>
                <w:lang w:val="sr-Latn-BA" w:eastAsia="sr-Latn-BA"/>
              </w:rPr>
              <w:t xml:space="preserve"> </w:t>
            </w:r>
            <w:proofErr w:type="spellStart"/>
            <w:r w:rsidRPr="00E97428">
              <w:rPr>
                <w:sz w:val="20"/>
                <w:szCs w:val="20"/>
                <w:lang w:val="sr-Latn-BA" w:eastAsia="sr-Latn-BA"/>
              </w:rPr>
              <w:t>жупни</w:t>
            </w:r>
            <w:proofErr w:type="spellEnd"/>
            <w:r w:rsidRPr="00E97428">
              <w:rPr>
                <w:sz w:val="20"/>
                <w:szCs w:val="20"/>
                <w:lang w:val="sr-Latn-BA" w:eastAsia="sr-Latn-BA"/>
              </w:rPr>
              <w:t xml:space="preserve"> </w:t>
            </w:r>
            <w:proofErr w:type="spellStart"/>
            <w:r w:rsidRPr="00E97428">
              <w:rPr>
                <w:sz w:val="20"/>
                <w:szCs w:val="20"/>
                <w:lang w:val="sr-Latn-BA" w:eastAsia="sr-Latn-BA"/>
              </w:rPr>
              <w:t>уред</w:t>
            </w:r>
            <w:proofErr w:type="spellEnd"/>
            <w:r w:rsidRPr="00E97428">
              <w:rPr>
                <w:sz w:val="20"/>
                <w:szCs w:val="20"/>
                <w:lang w:val="sr-Latn-BA" w:eastAsia="sr-Latn-BA"/>
              </w:rPr>
              <w:t xml:space="preserve"> </w:t>
            </w:r>
            <w:proofErr w:type="spellStart"/>
            <w:r w:rsidRPr="00E97428">
              <w:rPr>
                <w:sz w:val="20"/>
                <w:szCs w:val="20"/>
                <w:lang w:val="sr-Latn-BA" w:eastAsia="sr-Latn-BA"/>
              </w:rPr>
              <w:t>Светог</w:t>
            </w:r>
            <w:proofErr w:type="spellEnd"/>
            <w:r w:rsidRPr="00E97428">
              <w:rPr>
                <w:sz w:val="20"/>
                <w:szCs w:val="20"/>
                <w:lang w:val="sr-Latn-BA" w:eastAsia="sr-Latn-BA"/>
              </w:rPr>
              <w:t xml:space="preserve"> </w:t>
            </w:r>
            <w:proofErr w:type="spellStart"/>
            <w:r w:rsidRPr="00E97428">
              <w:rPr>
                <w:sz w:val="20"/>
                <w:szCs w:val="20"/>
                <w:lang w:val="sr-Latn-BA" w:eastAsia="sr-Latn-BA"/>
              </w:rPr>
              <w:t>Анте</w:t>
            </w:r>
            <w:proofErr w:type="spellEnd"/>
            <w:r w:rsidRPr="00E97428">
              <w:rPr>
                <w:sz w:val="20"/>
                <w:szCs w:val="20"/>
                <w:lang w:val="sr-Latn-BA" w:eastAsia="sr-Latn-BA"/>
              </w:rPr>
              <w:t xml:space="preserve"> </w:t>
            </w:r>
            <w:proofErr w:type="spellStart"/>
            <w:r w:rsidRPr="00E97428">
              <w:rPr>
                <w:sz w:val="20"/>
                <w:szCs w:val="20"/>
                <w:lang w:val="sr-Latn-BA" w:eastAsia="sr-Latn-BA"/>
              </w:rPr>
              <w:t>Падованског</w:t>
            </w:r>
            <w:proofErr w:type="spellEnd"/>
            <w:r w:rsidRPr="00E97428">
              <w:rPr>
                <w:sz w:val="20"/>
                <w:szCs w:val="20"/>
                <w:lang w:val="sr-Latn-BA" w:eastAsia="sr-Latn-BA"/>
              </w:rPr>
              <w:t xml:space="preserve"> </w:t>
            </w:r>
            <w:proofErr w:type="spellStart"/>
            <w:r w:rsidRPr="00E97428">
              <w:rPr>
                <w:sz w:val="20"/>
                <w:szCs w:val="20"/>
                <w:lang w:val="sr-Latn-BA" w:eastAsia="sr-Latn-BA"/>
              </w:rPr>
              <w:t>Прњавор</w:t>
            </w:r>
            <w:proofErr w:type="spellEnd"/>
          </w:p>
        </w:tc>
        <w:tc>
          <w:tcPr>
            <w:tcW w:w="1275" w:type="dxa"/>
            <w:tcBorders>
              <w:top w:val="single" w:sz="4" w:space="0" w:color="auto"/>
              <w:left w:val="nil"/>
              <w:bottom w:val="nil"/>
              <w:right w:val="single" w:sz="4" w:space="0" w:color="auto"/>
            </w:tcBorders>
            <w:shd w:val="clear" w:color="auto" w:fill="auto"/>
            <w:noWrap/>
            <w:vAlign w:val="center"/>
            <w:hideMark/>
          </w:tcPr>
          <w:p w14:paraId="249B717F"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0,00</w:t>
            </w:r>
          </w:p>
        </w:tc>
        <w:tc>
          <w:tcPr>
            <w:tcW w:w="1405" w:type="dxa"/>
            <w:tcBorders>
              <w:top w:val="nil"/>
              <w:left w:val="nil"/>
              <w:bottom w:val="single" w:sz="4" w:space="0" w:color="auto"/>
              <w:right w:val="single" w:sz="4" w:space="0" w:color="auto"/>
            </w:tcBorders>
            <w:shd w:val="clear" w:color="auto" w:fill="auto"/>
            <w:noWrap/>
            <w:vAlign w:val="center"/>
            <w:hideMark/>
          </w:tcPr>
          <w:p w14:paraId="7A5DDB6B"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1.500,00</w:t>
            </w:r>
          </w:p>
        </w:tc>
        <w:tc>
          <w:tcPr>
            <w:tcW w:w="1289" w:type="dxa"/>
            <w:tcBorders>
              <w:top w:val="nil"/>
              <w:left w:val="nil"/>
              <w:bottom w:val="single" w:sz="4" w:space="0" w:color="auto"/>
              <w:right w:val="double" w:sz="6" w:space="0" w:color="auto"/>
            </w:tcBorders>
            <w:shd w:val="clear" w:color="auto" w:fill="auto"/>
            <w:noWrap/>
            <w:vAlign w:val="center"/>
            <w:hideMark/>
          </w:tcPr>
          <w:p w14:paraId="7DB7803E"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1.500,00</w:t>
            </w:r>
          </w:p>
        </w:tc>
      </w:tr>
      <w:tr w:rsidR="00E97428" w:rsidRPr="00E97428" w14:paraId="6C6FB97A" w14:textId="77777777" w:rsidTr="00E97428">
        <w:trPr>
          <w:trHeight w:val="300"/>
        </w:trPr>
        <w:tc>
          <w:tcPr>
            <w:tcW w:w="539"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FF95181" w14:textId="77777777" w:rsidR="00E97428" w:rsidRPr="00E97428" w:rsidRDefault="00E97428" w:rsidP="00E97428">
            <w:pPr>
              <w:ind w:left="0" w:right="0" w:firstLine="0"/>
              <w:jc w:val="center"/>
              <w:rPr>
                <w:sz w:val="20"/>
                <w:szCs w:val="20"/>
                <w:lang w:val="sr-Latn-BA" w:eastAsia="sr-Latn-BA"/>
              </w:rPr>
            </w:pPr>
            <w:r w:rsidRPr="00E97428">
              <w:rPr>
                <w:sz w:val="20"/>
                <w:szCs w:val="20"/>
                <w:lang w:val="sr-Latn-BA" w:eastAsia="sr-Latn-BA"/>
              </w:rPr>
              <w:t>14</w:t>
            </w:r>
          </w:p>
        </w:tc>
        <w:tc>
          <w:tcPr>
            <w:tcW w:w="5013" w:type="dxa"/>
            <w:tcBorders>
              <w:top w:val="nil"/>
              <w:left w:val="nil"/>
              <w:bottom w:val="single" w:sz="4" w:space="0" w:color="auto"/>
              <w:right w:val="single" w:sz="4" w:space="0" w:color="auto"/>
            </w:tcBorders>
            <w:shd w:val="clear" w:color="auto" w:fill="auto"/>
            <w:noWrap/>
            <w:vAlign w:val="center"/>
            <w:hideMark/>
          </w:tcPr>
          <w:p w14:paraId="4AB8B541" w14:textId="77777777" w:rsidR="00E97428" w:rsidRPr="00E97428" w:rsidRDefault="00E97428" w:rsidP="00E97428">
            <w:pPr>
              <w:ind w:left="0" w:right="0" w:firstLine="0"/>
              <w:jc w:val="left"/>
              <w:rPr>
                <w:sz w:val="20"/>
                <w:szCs w:val="20"/>
                <w:lang w:val="sr-Latn-BA" w:eastAsia="sr-Latn-BA"/>
              </w:rPr>
            </w:pPr>
            <w:proofErr w:type="spellStart"/>
            <w:r w:rsidRPr="00E97428">
              <w:rPr>
                <w:sz w:val="20"/>
                <w:szCs w:val="20"/>
                <w:lang w:val="sr-Latn-BA" w:eastAsia="sr-Latn-BA"/>
              </w:rPr>
              <w:t>Меџлис</w:t>
            </w:r>
            <w:proofErr w:type="spellEnd"/>
            <w:r w:rsidRPr="00E97428">
              <w:rPr>
                <w:sz w:val="20"/>
                <w:szCs w:val="20"/>
                <w:lang w:val="sr-Latn-BA" w:eastAsia="sr-Latn-BA"/>
              </w:rPr>
              <w:t xml:space="preserve"> </w:t>
            </w:r>
            <w:proofErr w:type="spellStart"/>
            <w:r w:rsidRPr="00E97428">
              <w:rPr>
                <w:sz w:val="20"/>
                <w:szCs w:val="20"/>
                <w:lang w:val="sr-Latn-BA" w:eastAsia="sr-Latn-BA"/>
              </w:rPr>
              <w:t>исламске</w:t>
            </w:r>
            <w:proofErr w:type="spellEnd"/>
            <w:r w:rsidRPr="00E97428">
              <w:rPr>
                <w:sz w:val="20"/>
                <w:szCs w:val="20"/>
                <w:lang w:val="sr-Latn-BA" w:eastAsia="sr-Latn-BA"/>
              </w:rPr>
              <w:t xml:space="preserve"> </w:t>
            </w:r>
            <w:proofErr w:type="spellStart"/>
            <w:r w:rsidRPr="00E97428">
              <w:rPr>
                <w:sz w:val="20"/>
                <w:szCs w:val="20"/>
                <w:lang w:val="sr-Latn-BA" w:eastAsia="sr-Latn-BA"/>
              </w:rPr>
              <w:t>заједнице</w:t>
            </w:r>
            <w:proofErr w:type="spellEnd"/>
            <w:r w:rsidRPr="00E97428">
              <w:rPr>
                <w:sz w:val="20"/>
                <w:szCs w:val="20"/>
                <w:lang w:val="sr-Latn-BA" w:eastAsia="sr-Latn-BA"/>
              </w:rPr>
              <w:t xml:space="preserve"> </w:t>
            </w:r>
            <w:proofErr w:type="spellStart"/>
            <w:r w:rsidRPr="00E97428">
              <w:rPr>
                <w:sz w:val="20"/>
                <w:szCs w:val="20"/>
                <w:lang w:val="sr-Latn-BA" w:eastAsia="sr-Latn-BA"/>
              </w:rPr>
              <w:t>Прњавор</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B0E4DF7"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4.510,00</w:t>
            </w:r>
          </w:p>
        </w:tc>
        <w:tc>
          <w:tcPr>
            <w:tcW w:w="1405" w:type="dxa"/>
            <w:tcBorders>
              <w:top w:val="nil"/>
              <w:left w:val="nil"/>
              <w:bottom w:val="single" w:sz="4" w:space="0" w:color="auto"/>
              <w:right w:val="single" w:sz="4" w:space="0" w:color="auto"/>
            </w:tcBorders>
            <w:shd w:val="clear" w:color="auto" w:fill="auto"/>
            <w:noWrap/>
            <w:vAlign w:val="center"/>
            <w:hideMark/>
          </w:tcPr>
          <w:p w14:paraId="5ED1BDEB"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4.000,00</w:t>
            </w:r>
          </w:p>
        </w:tc>
        <w:tc>
          <w:tcPr>
            <w:tcW w:w="1289" w:type="dxa"/>
            <w:tcBorders>
              <w:top w:val="nil"/>
              <w:left w:val="nil"/>
              <w:bottom w:val="single" w:sz="4" w:space="0" w:color="auto"/>
              <w:right w:val="double" w:sz="6" w:space="0" w:color="auto"/>
            </w:tcBorders>
            <w:shd w:val="clear" w:color="auto" w:fill="auto"/>
            <w:noWrap/>
            <w:vAlign w:val="center"/>
            <w:hideMark/>
          </w:tcPr>
          <w:p w14:paraId="2F6FBB43"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8.510,00</w:t>
            </w:r>
          </w:p>
        </w:tc>
      </w:tr>
      <w:tr w:rsidR="00E97428" w:rsidRPr="00E97428" w14:paraId="1B0D6A21" w14:textId="77777777" w:rsidTr="00E97428">
        <w:trPr>
          <w:trHeight w:val="525"/>
        </w:trPr>
        <w:tc>
          <w:tcPr>
            <w:tcW w:w="539" w:type="dxa"/>
            <w:tcBorders>
              <w:top w:val="nil"/>
              <w:left w:val="double" w:sz="6" w:space="0" w:color="auto"/>
              <w:bottom w:val="single" w:sz="4" w:space="0" w:color="auto"/>
              <w:right w:val="single" w:sz="4" w:space="0" w:color="auto"/>
            </w:tcBorders>
            <w:shd w:val="clear" w:color="auto" w:fill="auto"/>
            <w:noWrap/>
            <w:vAlign w:val="center"/>
            <w:hideMark/>
          </w:tcPr>
          <w:p w14:paraId="152B69BF" w14:textId="77777777" w:rsidR="00E97428" w:rsidRPr="00E97428" w:rsidRDefault="00E97428" w:rsidP="00E97428">
            <w:pPr>
              <w:ind w:left="0" w:right="0" w:firstLine="0"/>
              <w:jc w:val="center"/>
              <w:rPr>
                <w:sz w:val="20"/>
                <w:szCs w:val="20"/>
                <w:lang w:val="sr-Latn-BA" w:eastAsia="sr-Latn-BA"/>
              </w:rPr>
            </w:pPr>
            <w:r w:rsidRPr="00E97428">
              <w:rPr>
                <w:sz w:val="20"/>
                <w:szCs w:val="20"/>
                <w:lang w:val="sr-Latn-BA" w:eastAsia="sr-Latn-BA"/>
              </w:rPr>
              <w:t>15</w:t>
            </w:r>
          </w:p>
        </w:tc>
        <w:tc>
          <w:tcPr>
            <w:tcW w:w="5013" w:type="dxa"/>
            <w:tcBorders>
              <w:top w:val="nil"/>
              <w:left w:val="nil"/>
              <w:bottom w:val="single" w:sz="4" w:space="0" w:color="auto"/>
              <w:right w:val="single" w:sz="4" w:space="0" w:color="auto"/>
            </w:tcBorders>
            <w:shd w:val="clear" w:color="auto" w:fill="auto"/>
            <w:vAlign w:val="center"/>
            <w:hideMark/>
          </w:tcPr>
          <w:p w14:paraId="3D847192" w14:textId="77777777" w:rsidR="00E97428" w:rsidRPr="00E97428" w:rsidRDefault="00E97428" w:rsidP="00E97428">
            <w:pPr>
              <w:ind w:left="0" w:right="0" w:firstLine="0"/>
              <w:jc w:val="left"/>
              <w:rPr>
                <w:sz w:val="20"/>
                <w:szCs w:val="20"/>
                <w:lang w:val="sr-Latn-BA" w:eastAsia="sr-Latn-BA"/>
              </w:rPr>
            </w:pPr>
            <w:proofErr w:type="spellStart"/>
            <w:r w:rsidRPr="00E97428">
              <w:rPr>
                <w:sz w:val="20"/>
                <w:szCs w:val="20"/>
                <w:lang w:val="sr-Latn-BA" w:eastAsia="sr-Latn-BA"/>
              </w:rPr>
              <w:t>Украјинска</w:t>
            </w:r>
            <w:proofErr w:type="spellEnd"/>
            <w:r w:rsidRPr="00E97428">
              <w:rPr>
                <w:sz w:val="20"/>
                <w:szCs w:val="20"/>
                <w:lang w:val="sr-Latn-BA" w:eastAsia="sr-Latn-BA"/>
              </w:rPr>
              <w:t xml:space="preserve"> </w:t>
            </w:r>
            <w:proofErr w:type="spellStart"/>
            <w:r w:rsidRPr="00E97428">
              <w:rPr>
                <w:sz w:val="20"/>
                <w:szCs w:val="20"/>
                <w:lang w:val="sr-Latn-BA" w:eastAsia="sr-Latn-BA"/>
              </w:rPr>
              <w:t>гркокатоличка</w:t>
            </w:r>
            <w:proofErr w:type="spellEnd"/>
            <w:r w:rsidRPr="00E97428">
              <w:rPr>
                <w:sz w:val="20"/>
                <w:szCs w:val="20"/>
                <w:lang w:val="sr-Latn-BA" w:eastAsia="sr-Latn-BA"/>
              </w:rPr>
              <w:t xml:space="preserve"> </w:t>
            </w:r>
            <w:proofErr w:type="spellStart"/>
            <w:r w:rsidRPr="00E97428">
              <w:rPr>
                <w:sz w:val="20"/>
                <w:szCs w:val="20"/>
                <w:lang w:val="sr-Latn-BA" w:eastAsia="sr-Latn-BA"/>
              </w:rPr>
              <w:t>парохија</w:t>
            </w:r>
            <w:proofErr w:type="spellEnd"/>
            <w:r w:rsidRPr="00E97428">
              <w:rPr>
                <w:sz w:val="20"/>
                <w:szCs w:val="20"/>
                <w:lang w:val="sr-Latn-BA" w:eastAsia="sr-Latn-BA"/>
              </w:rPr>
              <w:t xml:space="preserve"> </w:t>
            </w:r>
            <w:proofErr w:type="spellStart"/>
            <w:r w:rsidRPr="00E97428">
              <w:rPr>
                <w:sz w:val="20"/>
                <w:szCs w:val="20"/>
                <w:lang w:val="sr-Latn-BA" w:eastAsia="sr-Latn-BA"/>
              </w:rPr>
              <w:t>Преображења</w:t>
            </w:r>
            <w:proofErr w:type="spellEnd"/>
            <w:r w:rsidRPr="00E97428">
              <w:rPr>
                <w:sz w:val="20"/>
                <w:szCs w:val="20"/>
                <w:lang w:val="sr-Latn-BA" w:eastAsia="sr-Latn-BA"/>
              </w:rPr>
              <w:t xml:space="preserve"> </w:t>
            </w:r>
            <w:proofErr w:type="spellStart"/>
            <w:r w:rsidRPr="00E97428">
              <w:rPr>
                <w:sz w:val="20"/>
                <w:szCs w:val="20"/>
                <w:lang w:val="sr-Latn-BA" w:eastAsia="sr-Latn-BA"/>
              </w:rPr>
              <w:t>Господњег</w:t>
            </w:r>
            <w:proofErr w:type="spellEnd"/>
            <w:r w:rsidRPr="00E97428">
              <w:rPr>
                <w:sz w:val="20"/>
                <w:szCs w:val="20"/>
                <w:lang w:val="sr-Latn-BA" w:eastAsia="sr-Latn-BA"/>
              </w:rPr>
              <w:t xml:space="preserve"> </w:t>
            </w:r>
            <w:proofErr w:type="spellStart"/>
            <w:r w:rsidRPr="00E97428">
              <w:rPr>
                <w:sz w:val="20"/>
                <w:szCs w:val="20"/>
                <w:lang w:val="sr-Latn-BA" w:eastAsia="sr-Latn-BA"/>
              </w:rPr>
              <w:t>Прњавор</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1D05B5D3"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2.200,00</w:t>
            </w:r>
          </w:p>
        </w:tc>
        <w:tc>
          <w:tcPr>
            <w:tcW w:w="1405" w:type="dxa"/>
            <w:tcBorders>
              <w:top w:val="nil"/>
              <w:left w:val="nil"/>
              <w:bottom w:val="single" w:sz="4" w:space="0" w:color="auto"/>
              <w:right w:val="single" w:sz="4" w:space="0" w:color="auto"/>
            </w:tcBorders>
            <w:shd w:val="clear" w:color="auto" w:fill="auto"/>
            <w:noWrap/>
            <w:vAlign w:val="center"/>
            <w:hideMark/>
          </w:tcPr>
          <w:p w14:paraId="7F1D1393"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0,00</w:t>
            </w:r>
          </w:p>
        </w:tc>
        <w:tc>
          <w:tcPr>
            <w:tcW w:w="1289" w:type="dxa"/>
            <w:tcBorders>
              <w:top w:val="nil"/>
              <w:left w:val="nil"/>
              <w:bottom w:val="single" w:sz="4" w:space="0" w:color="auto"/>
              <w:right w:val="double" w:sz="6" w:space="0" w:color="auto"/>
            </w:tcBorders>
            <w:shd w:val="clear" w:color="auto" w:fill="auto"/>
            <w:noWrap/>
            <w:vAlign w:val="center"/>
            <w:hideMark/>
          </w:tcPr>
          <w:p w14:paraId="1984E9E3"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2.200,00</w:t>
            </w:r>
          </w:p>
        </w:tc>
      </w:tr>
      <w:tr w:rsidR="00E97428" w:rsidRPr="00E97428" w14:paraId="4A5E658B" w14:textId="77777777" w:rsidTr="00E97428">
        <w:trPr>
          <w:trHeight w:val="300"/>
        </w:trPr>
        <w:tc>
          <w:tcPr>
            <w:tcW w:w="5552" w:type="dxa"/>
            <w:gridSpan w:val="2"/>
            <w:tcBorders>
              <w:top w:val="double" w:sz="6" w:space="0" w:color="auto"/>
              <w:left w:val="double" w:sz="6" w:space="0" w:color="auto"/>
              <w:bottom w:val="double" w:sz="6" w:space="0" w:color="auto"/>
              <w:right w:val="single" w:sz="4" w:space="0" w:color="auto"/>
            </w:tcBorders>
            <w:shd w:val="clear" w:color="auto" w:fill="auto"/>
            <w:vAlign w:val="center"/>
            <w:hideMark/>
          </w:tcPr>
          <w:p w14:paraId="6CAD4475" w14:textId="77777777" w:rsidR="00E97428" w:rsidRPr="00E97428" w:rsidRDefault="00E97428" w:rsidP="00E97428">
            <w:pPr>
              <w:ind w:left="0" w:right="0" w:firstLine="0"/>
              <w:jc w:val="center"/>
              <w:rPr>
                <w:b/>
                <w:bCs/>
                <w:sz w:val="20"/>
                <w:szCs w:val="20"/>
                <w:lang w:val="sr-Latn-BA" w:eastAsia="sr-Latn-BA"/>
              </w:rPr>
            </w:pPr>
            <w:r w:rsidRPr="00E97428">
              <w:rPr>
                <w:b/>
                <w:bCs/>
                <w:sz w:val="20"/>
                <w:szCs w:val="20"/>
                <w:lang w:val="sr-Latn-BA" w:eastAsia="sr-Latn-BA"/>
              </w:rPr>
              <w:t>У К У П Н О</w:t>
            </w:r>
          </w:p>
        </w:tc>
        <w:tc>
          <w:tcPr>
            <w:tcW w:w="1275" w:type="dxa"/>
            <w:tcBorders>
              <w:top w:val="double" w:sz="6" w:space="0" w:color="auto"/>
              <w:left w:val="nil"/>
              <w:bottom w:val="double" w:sz="6" w:space="0" w:color="auto"/>
              <w:right w:val="single" w:sz="4" w:space="0" w:color="auto"/>
            </w:tcBorders>
            <w:shd w:val="clear" w:color="auto" w:fill="auto"/>
            <w:noWrap/>
            <w:vAlign w:val="center"/>
            <w:hideMark/>
          </w:tcPr>
          <w:p w14:paraId="4E283FDA" w14:textId="77777777" w:rsidR="00E97428" w:rsidRPr="00E97428" w:rsidRDefault="00E97428" w:rsidP="00E97428">
            <w:pPr>
              <w:ind w:left="0" w:right="0" w:firstLine="0"/>
              <w:jc w:val="right"/>
              <w:rPr>
                <w:b/>
                <w:bCs/>
                <w:sz w:val="20"/>
                <w:szCs w:val="20"/>
                <w:lang w:val="sr-Latn-BA" w:eastAsia="sr-Latn-BA"/>
              </w:rPr>
            </w:pPr>
            <w:r w:rsidRPr="00E97428">
              <w:rPr>
                <w:b/>
                <w:bCs/>
                <w:sz w:val="20"/>
                <w:szCs w:val="20"/>
                <w:lang w:val="sr-Latn-BA" w:eastAsia="sr-Latn-BA"/>
              </w:rPr>
              <w:t>50.910,00</w:t>
            </w:r>
          </w:p>
        </w:tc>
        <w:tc>
          <w:tcPr>
            <w:tcW w:w="1405" w:type="dxa"/>
            <w:tcBorders>
              <w:top w:val="double" w:sz="6" w:space="0" w:color="auto"/>
              <w:left w:val="nil"/>
              <w:bottom w:val="double" w:sz="6" w:space="0" w:color="auto"/>
              <w:right w:val="single" w:sz="4" w:space="0" w:color="auto"/>
            </w:tcBorders>
            <w:shd w:val="clear" w:color="auto" w:fill="auto"/>
            <w:noWrap/>
            <w:vAlign w:val="center"/>
            <w:hideMark/>
          </w:tcPr>
          <w:p w14:paraId="79267811" w14:textId="77777777" w:rsidR="00E97428" w:rsidRPr="00E97428" w:rsidRDefault="00E97428" w:rsidP="00E97428">
            <w:pPr>
              <w:ind w:left="0" w:right="0" w:firstLine="0"/>
              <w:jc w:val="right"/>
              <w:rPr>
                <w:b/>
                <w:bCs/>
                <w:sz w:val="20"/>
                <w:szCs w:val="20"/>
                <w:lang w:val="sr-Latn-BA" w:eastAsia="sr-Latn-BA"/>
              </w:rPr>
            </w:pPr>
            <w:r w:rsidRPr="00E97428">
              <w:rPr>
                <w:b/>
                <w:bCs/>
                <w:sz w:val="20"/>
                <w:szCs w:val="20"/>
                <w:lang w:val="sr-Latn-BA" w:eastAsia="sr-Latn-BA"/>
              </w:rPr>
              <w:t>24.312,57</w:t>
            </w:r>
          </w:p>
        </w:tc>
        <w:tc>
          <w:tcPr>
            <w:tcW w:w="1289" w:type="dxa"/>
            <w:tcBorders>
              <w:top w:val="double" w:sz="6" w:space="0" w:color="auto"/>
              <w:left w:val="nil"/>
              <w:bottom w:val="double" w:sz="6" w:space="0" w:color="auto"/>
              <w:right w:val="double" w:sz="6" w:space="0" w:color="auto"/>
            </w:tcBorders>
            <w:shd w:val="clear" w:color="auto" w:fill="auto"/>
            <w:noWrap/>
            <w:vAlign w:val="center"/>
            <w:hideMark/>
          </w:tcPr>
          <w:p w14:paraId="53D91744" w14:textId="77777777" w:rsidR="00E97428" w:rsidRPr="00E97428" w:rsidRDefault="00E97428" w:rsidP="00E97428">
            <w:pPr>
              <w:ind w:left="0" w:right="0" w:firstLine="0"/>
              <w:jc w:val="right"/>
              <w:rPr>
                <w:b/>
                <w:bCs/>
                <w:sz w:val="20"/>
                <w:szCs w:val="20"/>
                <w:lang w:val="sr-Latn-BA" w:eastAsia="sr-Latn-BA"/>
              </w:rPr>
            </w:pPr>
            <w:r w:rsidRPr="00E97428">
              <w:rPr>
                <w:b/>
                <w:bCs/>
                <w:sz w:val="20"/>
                <w:szCs w:val="20"/>
                <w:lang w:val="sr-Latn-BA" w:eastAsia="sr-Latn-BA"/>
              </w:rPr>
              <w:t>75.222,57</w:t>
            </w:r>
          </w:p>
        </w:tc>
      </w:tr>
    </w:tbl>
    <w:p w14:paraId="226A572C" w14:textId="77777777" w:rsidR="009E25AB" w:rsidRDefault="009E25AB" w:rsidP="00E97428">
      <w:pPr>
        <w:autoSpaceDE w:val="0"/>
        <w:autoSpaceDN w:val="0"/>
        <w:adjustRightInd w:val="0"/>
        <w:ind w:left="0" w:right="0" w:firstLine="0"/>
        <w:rPr>
          <w:rFonts w:eastAsia="Calibri"/>
          <w:bCs/>
          <w:lang w:val="sr-Cyrl-BA" w:eastAsia="en-US"/>
        </w:rPr>
      </w:pPr>
    </w:p>
    <w:p w14:paraId="649EE602" w14:textId="77777777" w:rsidR="00E97428" w:rsidRPr="00CB0F57" w:rsidRDefault="00E97428" w:rsidP="00E97428">
      <w:pPr>
        <w:autoSpaceDE w:val="0"/>
        <w:autoSpaceDN w:val="0"/>
        <w:adjustRightInd w:val="0"/>
        <w:ind w:left="0" w:right="-858" w:firstLine="0"/>
        <w:rPr>
          <w:rFonts w:eastAsia="Calibri"/>
          <w:bCs/>
          <w:lang w:val="sr-Latn-RS" w:eastAsia="en-US"/>
        </w:rPr>
      </w:pPr>
      <w:r>
        <w:rPr>
          <w:rFonts w:eastAsia="Calibri"/>
          <w:bCs/>
          <w:lang w:val="sr-Cyrl-BA" w:eastAsia="en-US"/>
        </w:rPr>
        <w:tab/>
        <w:t xml:space="preserve">Позиција </w:t>
      </w:r>
      <w:r>
        <w:rPr>
          <w:rFonts w:eastAsia="Calibri"/>
          <w:b/>
          <w:bCs/>
          <w:lang w:val="sr-Cyrl-BA" w:eastAsia="en-US"/>
        </w:rPr>
        <w:t xml:space="preserve">Капитални </w:t>
      </w:r>
      <w:proofErr w:type="spellStart"/>
      <w:r>
        <w:rPr>
          <w:rFonts w:eastAsia="Calibri"/>
          <w:b/>
          <w:bCs/>
          <w:lang w:val="sr-Cyrl-BA" w:eastAsia="en-US"/>
        </w:rPr>
        <w:t>грант</w:t>
      </w:r>
      <w:proofErr w:type="spellEnd"/>
      <w:r>
        <w:rPr>
          <w:rFonts w:eastAsia="Calibri"/>
          <w:b/>
          <w:bCs/>
          <w:lang w:val="sr-Cyrl-BA" w:eastAsia="en-US"/>
        </w:rPr>
        <w:t xml:space="preserve"> – изградња спортског центра – пројекат „Фифа гол“ </w:t>
      </w:r>
      <w:r>
        <w:rPr>
          <w:rFonts w:eastAsia="Calibri"/>
          <w:bCs/>
          <w:lang w:val="sr-Cyrl-BA" w:eastAsia="en-US"/>
        </w:rPr>
        <w:t xml:space="preserve">реализована је у износу од 243.390,65 КМ, што је 100% од планираних средстава. </w:t>
      </w:r>
      <w:r w:rsidRPr="00AE3829">
        <w:rPr>
          <w:rFonts w:eastAsia="Calibri"/>
          <w:bCs/>
          <w:lang w:val="sr-Cyrl-BA" w:eastAsia="en-US"/>
        </w:rPr>
        <w:t xml:space="preserve">Реализована средства односе се на учешће општине Прњавор у изградњи </w:t>
      </w:r>
      <w:r w:rsidR="00AE3829" w:rsidRPr="00AE3829">
        <w:rPr>
          <w:rFonts w:eastAsia="Calibri"/>
          <w:bCs/>
          <w:lang w:val="sr-Cyrl-BA" w:eastAsia="en-US"/>
        </w:rPr>
        <w:t>Спортског фудбалског центра у Прњавору</w:t>
      </w:r>
      <w:r w:rsidRPr="00AE3829">
        <w:rPr>
          <w:rFonts w:eastAsia="Calibri"/>
          <w:bCs/>
          <w:lang w:val="sr-Cyrl-BA" w:eastAsia="en-US"/>
        </w:rPr>
        <w:t xml:space="preserve"> </w:t>
      </w:r>
      <w:r w:rsidR="00AE3829" w:rsidRPr="00AE3829">
        <w:rPr>
          <w:rFonts w:eastAsia="Calibri"/>
          <w:bCs/>
          <w:lang w:val="sr-Cyrl-BA" w:eastAsia="en-US"/>
        </w:rPr>
        <w:t xml:space="preserve">на основу потписаног Споразума о заједничком потхвату/аранжману закљученим између </w:t>
      </w:r>
      <w:proofErr w:type="spellStart"/>
      <w:r w:rsidR="00AE3829" w:rsidRPr="00AE3829">
        <w:rPr>
          <w:rFonts w:eastAsia="Calibri"/>
          <w:bCs/>
          <w:lang w:val="sr-Cyrl-BA" w:eastAsia="en-US"/>
        </w:rPr>
        <w:t>Ногоментног</w:t>
      </w:r>
      <w:proofErr w:type="spellEnd"/>
      <w:r w:rsidR="00AE3829" w:rsidRPr="00AE3829">
        <w:rPr>
          <w:rFonts w:eastAsia="Calibri"/>
          <w:bCs/>
          <w:lang w:val="sr-Cyrl-BA" w:eastAsia="en-US"/>
        </w:rPr>
        <w:t>/фудбалског савеза Босне и Херцеговине, Фудбалског савеза Републике Српске, Општине Прњавор и Ф</w:t>
      </w:r>
      <w:proofErr w:type="spellStart"/>
      <w:r w:rsidR="00CB0F57">
        <w:rPr>
          <w:rFonts w:eastAsia="Calibri"/>
          <w:bCs/>
          <w:lang w:val="sr-Cyrl-RS" w:eastAsia="en-US"/>
        </w:rPr>
        <w:t>удбалског</w:t>
      </w:r>
      <w:proofErr w:type="spellEnd"/>
      <w:r w:rsidR="00CB0F57">
        <w:rPr>
          <w:rFonts w:eastAsia="Calibri"/>
          <w:bCs/>
          <w:lang w:val="sr-Cyrl-RS" w:eastAsia="en-US"/>
        </w:rPr>
        <w:t xml:space="preserve"> клуба</w:t>
      </w:r>
      <w:r w:rsidR="00AE3829" w:rsidRPr="00AE3829">
        <w:rPr>
          <w:rFonts w:eastAsia="Calibri"/>
          <w:bCs/>
          <w:lang w:val="sr-Cyrl-BA" w:eastAsia="en-US"/>
        </w:rPr>
        <w:t xml:space="preserve"> „Љубић“ Прњавор</w:t>
      </w:r>
      <w:r w:rsidR="00E27E5B">
        <w:rPr>
          <w:rFonts w:eastAsia="Calibri"/>
          <w:bCs/>
          <w:lang w:val="sr-Cyrl-BA" w:eastAsia="en-US"/>
        </w:rPr>
        <w:t>. Средства су одобрена Ногометном/фудбалском савезу Босне и Херцеговине</w:t>
      </w:r>
      <w:r w:rsidR="00CB0F57">
        <w:rPr>
          <w:rFonts w:eastAsia="Calibri"/>
          <w:bCs/>
          <w:lang w:val="sr-Cyrl-BA" w:eastAsia="en-US"/>
        </w:rPr>
        <w:t xml:space="preserve">, који је за реализацију пројекта путем програма </w:t>
      </w:r>
      <w:r w:rsidR="00CB0F57">
        <w:rPr>
          <w:rFonts w:eastAsia="Calibri"/>
          <w:bCs/>
          <w:lang w:val="sr-Latn-RS" w:eastAsia="en-US"/>
        </w:rPr>
        <w:t xml:space="preserve">FIFA </w:t>
      </w:r>
      <w:proofErr w:type="spellStart"/>
      <w:r w:rsidR="00CB0F57">
        <w:rPr>
          <w:rFonts w:eastAsia="Calibri"/>
          <w:bCs/>
          <w:lang w:val="sr-Latn-RS" w:eastAsia="en-US"/>
        </w:rPr>
        <w:t>Forward</w:t>
      </w:r>
      <w:proofErr w:type="spellEnd"/>
      <w:r w:rsidR="00CB0F57">
        <w:rPr>
          <w:rFonts w:eastAsia="Calibri"/>
          <w:bCs/>
          <w:lang w:val="sr-Latn-RS" w:eastAsia="en-US"/>
        </w:rPr>
        <w:t xml:space="preserve"> I </w:t>
      </w:r>
      <w:proofErr w:type="spellStart"/>
      <w:r w:rsidR="00CB0F57">
        <w:rPr>
          <w:rFonts w:eastAsia="Calibri"/>
          <w:bCs/>
          <w:lang w:val="sr-Cyrl-RS" w:eastAsia="en-US"/>
        </w:rPr>
        <w:t>обезбиједио</w:t>
      </w:r>
      <w:proofErr w:type="spellEnd"/>
      <w:r w:rsidR="00CB0F57">
        <w:rPr>
          <w:rFonts w:eastAsia="Calibri"/>
          <w:bCs/>
          <w:lang w:val="sr-Cyrl-RS" w:eastAsia="en-US"/>
        </w:rPr>
        <w:t xml:space="preserve"> 299.000,00 </w:t>
      </w:r>
      <w:r w:rsidR="00CB0F57">
        <w:rPr>
          <w:rFonts w:eastAsia="Calibri"/>
          <w:bCs/>
          <w:lang w:val="sr-Latn-RS" w:eastAsia="en-US"/>
        </w:rPr>
        <w:t>USD.</w:t>
      </w:r>
    </w:p>
    <w:p w14:paraId="3EEACF51" w14:textId="77777777" w:rsidR="009E25AB" w:rsidRDefault="009E25AB" w:rsidP="003E0BA8">
      <w:pPr>
        <w:autoSpaceDE w:val="0"/>
        <w:autoSpaceDN w:val="0"/>
        <w:adjustRightInd w:val="0"/>
        <w:ind w:left="0" w:right="0" w:firstLine="0"/>
        <w:jc w:val="center"/>
        <w:rPr>
          <w:rFonts w:eastAsia="Calibri"/>
          <w:bCs/>
          <w:lang w:eastAsia="en-US"/>
        </w:rPr>
      </w:pPr>
    </w:p>
    <w:p w14:paraId="5120222D" w14:textId="77777777" w:rsidR="00F137BB" w:rsidRPr="00E7769E" w:rsidRDefault="00E63627" w:rsidP="009B71BB">
      <w:pPr>
        <w:pStyle w:val="Podnaslov3"/>
        <w:ind w:right="-794" w:firstLine="720"/>
        <w:rPr>
          <w:sz w:val="24"/>
          <w:szCs w:val="24"/>
        </w:rPr>
      </w:pPr>
      <w:bookmarkStart w:id="59" w:name="_Toc491329734"/>
      <w:bookmarkStart w:id="60" w:name="_Toc530745882"/>
      <w:bookmarkStart w:id="61" w:name="_Toc50641202"/>
      <w:r w:rsidRPr="00E7769E">
        <w:rPr>
          <w:sz w:val="24"/>
          <w:szCs w:val="24"/>
        </w:rPr>
        <w:t>Б.</w:t>
      </w:r>
      <w:r w:rsidR="00A32AA2" w:rsidRPr="00E7769E">
        <w:rPr>
          <w:sz w:val="24"/>
          <w:szCs w:val="24"/>
        </w:rPr>
        <w:t>6</w:t>
      </w:r>
      <w:r w:rsidR="00F137BB" w:rsidRPr="00E7769E">
        <w:rPr>
          <w:sz w:val="24"/>
          <w:szCs w:val="24"/>
        </w:rPr>
        <w:t>. Дознаке на име социјалне заштите које се исплаћују</w:t>
      </w:r>
      <w:bookmarkEnd w:id="59"/>
      <w:bookmarkEnd w:id="60"/>
      <w:bookmarkEnd w:id="61"/>
    </w:p>
    <w:p w14:paraId="58CC0AB0" w14:textId="77777777" w:rsidR="00F137BB" w:rsidRPr="00E7769E" w:rsidRDefault="00BE025C" w:rsidP="00F137BB">
      <w:pPr>
        <w:pStyle w:val="Podnaslov3"/>
        <w:rPr>
          <w:sz w:val="24"/>
          <w:szCs w:val="24"/>
        </w:rPr>
      </w:pPr>
      <w:bookmarkStart w:id="62" w:name="_Toc491329735"/>
      <w:bookmarkStart w:id="63" w:name="_Toc530745883"/>
      <w:bookmarkStart w:id="64" w:name="_Toc50641203"/>
      <w:r>
        <w:rPr>
          <w:sz w:val="24"/>
          <w:szCs w:val="24"/>
          <w:lang w:val="sr-Cyrl-RS"/>
        </w:rPr>
        <w:t xml:space="preserve">                    </w:t>
      </w:r>
      <w:r w:rsidR="00F137BB" w:rsidRPr="00E7769E">
        <w:rPr>
          <w:sz w:val="24"/>
          <w:szCs w:val="24"/>
        </w:rPr>
        <w:t>из буџета општине</w:t>
      </w:r>
      <w:bookmarkEnd w:id="62"/>
      <w:bookmarkEnd w:id="63"/>
      <w:bookmarkEnd w:id="64"/>
    </w:p>
    <w:p w14:paraId="26C2E2D2" w14:textId="77777777" w:rsidR="00F137BB" w:rsidRDefault="00F137BB" w:rsidP="00F137BB">
      <w:pPr>
        <w:ind w:left="0" w:firstLine="0"/>
        <w:rPr>
          <w:b/>
          <w:i/>
        </w:rPr>
      </w:pPr>
    </w:p>
    <w:p w14:paraId="1D8466D0" w14:textId="77777777" w:rsidR="00E97428" w:rsidRDefault="00F137BB" w:rsidP="00E97428">
      <w:pPr>
        <w:ind w:left="0" w:firstLine="720"/>
        <w:rPr>
          <w:lang w:val="sr-Cyrl-BA"/>
        </w:rPr>
      </w:pPr>
      <w:r>
        <w:rPr>
          <w:b/>
          <w:i/>
        </w:rPr>
        <w:t xml:space="preserve">Дознаке на име социјалне заштите које се исплаћују из буџета општине </w:t>
      </w:r>
      <w:r>
        <w:t xml:space="preserve">извршене су у износу од </w:t>
      </w:r>
      <w:r w:rsidR="00E97428">
        <w:t>3.086,922,61</w:t>
      </w:r>
      <w:r>
        <w:t xml:space="preserve"> КМ, што је </w:t>
      </w:r>
      <w:r w:rsidR="00E97428">
        <w:t>98,20</w:t>
      </w:r>
      <w:r>
        <w:t>% од планираних средстава.</w:t>
      </w:r>
      <w:r w:rsidR="009D275F">
        <w:rPr>
          <w:lang w:val="sr-Latn-RS"/>
        </w:rPr>
        <w:t xml:space="preserve"> </w:t>
      </w:r>
      <w:r>
        <w:t xml:space="preserve">Дознаке на име социјалне заштите које су реализоване у </w:t>
      </w:r>
      <w:proofErr w:type="spellStart"/>
      <w:r>
        <w:t>извјештајном</w:t>
      </w:r>
      <w:proofErr w:type="spellEnd"/>
      <w:r>
        <w:t xml:space="preserve"> периоду односе се на дознаке грађанима и пружаоцима услуга социјалне заштите које се реализују преко Центра за социјални рад у укупном износу од </w:t>
      </w:r>
      <w:r w:rsidR="00E97428">
        <w:rPr>
          <w:lang w:val="sr-Cyrl-BA"/>
        </w:rPr>
        <w:t>2.621.390,75</w:t>
      </w:r>
      <w:r>
        <w:t xml:space="preserve"> КМ, и дознаке грађанима које се реализују преко </w:t>
      </w:r>
      <w:proofErr w:type="spellStart"/>
      <w:r>
        <w:t>одјељења</w:t>
      </w:r>
      <w:proofErr w:type="spellEnd"/>
      <w:r>
        <w:t xml:space="preserve"> Општинске управе општине Прњавор у укупном износу од </w:t>
      </w:r>
      <w:r w:rsidR="00E97428">
        <w:t xml:space="preserve">465.531,86 КМ. </w:t>
      </w:r>
      <w:r w:rsidR="00E97428" w:rsidRPr="001D1ECD">
        <w:t xml:space="preserve">У наредној табели дат је преглед </w:t>
      </w:r>
      <w:proofErr w:type="spellStart"/>
      <w:r w:rsidR="00E97428" w:rsidRPr="001D1ECD">
        <w:rPr>
          <w:lang w:val="sr-Latn-CS"/>
        </w:rPr>
        <w:t>дознака</w:t>
      </w:r>
      <w:proofErr w:type="spellEnd"/>
      <w:r w:rsidR="00E97428" w:rsidRPr="001D1ECD">
        <w:rPr>
          <w:lang w:val="sr-Latn-CS"/>
        </w:rPr>
        <w:t xml:space="preserve"> </w:t>
      </w:r>
      <w:proofErr w:type="spellStart"/>
      <w:r w:rsidR="00E97428" w:rsidRPr="001D1ECD">
        <w:rPr>
          <w:lang w:val="sr-Latn-CS"/>
        </w:rPr>
        <w:t>на</w:t>
      </w:r>
      <w:proofErr w:type="spellEnd"/>
      <w:r w:rsidR="00E97428" w:rsidRPr="001D1ECD">
        <w:rPr>
          <w:lang w:val="sr-Latn-CS"/>
        </w:rPr>
        <w:t xml:space="preserve"> </w:t>
      </w:r>
      <w:proofErr w:type="spellStart"/>
      <w:r w:rsidR="00E97428" w:rsidRPr="001D1ECD">
        <w:rPr>
          <w:lang w:val="sr-Latn-CS"/>
        </w:rPr>
        <w:t>име</w:t>
      </w:r>
      <w:proofErr w:type="spellEnd"/>
      <w:r w:rsidR="00E97428" w:rsidRPr="001D1ECD">
        <w:rPr>
          <w:lang w:val="sr-Latn-CS"/>
        </w:rPr>
        <w:t xml:space="preserve"> </w:t>
      </w:r>
      <w:proofErr w:type="spellStart"/>
      <w:r w:rsidR="00E97428" w:rsidRPr="001D1ECD">
        <w:rPr>
          <w:lang w:val="sr-Latn-CS"/>
        </w:rPr>
        <w:t>социјалне</w:t>
      </w:r>
      <w:proofErr w:type="spellEnd"/>
      <w:r w:rsidR="00E97428" w:rsidRPr="001D1ECD">
        <w:rPr>
          <w:lang w:val="sr-Latn-CS"/>
        </w:rPr>
        <w:t xml:space="preserve"> </w:t>
      </w:r>
      <w:proofErr w:type="spellStart"/>
      <w:r w:rsidR="00E97428" w:rsidRPr="001D1ECD">
        <w:rPr>
          <w:lang w:val="sr-Latn-CS"/>
        </w:rPr>
        <w:t>заштите</w:t>
      </w:r>
      <w:proofErr w:type="spellEnd"/>
      <w:r w:rsidR="00E97428" w:rsidRPr="001D1ECD">
        <w:t xml:space="preserve"> које се односе на дознаке реализоване преко </w:t>
      </w:r>
      <w:proofErr w:type="spellStart"/>
      <w:r w:rsidR="00E97428" w:rsidRPr="001D1ECD">
        <w:t>одјељења</w:t>
      </w:r>
      <w:proofErr w:type="spellEnd"/>
      <w:r w:rsidR="00E97428" w:rsidRPr="001D1ECD">
        <w:t xml:space="preserve"> Општинске управе општине Прњавор.</w:t>
      </w:r>
      <w:r w:rsidR="00E97428">
        <w:tab/>
      </w:r>
    </w:p>
    <w:p w14:paraId="7B68E8D7" w14:textId="77777777" w:rsidR="00E97428" w:rsidRDefault="00E97428" w:rsidP="00E97428">
      <w:pPr>
        <w:ind w:left="0" w:firstLine="720"/>
        <w:rPr>
          <w:lang w:val="sr-Cyrl-BA"/>
        </w:rPr>
      </w:pPr>
    </w:p>
    <w:p w14:paraId="02B9718D" w14:textId="77777777" w:rsidR="00E97428" w:rsidRPr="001D1ECD" w:rsidRDefault="00E97428" w:rsidP="00E97428">
      <w:pPr>
        <w:ind w:left="0" w:firstLine="0"/>
        <w:jc w:val="center"/>
      </w:pPr>
      <w:r>
        <w:rPr>
          <w:rFonts w:eastAsia="Calibri"/>
          <w:bCs/>
          <w:lang w:eastAsia="en-US"/>
        </w:rPr>
        <w:t xml:space="preserve">Табела бр. </w:t>
      </w:r>
      <w:r>
        <w:rPr>
          <w:rFonts w:eastAsia="Calibri"/>
          <w:bCs/>
          <w:lang w:val="sr-Cyrl-BA" w:eastAsia="en-US"/>
        </w:rPr>
        <w:t>11</w:t>
      </w:r>
      <w:r>
        <w:rPr>
          <w:rFonts w:eastAsia="Calibri"/>
          <w:bCs/>
          <w:lang w:eastAsia="en-US"/>
        </w:rPr>
        <w:t xml:space="preserve">. </w:t>
      </w:r>
      <w:r w:rsidRPr="001D1ECD">
        <w:t>Преглед буџетских позиција које се односе на дознаке на име социјалне</w:t>
      </w:r>
    </w:p>
    <w:p w14:paraId="1F45E200" w14:textId="77777777" w:rsidR="00E97428" w:rsidRPr="001D1ECD" w:rsidRDefault="00E97428" w:rsidP="00E97428">
      <w:pPr>
        <w:ind w:left="0" w:firstLine="0"/>
        <w:jc w:val="center"/>
      </w:pPr>
      <w:r w:rsidRPr="001D1ECD">
        <w:t xml:space="preserve">заштите реализоване преко </w:t>
      </w:r>
      <w:proofErr w:type="spellStart"/>
      <w:r w:rsidRPr="001D1ECD">
        <w:t>одјељења</w:t>
      </w:r>
      <w:proofErr w:type="spellEnd"/>
      <w:r w:rsidRPr="001D1ECD">
        <w:t xml:space="preserve"> Општинске управе општине Прњавор</w:t>
      </w:r>
    </w:p>
    <w:tbl>
      <w:tblPr>
        <w:tblW w:w="9521" w:type="dxa"/>
        <w:tblInd w:w="85" w:type="dxa"/>
        <w:tblLook w:val="04A0" w:firstRow="1" w:lastRow="0" w:firstColumn="1" w:lastColumn="0" w:noHBand="0" w:noVBand="1"/>
      </w:tblPr>
      <w:tblGrid>
        <w:gridCol w:w="603"/>
        <w:gridCol w:w="7217"/>
        <w:gridCol w:w="1701"/>
      </w:tblGrid>
      <w:tr w:rsidR="00E97428" w:rsidRPr="00E97428" w14:paraId="7704F0BE" w14:textId="77777777" w:rsidTr="00E97428">
        <w:trPr>
          <w:trHeight w:val="585"/>
          <w:tblHeader/>
        </w:trPr>
        <w:tc>
          <w:tcPr>
            <w:tcW w:w="603" w:type="dxa"/>
            <w:tcBorders>
              <w:top w:val="double" w:sz="6" w:space="0" w:color="auto"/>
              <w:left w:val="double" w:sz="6" w:space="0" w:color="auto"/>
              <w:bottom w:val="double" w:sz="6" w:space="0" w:color="auto"/>
              <w:right w:val="single" w:sz="4" w:space="0" w:color="auto"/>
            </w:tcBorders>
            <w:shd w:val="clear" w:color="auto" w:fill="auto"/>
            <w:vAlign w:val="center"/>
            <w:hideMark/>
          </w:tcPr>
          <w:p w14:paraId="56FBE12F" w14:textId="77777777" w:rsidR="00E97428" w:rsidRPr="00E97428" w:rsidRDefault="00E97428" w:rsidP="00E97428">
            <w:pPr>
              <w:ind w:left="0" w:right="0" w:firstLine="0"/>
              <w:jc w:val="center"/>
              <w:rPr>
                <w:b/>
                <w:bCs/>
                <w:sz w:val="20"/>
                <w:szCs w:val="20"/>
                <w:lang w:val="sr-Latn-BA" w:eastAsia="sr-Latn-BA"/>
              </w:rPr>
            </w:pPr>
            <w:proofErr w:type="spellStart"/>
            <w:r w:rsidRPr="00E97428">
              <w:rPr>
                <w:b/>
                <w:bCs/>
                <w:sz w:val="20"/>
                <w:szCs w:val="20"/>
                <w:lang w:val="sr-Latn-BA" w:eastAsia="sr-Latn-BA"/>
              </w:rPr>
              <w:t>Р.б</w:t>
            </w:r>
            <w:proofErr w:type="spellEnd"/>
            <w:r w:rsidRPr="00E97428">
              <w:rPr>
                <w:b/>
                <w:bCs/>
                <w:sz w:val="20"/>
                <w:szCs w:val="20"/>
                <w:lang w:val="sr-Latn-BA" w:eastAsia="sr-Latn-BA"/>
              </w:rPr>
              <w:t>.</w:t>
            </w:r>
          </w:p>
        </w:tc>
        <w:tc>
          <w:tcPr>
            <w:tcW w:w="7217" w:type="dxa"/>
            <w:tcBorders>
              <w:top w:val="double" w:sz="6" w:space="0" w:color="auto"/>
              <w:left w:val="nil"/>
              <w:bottom w:val="double" w:sz="6" w:space="0" w:color="auto"/>
              <w:right w:val="single" w:sz="4" w:space="0" w:color="auto"/>
            </w:tcBorders>
            <w:shd w:val="clear" w:color="auto" w:fill="auto"/>
            <w:vAlign w:val="center"/>
            <w:hideMark/>
          </w:tcPr>
          <w:p w14:paraId="17FAA7FC" w14:textId="77777777" w:rsidR="00E97428" w:rsidRPr="00E97428" w:rsidRDefault="00E97428" w:rsidP="00E97428">
            <w:pPr>
              <w:ind w:left="0" w:right="0" w:firstLine="0"/>
              <w:jc w:val="center"/>
              <w:rPr>
                <w:b/>
                <w:bCs/>
                <w:sz w:val="20"/>
                <w:szCs w:val="20"/>
                <w:lang w:val="sr-Latn-BA" w:eastAsia="sr-Latn-BA"/>
              </w:rPr>
            </w:pPr>
            <w:r w:rsidRPr="00E97428">
              <w:rPr>
                <w:b/>
                <w:bCs/>
                <w:sz w:val="20"/>
                <w:szCs w:val="20"/>
                <w:lang w:val="sr-Latn-BA" w:eastAsia="sr-Latn-BA"/>
              </w:rPr>
              <w:t>Н а з и в    п о з и ц и ј е</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14:paraId="060B3535" w14:textId="77777777" w:rsidR="00E97428" w:rsidRPr="00E97428" w:rsidRDefault="00E97428" w:rsidP="00E97428">
            <w:pPr>
              <w:ind w:left="0" w:right="0" w:firstLine="0"/>
              <w:jc w:val="center"/>
              <w:rPr>
                <w:b/>
                <w:bCs/>
                <w:sz w:val="20"/>
                <w:szCs w:val="20"/>
                <w:lang w:val="sr-Latn-BA" w:eastAsia="sr-Latn-BA"/>
              </w:rPr>
            </w:pPr>
            <w:proofErr w:type="spellStart"/>
            <w:r w:rsidRPr="00E97428">
              <w:rPr>
                <w:b/>
                <w:bCs/>
                <w:sz w:val="20"/>
                <w:szCs w:val="20"/>
                <w:lang w:val="sr-Latn-BA" w:eastAsia="sr-Latn-BA"/>
              </w:rPr>
              <w:t>Износ</w:t>
            </w:r>
            <w:proofErr w:type="spellEnd"/>
            <w:r w:rsidRPr="00E97428">
              <w:rPr>
                <w:b/>
                <w:bCs/>
                <w:sz w:val="20"/>
                <w:szCs w:val="20"/>
                <w:lang w:val="sr-Latn-BA" w:eastAsia="sr-Latn-BA"/>
              </w:rPr>
              <w:t xml:space="preserve"> (КМ)</w:t>
            </w:r>
          </w:p>
        </w:tc>
      </w:tr>
      <w:tr w:rsidR="00E97428" w:rsidRPr="00E97428" w14:paraId="1D442E80" w14:textId="77777777" w:rsidTr="00E97428">
        <w:trPr>
          <w:trHeight w:val="284"/>
        </w:trPr>
        <w:tc>
          <w:tcPr>
            <w:tcW w:w="603"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13949599" w14:textId="77777777" w:rsidR="00E97428" w:rsidRPr="00E97428" w:rsidRDefault="00E97428" w:rsidP="00E97428">
            <w:pPr>
              <w:ind w:left="0" w:right="0" w:firstLine="0"/>
              <w:jc w:val="center"/>
              <w:rPr>
                <w:sz w:val="20"/>
                <w:szCs w:val="20"/>
                <w:lang w:val="sr-Latn-BA" w:eastAsia="sr-Latn-BA"/>
              </w:rPr>
            </w:pPr>
            <w:r w:rsidRPr="00E97428">
              <w:rPr>
                <w:sz w:val="20"/>
                <w:szCs w:val="20"/>
                <w:lang w:val="sr-Latn-BA" w:eastAsia="sr-Latn-BA"/>
              </w:rPr>
              <w:t>1</w:t>
            </w:r>
          </w:p>
        </w:tc>
        <w:tc>
          <w:tcPr>
            <w:tcW w:w="7217" w:type="dxa"/>
            <w:tcBorders>
              <w:top w:val="nil"/>
              <w:left w:val="nil"/>
              <w:bottom w:val="single" w:sz="4" w:space="0" w:color="auto"/>
              <w:right w:val="single" w:sz="4" w:space="0" w:color="auto"/>
            </w:tcBorders>
            <w:shd w:val="clear" w:color="auto" w:fill="auto"/>
            <w:vAlign w:val="center"/>
            <w:hideMark/>
          </w:tcPr>
          <w:p w14:paraId="463BC9B3" w14:textId="77777777" w:rsidR="00E97428" w:rsidRPr="00E97428" w:rsidRDefault="00E97428" w:rsidP="00E97428">
            <w:pPr>
              <w:ind w:left="0" w:right="0" w:firstLine="0"/>
              <w:jc w:val="left"/>
              <w:rPr>
                <w:sz w:val="20"/>
                <w:szCs w:val="20"/>
                <w:lang w:val="sr-Latn-BA" w:eastAsia="sr-Latn-BA"/>
              </w:rPr>
            </w:pPr>
            <w:proofErr w:type="spellStart"/>
            <w:r w:rsidRPr="00E97428">
              <w:rPr>
                <w:sz w:val="20"/>
                <w:szCs w:val="20"/>
                <w:lang w:val="sr-Latn-BA" w:eastAsia="sr-Latn-BA"/>
              </w:rPr>
              <w:t>Једнократна</w:t>
            </w:r>
            <w:proofErr w:type="spellEnd"/>
            <w:r w:rsidRPr="00E97428">
              <w:rPr>
                <w:sz w:val="20"/>
                <w:szCs w:val="20"/>
                <w:lang w:val="sr-Latn-BA" w:eastAsia="sr-Latn-BA"/>
              </w:rPr>
              <w:t xml:space="preserve"> </w:t>
            </w:r>
            <w:proofErr w:type="spellStart"/>
            <w:r w:rsidRPr="00E97428">
              <w:rPr>
                <w:sz w:val="20"/>
                <w:szCs w:val="20"/>
                <w:lang w:val="sr-Latn-BA" w:eastAsia="sr-Latn-BA"/>
              </w:rPr>
              <w:t>новчана</w:t>
            </w:r>
            <w:proofErr w:type="spellEnd"/>
            <w:r w:rsidRPr="00E97428">
              <w:rPr>
                <w:sz w:val="20"/>
                <w:szCs w:val="20"/>
                <w:lang w:val="sr-Latn-BA" w:eastAsia="sr-Latn-BA"/>
              </w:rPr>
              <w:t xml:space="preserve"> </w:t>
            </w:r>
            <w:proofErr w:type="spellStart"/>
            <w:r w:rsidRPr="00E97428">
              <w:rPr>
                <w:sz w:val="20"/>
                <w:szCs w:val="20"/>
                <w:lang w:val="sr-Latn-BA" w:eastAsia="sr-Latn-BA"/>
              </w:rPr>
              <w:t>помоћ</w:t>
            </w:r>
            <w:proofErr w:type="spellEnd"/>
            <w:r w:rsidRPr="00E97428">
              <w:rPr>
                <w:sz w:val="20"/>
                <w:szCs w:val="20"/>
                <w:lang w:val="sr-Latn-BA" w:eastAsia="sr-Latn-BA"/>
              </w:rPr>
              <w:t xml:space="preserve"> </w:t>
            </w:r>
            <w:proofErr w:type="spellStart"/>
            <w:r w:rsidRPr="00E97428">
              <w:rPr>
                <w:sz w:val="20"/>
                <w:szCs w:val="20"/>
                <w:lang w:val="sr-Latn-BA" w:eastAsia="sr-Latn-BA"/>
              </w:rPr>
              <w:t>комуналним</w:t>
            </w:r>
            <w:proofErr w:type="spellEnd"/>
            <w:r w:rsidRPr="00E97428">
              <w:rPr>
                <w:sz w:val="20"/>
                <w:szCs w:val="20"/>
                <w:lang w:val="sr-Latn-BA" w:eastAsia="sr-Latn-BA"/>
              </w:rPr>
              <w:t xml:space="preserve"> </w:t>
            </w:r>
            <w:proofErr w:type="spellStart"/>
            <w:r w:rsidRPr="00E97428">
              <w:rPr>
                <w:sz w:val="20"/>
                <w:szCs w:val="20"/>
                <w:lang w:val="sr-Latn-BA" w:eastAsia="sr-Latn-BA"/>
              </w:rPr>
              <w:t>полицајцима</w:t>
            </w:r>
            <w:proofErr w:type="spellEnd"/>
            <w:r w:rsidRPr="00E97428">
              <w:rPr>
                <w:sz w:val="20"/>
                <w:szCs w:val="20"/>
                <w:lang w:val="sr-Latn-BA" w:eastAsia="sr-Latn-BA"/>
              </w:rPr>
              <w:t xml:space="preserve"> </w:t>
            </w:r>
            <w:proofErr w:type="spellStart"/>
            <w:r w:rsidRPr="00E97428">
              <w:rPr>
                <w:sz w:val="20"/>
                <w:szCs w:val="20"/>
                <w:lang w:val="sr-Latn-BA" w:eastAsia="sr-Latn-BA"/>
              </w:rPr>
              <w:t>из</w:t>
            </w:r>
            <w:proofErr w:type="spellEnd"/>
            <w:r w:rsidRPr="00E97428">
              <w:rPr>
                <w:sz w:val="20"/>
                <w:szCs w:val="20"/>
                <w:lang w:val="sr-Latn-BA" w:eastAsia="sr-Latn-BA"/>
              </w:rPr>
              <w:t xml:space="preserve"> </w:t>
            </w:r>
            <w:proofErr w:type="spellStart"/>
            <w:r w:rsidRPr="00E97428">
              <w:rPr>
                <w:sz w:val="20"/>
                <w:szCs w:val="20"/>
                <w:lang w:val="sr-Latn-BA" w:eastAsia="sr-Latn-BA"/>
              </w:rPr>
              <w:t>средстава</w:t>
            </w:r>
            <w:proofErr w:type="spellEnd"/>
            <w:r w:rsidRPr="00E97428">
              <w:rPr>
                <w:sz w:val="20"/>
                <w:szCs w:val="20"/>
                <w:lang w:val="sr-Latn-BA" w:eastAsia="sr-Latn-BA"/>
              </w:rPr>
              <w:t xml:space="preserve"> </w:t>
            </w:r>
            <w:proofErr w:type="spellStart"/>
            <w:r w:rsidRPr="00E97428">
              <w:rPr>
                <w:sz w:val="20"/>
                <w:szCs w:val="20"/>
                <w:lang w:val="sr-Latn-BA" w:eastAsia="sr-Latn-BA"/>
              </w:rPr>
              <w:t>Фонда</w:t>
            </w:r>
            <w:proofErr w:type="spellEnd"/>
            <w:r w:rsidRPr="00E97428">
              <w:rPr>
                <w:sz w:val="20"/>
                <w:szCs w:val="20"/>
                <w:lang w:val="sr-Latn-BA" w:eastAsia="sr-Latn-BA"/>
              </w:rPr>
              <w:t xml:space="preserve"> </w:t>
            </w:r>
            <w:proofErr w:type="spellStart"/>
            <w:r w:rsidRPr="00E97428">
              <w:rPr>
                <w:sz w:val="20"/>
                <w:szCs w:val="20"/>
                <w:lang w:val="sr-Latn-BA" w:eastAsia="sr-Latn-BA"/>
              </w:rPr>
              <w:t>солидарности</w:t>
            </w:r>
            <w:proofErr w:type="spellEnd"/>
            <w:r w:rsidRPr="00E97428">
              <w:rPr>
                <w:sz w:val="20"/>
                <w:szCs w:val="20"/>
                <w:lang w:val="sr-Latn-BA" w:eastAsia="sr-Latn-BA"/>
              </w:rPr>
              <w:t xml:space="preserve"> </w:t>
            </w:r>
            <w:proofErr w:type="spellStart"/>
            <w:r w:rsidRPr="00E97428">
              <w:rPr>
                <w:sz w:val="20"/>
                <w:szCs w:val="20"/>
                <w:lang w:val="sr-Latn-BA" w:eastAsia="sr-Latn-BA"/>
              </w:rPr>
              <w:t>за</w:t>
            </w:r>
            <w:proofErr w:type="spellEnd"/>
            <w:r w:rsidRPr="00E97428">
              <w:rPr>
                <w:sz w:val="20"/>
                <w:szCs w:val="20"/>
                <w:lang w:val="sr-Latn-BA" w:eastAsia="sr-Latn-BA"/>
              </w:rPr>
              <w:t xml:space="preserve"> </w:t>
            </w:r>
            <w:proofErr w:type="spellStart"/>
            <w:r w:rsidRPr="00E97428">
              <w:rPr>
                <w:sz w:val="20"/>
                <w:szCs w:val="20"/>
                <w:lang w:val="sr-Latn-BA" w:eastAsia="sr-Latn-BA"/>
              </w:rPr>
              <w:t>обнову</w:t>
            </w:r>
            <w:proofErr w:type="spellEnd"/>
            <w:r w:rsidRPr="00E97428">
              <w:rPr>
                <w:sz w:val="20"/>
                <w:szCs w:val="20"/>
                <w:lang w:val="sr-Latn-BA" w:eastAsia="sr-Latn-BA"/>
              </w:rPr>
              <w:t xml:space="preserve"> РС</w:t>
            </w:r>
          </w:p>
        </w:tc>
        <w:tc>
          <w:tcPr>
            <w:tcW w:w="1701" w:type="dxa"/>
            <w:tcBorders>
              <w:top w:val="single" w:sz="4" w:space="0" w:color="auto"/>
              <w:left w:val="nil"/>
              <w:bottom w:val="single" w:sz="4" w:space="0" w:color="auto"/>
              <w:right w:val="double" w:sz="6" w:space="0" w:color="auto"/>
            </w:tcBorders>
            <w:shd w:val="clear" w:color="000000" w:fill="FFFFFF"/>
            <w:noWrap/>
            <w:vAlign w:val="center"/>
            <w:hideMark/>
          </w:tcPr>
          <w:p w14:paraId="7EB5BDED"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3.000,00</w:t>
            </w:r>
          </w:p>
        </w:tc>
      </w:tr>
      <w:tr w:rsidR="00E97428" w:rsidRPr="00E97428" w14:paraId="68B10BAA" w14:textId="77777777" w:rsidTr="00E97428">
        <w:trPr>
          <w:trHeight w:val="284"/>
        </w:trPr>
        <w:tc>
          <w:tcPr>
            <w:tcW w:w="603" w:type="dxa"/>
            <w:tcBorders>
              <w:top w:val="nil"/>
              <w:left w:val="double" w:sz="6" w:space="0" w:color="auto"/>
              <w:bottom w:val="single" w:sz="4" w:space="0" w:color="auto"/>
              <w:right w:val="single" w:sz="4" w:space="0" w:color="auto"/>
            </w:tcBorders>
            <w:shd w:val="clear" w:color="auto" w:fill="auto"/>
            <w:noWrap/>
            <w:vAlign w:val="center"/>
            <w:hideMark/>
          </w:tcPr>
          <w:p w14:paraId="5BB8B2A6" w14:textId="77777777" w:rsidR="00E97428" w:rsidRPr="00E97428" w:rsidRDefault="00E97428" w:rsidP="00E97428">
            <w:pPr>
              <w:ind w:left="0" w:right="0" w:firstLine="0"/>
              <w:jc w:val="center"/>
              <w:rPr>
                <w:sz w:val="20"/>
                <w:szCs w:val="20"/>
                <w:lang w:val="sr-Latn-BA" w:eastAsia="sr-Latn-BA"/>
              </w:rPr>
            </w:pPr>
            <w:r w:rsidRPr="00E97428">
              <w:rPr>
                <w:sz w:val="20"/>
                <w:szCs w:val="20"/>
                <w:lang w:val="sr-Latn-BA" w:eastAsia="sr-Latn-BA"/>
              </w:rPr>
              <w:t>2</w:t>
            </w:r>
          </w:p>
        </w:tc>
        <w:tc>
          <w:tcPr>
            <w:tcW w:w="7217" w:type="dxa"/>
            <w:tcBorders>
              <w:top w:val="nil"/>
              <w:left w:val="nil"/>
              <w:bottom w:val="single" w:sz="4" w:space="0" w:color="auto"/>
              <w:right w:val="single" w:sz="4" w:space="0" w:color="auto"/>
            </w:tcBorders>
            <w:shd w:val="clear" w:color="auto" w:fill="auto"/>
            <w:noWrap/>
            <w:vAlign w:val="center"/>
            <w:hideMark/>
          </w:tcPr>
          <w:p w14:paraId="57AA7573" w14:textId="77777777" w:rsidR="00E97428" w:rsidRPr="00E97428" w:rsidRDefault="00E97428" w:rsidP="00E97428">
            <w:pPr>
              <w:ind w:left="0" w:right="0" w:firstLine="0"/>
              <w:jc w:val="left"/>
              <w:rPr>
                <w:sz w:val="20"/>
                <w:szCs w:val="20"/>
                <w:lang w:val="sr-Latn-BA" w:eastAsia="sr-Latn-BA"/>
              </w:rPr>
            </w:pPr>
            <w:proofErr w:type="spellStart"/>
            <w:r w:rsidRPr="00E97428">
              <w:rPr>
                <w:sz w:val="20"/>
                <w:szCs w:val="20"/>
                <w:lang w:val="sr-Latn-BA" w:eastAsia="sr-Latn-BA"/>
              </w:rPr>
              <w:t>Средства</w:t>
            </w:r>
            <w:proofErr w:type="spellEnd"/>
            <w:r w:rsidRPr="00E97428">
              <w:rPr>
                <w:sz w:val="20"/>
                <w:szCs w:val="20"/>
                <w:lang w:val="sr-Latn-BA" w:eastAsia="sr-Latn-BA"/>
              </w:rPr>
              <w:t xml:space="preserve"> </w:t>
            </w:r>
            <w:proofErr w:type="spellStart"/>
            <w:r w:rsidRPr="00E97428">
              <w:rPr>
                <w:sz w:val="20"/>
                <w:szCs w:val="20"/>
                <w:lang w:val="sr-Latn-BA" w:eastAsia="sr-Latn-BA"/>
              </w:rPr>
              <w:t>за</w:t>
            </w:r>
            <w:proofErr w:type="spellEnd"/>
            <w:r w:rsidRPr="00E97428">
              <w:rPr>
                <w:sz w:val="20"/>
                <w:szCs w:val="20"/>
                <w:lang w:val="sr-Latn-BA" w:eastAsia="sr-Latn-BA"/>
              </w:rPr>
              <w:t xml:space="preserve"> </w:t>
            </w:r>
            <w:proofErr w:type="spellStart"/>
            <w:r w:rsidRPr="00E97428">
              <w:rPr>
                <w:sz w:val="20"/>
                <w:szCs w:val="20"/>
                <w:lang w:val="sr-Latn-BA" w:eastAsia="sr-Latn-BA"/>
              </w:rPr>
              <w:t>стипендије</w:t>
            </w:r>
            <w:proofErr w:type="spellEnd"/>
            <w:r w:rsidRPr="00E97428">
              <w:rPr>
                <w:sz w:val="20"/>
                <w:szCs w:val="20"/>
                <w:lang w:val="sr-Latn-BA" w:eastAsia="sr-Latn-BA"/>
              </w:rPr>
              <w:t xml:space="preserve"> </w:t>
            </w:r>
            <w:proofErr w:type="spellStart"/>
            <w:r w:rsidRPr="00E97428">
              <w:rPr>
                <w:sz w:val="20"/>
                <w:szCs w:val="20"/>
                <w:lang w:val="sr-Latn-BA" w:eastAsia="sr-Latn-BA"/>
              </w:rPr>
              <w:t>ученика</w:t>
            </w:r>
            <w:proofErr w:type="spellEnd"/>
            <w:r w:rsidRPr="00E97428">
              <w:rPr>
                <w:sz w:val="20"/>
                <w:szCs w:val="20"/>
                <w:lang w:val="sr-Latn-BA" w:eastAsia="sr-Latn-BA"/>
              </w:rPr>
              <w:t xml:space="preserve"> и </w:t>
            </w:r>
            <w:proofErr w:type="spellStart"/>
            <w:r w:rsidRPr="00E97428">
              <w:rPr>
                <w:sz w:val="20"/>
                <w:szCs w:val="20"/>
                <w:lang w:val="sr-Latn-BA" w:eastAsia="sr-Latn-BA"/>
              </w:rPr>
              <w:t>студената</w:t>
            </w:r>
            <w:proofErr w:type="spellEnd"/>
            <w:r w:rsidRPr="00E97428">
              <w:rPr>
                <w:sz w:val="20"/>
                <w:szCs w:val="20"/>
                <w:lang w:val="sr-Latn-BA" w:eastAsia="sr-Latn-BA"/>
              </w:rPr>
              <w:t xml:space="preserve"> </w:t>
            </w:r>
          </w:p>
        </w:tc>
        <w:tc>
          <w:tcPr>
            <w:tcW w:w="1701" w:type="dxa"/>
            <w:tcBorders>
              <w:top w:val="nil"/>
              <w:left w:val="nil"/>
              <w:bottom w:val="single" w:sz="4" w:space="0" w:color="auto"/>
              <w:right w:val="double" w:sz="6" w:space="0" w:color="auto"/>
            </w:tcBorders>
            <w:shd w:val="clear" w:color="000000" w:fill="FFFFFF"/>
            <w:noWrap/>
            <w:vAlign w:val="center"/>
            <w:hideMark/>
          </w:tcPr>
          <w:p w14:paraId="4168B33D"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232.500,00</w:t>
            </w:r>
          </w:p>
        </w:tc>
      </w:tr>
      <w:tr w:rsidR="00E97428" w:rsidRPr="00E97428" w14:paraId="3FCD0348" w14:textId="77777777" w:rsidTr="00E97428">
        <w:trPr>
          <w:trHeight w:val="284"/>
        </w:trPr>
        <w:tc>
          <w:tcPr>
            <w:tcW w:w="603" w:type="dxa"/>
            <w:tcBorders>
              <w:top w:val="nil"/>
              <w:left w:val="double" w:sz="6" w:space="0" w:color="auto"/>
              <w:bottom w:val="single" w:sz="4" w:space="0" w:color="auto"/>
              <w:right w:val="single" w:sz="4" w:space="0" w:color="auto"/>
            </w:tcBorders>
            <w:shd w:val="clear" w:color="auto" w:fill="auto"/>
            <w:noWrap/>
            <w:vAlign w:val="center"/>
            <w:hideMark/>
          </w:tcPr>
          <w:p w14:paraId="6B197729" w14:textId="77777777" w:rsidR="00E97428" w:rsidRPr="00E97428" w:rsidRDefault="00E97428" w:rsidP="00E97428">
            <w:pPr>
              <w:ind w:left="0" w:right="0" w:firstLine="0"/>
              <w:jc w:val="center"/>
              <w:rPr>
                <w:sz w:val="20"/>
                <w:szCs w:val="20"/>
                <w:lang w:val="sr-Latn-BA" w:eastAsia="sr-Latn-BA"/>
              </w:rPr>
            </w:pPr>
            <w:r w:rsidRPr="00E97428">
              <w:rPr>
                <w:sz w:val="20"/>
                <w:szCs w:val="20"/>
                <w:lang w:val="sr-Latn-BA" w:eastAsia="sr-Latn-BA"/>
              </w:rPr>
              <w:t>3</w:t>
            </w:r>
          </w:p>
        </w:tc>
        <w:tc>
          <w:tcPr>
            <w:tcW w:w="7217" w:type="dxa"/>
            <w:tcBorders>
              <w:top w:val="nil"/>
              <w:left w:val="nil"/>
              <w:bottom w:val="single" w:sz="4" w:space="0" w:color="auto"/>
              <w:right w:val="single" w:sz="4" w:space="0" w:color="auto"/>
            </w:tcBorders>
            <w:shd w:val="clear" w:color="auto" w:fill="auto"/>
            <w:noWrap/>
            <w:vAlign w:val="center"/>
            <w:hideMark/>
          </w:tcPr>
          <w:p w14:paraId="4AFD4A24" w14:textId="77777777" w:rsidR="00E97428" w:rsidRPr="00E97428" w:rsidRDefault="00E97428" w:rsidP="00E97428">
            <w:pPr>
              <w:ind w:left="0" w:right="0" w:firstLine="0"/>
              <w:jc w:val="left"/>
              <w:rPr>
                <w:sz w:val="20"/>
                <w:szCs w:val="20"/>
                <w:lang w:val="sr-Latn-BA" w:eastAsia="sr-Latn-BA"/>
              </w:rPr>
            </w:pPr>
            <w:proofErr w:type="spellStart"/>
            <w:r w:rsidRPr="00E97428">
              <w:rPr>
                <w:sz w:val="20"/>
                <w:szCs w:val="20"/>
                <w:lang w:val="sr-Latn-BA" w:eastAsia="sr-Latn-BA"/>
              </w:rPr>
              <w:t>Средства</w:t>
            </w:r>
            <w:proofErr w:type="spellEnd"/>
            <w:r w:rsidRPr="00E97428">
              <w:rPr>
                <w:sz w:val="20"/>
                <w:szCs w:val="20"/>
                <w:lang w:val="sr-Latn-BA" w:eastAsia="sr-Latn-BA"/>
              </w:rPr>
              <w:t xml:space="preserve"> </w:t>
            </w:r>
            <w:proofErr w:type="spellStart"/>
            <w:r w:rsidRPr="00E97428">
              <w:rPr>
                <w:sz w:val="20"/>
                <w:szCs w:val="20"/>
                <w:lang w:val="sr-Latn-BA" w:eastAsia="sr-Latn-BA"/>
              </w:rPr>
              <w:t>за</w:t>
            </w:r>
            <w:proofErr w:type="spellEnd"/>
            <w:r w:rsidRPr="00E97428">
              <w:rPr>
                <w:sz w:val="20"/>
                <w:szCs w:val="20"/>
                <w:lang w:val="sr-Latn-BA" w:eastAsia="sr-Latn-BA"/>
              </w:rPr>
              <w:t xml:space="preserve"> </w:t>
            </w:r>
            <w:proofErr w:type="spellStart"/>
            <w:r w:rsidRPr="00E97428">
              <w:rPr>
                <w:sz w:val="20"/>
                <w:szCs w:val="20"/>
                <w:lang w:val="sr-Latn-BA" w:eastAsia="sr-Latn-BA"/>
              </w:rPr>
              <w:t>студентске</w:t>
            </w:r>
            <w:proofErr w:type="spellEnd"/>
            <w:r w:rsidRPr="00E97428">
              <w:rPr>
                <w:sz w:val="20"/>
                <w:szCs w:val="20"/>
                <w:lang w:val="sr-Latn-BA" w:eastAsia="sr-Latn-BA"/>
              </w:rPr>
              <w:t xml:space="preserve"> </w:t>
            </w:r>
            <w:proofErr w:type="spellStart"/>
            <w:r w:rsidRPr="00E97428">
              <w:rPr>
                <w:sz w:val="20"/>
                <w:szCs w:val="20"/>
                <w:lang w:val="sr-Latn-BA" w:eastAsia="sr-Latn-BA"/>
              </w:rPr>
              <w:t>награде</w:t>
            </w:r>
            <w:proofErr w:type="spellEnd"/>
            <w:r w:rsidRPr="00E97428">
              <w:rPr>
                <w:sz w:val="20"/>
                <w:szCs w:val="20"/>
                <w:lang w:val="sr-Latn-BA" w:eastAsia="sr-Latn-BA"/>
              </w:rPr>
              <w:t xml:space="preserve"> - </w:t>
            </w:r>
            <w:proofErr w:type="spellStart"/>
            <w:r w:rsidRPr="00E97428">
              <w:rPr>
                <w:sz w:val="20"/>
                <w:szCs w:val="20"/>
                <w:lang w:val="sr-Latn-BA" w:eastAsia="sr-Latn-BA"/>
              </w:rPr>
              <w:t>посебни</w:t>
            </w:r>
            <w:proofErr w:type="spellEnd"/>
            <w:r w:rsidRPr="00E97428">
              <w:rPr>
                <w:sz w:val="20"/>
                <w:szCs w:val="20"/>
                <w:lang w:val="sr-Latn-BA" w:eastAsia="sr-Latn-BA"/>
              </w:rPr>
              <w:t xml:space="preserve"> </w:t>
            </w:r>
            <w:proofErr w:type="spellStart"/>
            <w:r w:rsidRPr="00E97428">
              <w:rPr>
                <w:sz w:val="20"/>
                <w:szCs w:val="20"/>
                <w:lang w:val="sr-Latn-BA" w:eastAsia="sr-Latn-BA"/>
              </w:rPr>
              <w:t>резултати</w:t>
            </w:r>
            <w:proofErr w:type="spellEnd"/>
            <w:r w:rsidRPr="00E97428">
              <w:rPr>
                <w:sz w:val="20"/>
                <w:szCs w:val="20"/>
                <w:lang w:val="sr-Latn-BA" w:eastAsia="sr-Latn-BA"/>
              </w:rPr>
              <w:t xml:space="preserve"> </w:t>
            </w:r>
            <w:proofErr w:type="spellStart"/>
            <w:r w:rsidRPr="00E97428">
              <w:rPr>
                <w:sz w:val="20"/>
                <w:szCs w:val="20"/>
                <w:lang w:val="sr-Latn-BA" w:eastAsia="sr-Latn-BA"/>
              </w:rPr>
              <w:t>током</w:t>
            </w:r>
            <w:proofErr w:type="spellEnd"/>
            <w:r w:rsidRPr="00E97428">
              <w:rPr>
                <w:sz w:val="20"/>
                <w:szCs w:val="20"/>
                <w:lang w:val="sr-Latn-BA" w:eastAsia="sr-Latn-BA"/>
              </w:rPr>
              <w:t xml:space="preserve"> </w:t>
            </w:r>
            <w:proofErr w:type="spellStart"/>
            <w:r w:rsidRPr="00E97428">
              <w:rPr>
                <w:sz w:val="20"/>
                <w:szCs w:val="20"/>
                <w:lang w:val="sr-Latn-BA" w:eastAsia="sr-Latn-BA"/>
              </w:rPr>
              <w:t>школовања</w:t>
            </w:r>
            <w:proofErr w:type="spellEnd"/>
          </w:p>
        </w:tc>
        <w:tc>
          <w:tcPr>
            <w:tcW w:w="1701" w:type="dxa"/>
            <w:tcBorders>
              <w:top w:val="nil"/>
              <w:left w:val="nil"/>
              <w:bottom w:val="single" w:sz="4" w:space="0" w:color="auto"/>
              <w:right w:val="double" w:sz="6" w:space="0" w:color="auto"/>
            </w:tcBorders>
            <w:shd w:val="clear" w:color="000000" w:fill="FFFFFF"/>
            <w:noWrap/>
            <w:vAlign w:val="center"/>
            <w:hideMark/>
          </w:tcPr>
          <w:p w14:paraId="721236CB"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35.549,24</w:t>
            </w:r>
          </w:p>
        </w:tc>
      </w:tr>
      <w:tr w:rsidR="00E97428" w:rsidRPr="00E97428" w14:paraId="6E47F3A6" w14:textId="77777777" w:rsidTr="00E97428">
        <w:trPr>
          <w:trHeight w:val="284"/>
        </w:trPr>
        <w:tc>
          <w:tcPr>
            <w:tcW w:w="603" w:type="dxa"/>
            <w:tcBorders>
              <w:top w:val="nil"/>
              <w:left w:val="double" w:sz="6" w:space="0" w:color="auto"/>
              <w:bottom w:val="single" w:sz="4" w:space="0" w:color="auto"/>
              <w:right w:val="single" w:sz="4" w:space="0" w:color="auto"/>
            </w:tcBorders>
            <w:shd w:val="clear" w:color="auto" w:fill="auto"/>
            <w:noWrap/>
            <w:vAlign w:val="center"/>
            <w:hideMark/>
          </w:tcPr>
          <w:p w14:paraId="3703AC9C" w14:textId="77777777" w:rsidR="00E97428" w:rsidRPr="00E97428" w:rsidRDefault="00E97428" w:rsidP="00E97428">
            <w:pPr>
              <w:ind w:left="0" w:right="0" w:firstLine="0"/>
              <w:jc w:val="center"/>
              <w:rPr>
                <w:sz w:val="20"/>
                <w:szCs w:val="20"/>
                <w:lang w:val="sr-Latn-BA" w:eastAsia="sr-Latn-BA"/>
              </w:rPr>
            </w:pPr>
            <w:r w:rsidRPr="00E97428">
              <w:rPr>
                <w:sz w:val="20"/>
                <w:szCs w:val="20"/>
                <w:lang w:val="sr-Latn-BA" w:eastAsia="sr-Latn-BA"/>
              </w:rPr>
              <w:lastRenderedPageBreak/>
              <w:t>4</w:t>
            </w:r>
          </w:p>
        </w:tc>
        <w:tc>
          <w:tcPr>
            <w:tcW w:w="7217" w:type="dxa"/>
            <w:tcBorders>
              <w:top w:val="nil"/>
              <w:left w:val="nil"/>
              <w:bottom w:val="single" w:sz="4" w:space="0" w:color="auto"/>
              <w:right w:val="single" w:sz="4" w:space="0" w:color="auto"/>
            </w:tcBorders>
            <w:shd w:val="clear" w:color="auto" w:fill="auto"/>
            <w:noWrap/>
            <w:vAlign w:val="center"/>
            <w:hideMark/>
          </w:tcPr>
          <w:p w14:paraId="2301B324" w14:textId="77777777" w:rsidR="00E97428" w:rsidRPr="00E97428" w:rsidRDefault="00E97428" w:rsidP="00E97428">
            <w:pPr>
              <w:ind w:left="0" w:right="0" w:firstLine="0"/>
              <w:jc w:val="left"/>
              <w:rPr>
                <w:sz w:val="20"/>
                <w:szCs w:val="20"/>
                <w:lang w:val="sr-Latn-BA" w:eastAsia="sr-Latn-BA"/>
              </w:rPr>
            </w:pPr>
            <w:proofErr w:type="spellStart"/>
            <w:r w:rsidRPr="00E97428">
              <w:rPr>
                <w:sz w:val="20"/>
                <w:szCs w:val="20"/>
                <w:lang w:val="sr-Latn-BA" w:eastAsia="sr-Latn-BA"/>
              </w:rPr>
              <w:t>Средства</w:t>
            </w:r>
            <w:proofErr w:type="spellEnd"/>
            <w:r w:rsidRPr="00E97428">
              <w:rPr>
                <w:sz w:val="20"/>
                <w:szCs w:val="20"/>
                <w:lang w:val="sr-Latn-BA" w:eastAsia="sr-Latn-BA"/>
              </w:rPr>
              <w:t xml:space="preserve"> </w:t>
            </w:r>
            <w:proofErr w:type="spellStart"/>
            <w:r w:rsidRPr="00E97428">
              <w:rPr>
                <w:sz w:val="20"/>
                <w:szCs w:val="20"/>
                <w:lang w:val="sr-Latn-BA" w:eastAsia="sr-Latn-BA"/>
              </w:rPr>
              <w:t>за</w:t>
            </w:r>
            <w:proofErr w:type="spellEnd"/>
            <w:r w:rsidRPr="00E97428">
              <w:rPr>
                <w:sz w:val="20"/>
                <w:szCs w:val="20"/>
                <w:lang w:val="sr-Latn-BA" w:eastAsia="sr-Latn-BA"/>
              </w:rPr>
              <w:t xml:space="preserve"> </w:t>
            </w:r>
            <w:proofErr w:type="spellStart"/>
            <w:r w:rsidRPr="00E97428">
              <w:rPr>
                <w:sz w:val="20"/>
                <w:szCs w:val="20"/>
                <w:lang w:val="sr-Latn-BA" w:eastAsia="sr-Latn-BA"/>
              </w:rPr>
              <w:t>једнократне</w:t>
            </w:r>
            <w:proofErr w:type="spellEnd"/>
            <w:r w:rsidRPr="00E97428">
              <w:rPr>
                <w:sz w:val="20"/>
                <w:szCs w:val="20"/>
                <w:lang w:val="sr-Latn-BA" w:eastAsia="sr-Latn-BA"/>
              </w:rPr>
              <w:t xml:space="preserve"> </w:t>
            </w:r>
            <w:proofErr w:type="spellStart"/>
            <w:r w:rsidRPr="00E97428">
              <w:rPr>
                <w:sz w:val="20"/>
                <w:szCs w:val="20"/>
                <w:lang w:val="sr-Latn-BA" w:eastAsia="sr-Latn-BA"/>
              </w:rPr>
              <w:t>помоћи</w:t>
            </w:r>
            <w:proofErr w:type="spellEnd"/>
            <w:r w:rsidRPr="00E97428">
              <w:rPr>
                <w:sz w:val="20"/>
                <w:szCs w:val="20"/>
                <w:lang w:val="sr-Latn-BA" w:eastAsia="sr-Latn-BA"/>
              </w:rPr>
              <w:t xml:space="preserve"> (</w:t>
            </w:r>
            <w:proofErr w:type="spellStart"/>
            <w:r w:rsidRPr="00E97428">
              <w:rPr>
                <w:sz w:val="20"/>
                <w:szCs w:val="20"/>
                <w:lang w:val="sr-Latn-BA" w:eastAsia="sr-Latn-BA"/>
              </w:rPr>
              <w:t>потр</w:t>
            </w:r>
            <w:proofErr w:type="spellEnd"/>
            <w:r w:rsidRPr="00E97428">
              <w:rPr>
                <w:sz w:val="20"/>
                <w:szCs w:val="20"/>
                <w:lang w:val="sr-Latn-BA" w:eastAsia="sr-Latn-BA"/>
              </w:rPr>
              <w:t xml:space="preserve">. </w:t>
            </w:r>
            <w:proofErr w:type="spellStart"/>
            <w:r w:rsidRPr="00E97428">
              <w:rPr>
                <w:sz w:val="20"/>
                <w:szCs w:val="20"/>
                <w:lang w:val="sr-Latn-BA" w:eastAsia="sr-Latn-BA"/>
              </w:rPr>
              <w:t>јед</w:t>
            </w:r>
            <w:proofErr w:type="spellEnd"/>
            <w:r w:rsidRPr="00E97428">
              <w:rPr>
                <w:sz w:val="20"/>
                <w:szCs w:val="20"/>
                <w:lang w:val="sr-Latn-BA" w:eastAsia="sr-Latn-BA"/>
              </w:rPr>
              <w:t>. 00750150)</w:t>
            </w:r>
          </w:p>
        </w:tc>
        <w:tc>
          <w:tcPr>
            <w:tcW w:w="1701" w:type="dxa"/>
            <w:tcBorders>
              <w:top w:val="nil"/>
              <w:left w:val="nil"/>
              <w:bottom w:val="single" w:sz="4" w:space="0" w:color="auto"/>
              <w:right w:val="double" w:sz="6" w:space="0" w:color="auto"/>
            </w:tcBorders>
            <w:shd w:val="clear" w:color="000000" w:fill="FFFFFF"/>
            <w:noWrap/>
            <w:vAlign w:val="center"/>
            <w:hideMark/>
          </w:tcPr>
          <w:p w14:paraId="13423716"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110.134,80</w:t>
            </w:r>
          </w:p>
        </w:tc>
      </w:tr>
      <w:tr w:rsidR="00E97428" w:rsidRPr="00E97428" w14:paraId="7CF7EDFA" w14:textId="77777777" w:rsidTr="00E97428">
        <w:trPr>
          <w:trHeight w:val="284"/>
        </w:trPr>
        <w:tc>
          <w:tcPr>
            <w:tcW w:w="603" w:type="dxa"/>
            <w:tcBorders>
              <w:top w:val="nil"/>
              <w:left w:val="double" w:sz="6" w:space="0" w:color="auto"/>
              <w:bottom w:val="single" w:sz="4" w:space="0" w:color="auto"/>
              <w:right w:val="single" w:sz="4" w:space="0" w:color="auto"/>
            </w:tcBorders>
            <w:shd w:val="clear" w:color="auto" w:fill="auto"/>
            <w:noWrap/>
            <w:vAlign w:val="center"/>
            <w:hideMark/>
          </w:tcPr>
          <w:p w14:paraId="595B0B08" w14:textId="77777777" w:rsidR="00E97428" w:rsidRPr="00E97428" w:rsidRDefault="00E97428" w:rsidP="00E97428">
            <w:pPr>
              <w:ind w:left="0" w:right="0" w:firstLine="0"/>
              <w:jc w:val="center"/>
              <w:rPr>
                <w:sz w:val="20"/>
                <w:szCs w:val="20"/>
                <w:lang w:val="sr-Latn-BA" w:eastAsia="sr-Latn-BA"/>
              </w:rPr>
            </w:pPr>
            <w:r w:rsidRPr="00E97428">
              <w:rPr>
                <w:sz w:val="20"/>
                <w:szCs w:val="20"/>
                <w:lang w:val="sr-Latn-BA" w:eastAsia="sr-Latn-BA"/>
              </w:rPr>
              <w:t>5</w:t>
            </w:r>
          </w:p>
        </w:tc>
        <w:tc>
          <w:tcPr>
            <w:tcW w:w="7217" w:type="dxa"/>
            <w:tcBorders>
              <w:top w:val="nil"/>
              <w:left w:val="nil"/>
              <w:bottom w:val="single" w:sz="4" w:space="0" w:color="auto"/>
              <w:right w:val="single" w:sz="4" w:space="0" w:color="auto"/>
            </w:tcBorders>
            <w:shd w:val="clear" w:color="auto" w:fill="auto"/>
            <w:vAlign w:val="center"/>
            <w:hideMark/>
          </w:tcPr>
          <w:p w14:paraId="14C3291F" w14:textId="77777777" w:rsidR="00E97428" w:rsidRPr="00E97428" w:rsidRDefault="00E97428" w:rsidP="00E97428">
            <w:pPr>
              <w:ind w:left="0" w:right="0" w:firstLine="0"/>
              <w:jc w:val="left"/>
              <w:rPr>
                <w:sz w:val="20"/>
                <w:szCs w:val="20"/>
                <w:lang w:val="sr-Latn-BA" w:eastAsia="sr-Latn-BA"/>
              </w:rPr>
            </w:pPr>
            <w:proofErr w:type="spellStart"/>
            <w:r w:rsidRPr="00E97428">
              <w:rPr>
                <w:sz w:val="20"/>
                <w:szCs w:val="20"/>
                <w:lang w:val="sr-Latn-BA" w:eastAsia="sr-Latn-BA"/>
              </w:rPr>
              <w:t>Једнократне</w:t>
            </w:r>
            <w:proofErr w:type="spellEnd"/>
            <w:r w:rsidRPr="00E97428">
              <w:rPr>
                <w:sz w:val="20"/>
                <w:szCs w:val="20"/>
                <w:lang w:val="sr-Latn-BA" w:eastAsia="sr-Latn-BA"/>
              </w:rPr>
              <w:t xml:space="preserve"> </w:t>
            </w:r>
            <w:proofErr w:type="spellStart"/>
            <w:r w:rsidRPr="00E97428">
              <w:rPr>
                <w:sz w:val="20"/>
                <w:szCs w:val="20"/>
                <w:lang w:val="sr-Latn-BA" w:eastAsia="sr-Latn-BA"/>
              </w:rPr>
              <w:t>помоћи</w:t>
            </w:r>
            <w:proofErr w:type="spellEnd"/>
            <w:r w:rsidRPr="00E97428">
              <w:rPr>
                <w:sz w:val="20"/>
                <w:szCs w:val="20"/>
                <w:lang w:val="sr-Latn-BA" w:eastAsia="sr-Latn-BA"/>
              </w:rPr>
              <w:t xml:space="preserve"> </w:t>
            </w:r>
            <w:proofErr w:type="spellStart"/>
            <w:r w:rsidRPr="00E97428">
              <w:rPr>
                <w:sz w:val="20"/>
                <w:szCs w:val="20"/>
                <w:lang w:val="sr-Latn-BA" w:eastAsia="sr-Latn-BA"/>
              </w:rPr>
              <w:t>за</w:t>
            </w:r>
            <w:proofErr w:type="spellEnd"/>
            <w:r w:rsidRPr="00E97428">
              <w:rPr>
                <w:sz w:val="20"/>
                <w:szCs w:val="20"/>
                <w:lang w:val="sr-Latn-BA" w:eastAsia="sr-Latn-BA"/>
              </w:rPr>
              <w:t xml:space="preserve"> </w:t>
            </w:r>
            <w:proofErr w:type="spellStart"/>
            <w:r w:rsidRPr="00E97428">
              <w:rPr>
                <w:sz w:val="20"/>
                <w:szCs w:val="20"/>
                <w:lang w:val="sr-Latn-BA" w:eastAsia="sr-Latn-BA"/>
              </w:rPr>
              <w:t>треће</w:t>
            </w:r>
            <w:proofErr w:type="spellEnd"/>
            <w:r w:rsidRPr="00E97428">
              <w:rPr>
                <w:sz w:val="20"/>
                <w:szCs w:val="20"/>
                <w:lang w:val="sr-Latn-BA" w:eastAsia="sr-Latn-BA"/>
              </w:rPr>
              <w:t xml:space="preserve"> и </w:t>
            </w:r>
            <w:proofErr w:type="spellStart"/>
            <w:r w:rsidRPr="00E97428">
              <w:rPr>
                <w:sz w:val="20"/>
                <w:szCs w:val="20"/>
                <w:lang w:val="sr-Latn-BA" w:eastAsia="sr-Latn-BA"/>
              </w:rPr>
              <w:t>свако</w:t>
            </w:r>
            <w:proofErr w:type="spellEnd"/>
            <w:r w:rsidRPr="00E97428">
              <w:rPr>
                <w:sz w:val="20"/>
                <w:szCs w:val="20"/>
                <w:lang w:val="sr-Latn-BA" w:eastAsia="sr-Latn-BA"/>
              </w:rPr>
              <w:t xml:space="preserve"> </w:t>
            </w:r>
            <w:proofErr w:type="spellStart"/>
            <w:r w:rsidRPr="00E97428">
              <w:rPr>
                <w:sz w:val="20"/>
                <w:szCs w:val="20"/>
                <w:lang w:val="sr-Latn-BA" w:eastAsia="sr-Latn-BA"/>
              </w:rPr>
              <w:t>сљедеће</w:t>
            </w:r>
            <w:proofErr w:type="spellEnd"/>
            <w:r w:rsidRPr="00E97428">
              <w:rPr>
                <w:sz w:val="20"/>
                <w:szCs w:val="20"/>
                <w:lang w:val="sr-Latn-BA" w:eastAsia="sr-Latn-BA"/>
              </w:rPr>
              <w:t xml:space="preserve"> </w:t>
            </w:r>
            <w:proofErr w:type="spellStart"/>
            <w:r w:rsidRPr="00E97428">
              <w:rPr>
                <w:sz w:val="20"/>
                <w:szCs w:val="20"/>
                <w:lang w:val="sr-Latn-BA" w:eastAsia="sr-Latn-BA"/>
              </w:rPr>
              <w:t>новорођено</w:t>
            </w:r>
            <w:proofErr w:type="spellEnd"/>
            <w:r w:rsidRPr="00E97428">
              <w:rPr>
                <w:sz w:val="20"/>
                <w:szCs w:val="20"/>
                <w:lang w:val="sr-Latn-BA" w:eastAsia="sr-Latn-BA"/>
              </w:rPr>
              <w:t xml:space="preserve"> </w:t>
            </w:r>
            <w:proofErr w:type="spellStart"/>
            <w:r w:rsidRPr="00E97428">
              <w:rPr>
                <w:sz w:val="20"/>
                <w:szCs w:val="20"/>
                <w:lang w:val="sr-Latn-BA" w:eastAsia="sr-Latn-BA"/>
              </w:rPr>
              <w:t>дијете</w:t>
            </w:r>
            <w:proofErr w:type="spellEnd"/>
            <w:r w:rsidRPr="00E97428">
              <w:rPr>
                <w:sz w:val="20"/>
                <w:szCs w:val="20"/>
                <w:lang w:val="sr-Latn-BA" w:eastAsia="sr-Latn-BA"/>
              </w:rPr>
              <w:t xml:space="preserve"> </w:t>
            </w:r>
          </w:p>
        </w:tc>
        <w:tc>
          <w:tcPr>
            <w:tcW w:w="1701" w:type="dxa"/>
            <w:tcBorders>
              <w:top w:val="nil"/>
              <w:left w:val="nil"/>
              <w:bottom w:val="single" w:sz="4" w:space="0" w:color="auto"/>
              <w:right w:val="double" w:sz="6" w:space="0" w:color="auto"/>
            </w:tcBorders>
            <w:shd w:val="clear" w:color="000000" w:fill="FFFFFF"/>
            <w:noWrap/>
            <w:vAlign w:val="center"/>
            <w:hideMark/>
          </w:tcPr>
          <w:p w14:paraId="1E0D3D5D"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25.500,00</w:t>
            </w:r>
          </w:p>
        </w:tc>
      </w:tr>
      <w:tr w:rsidR="00E97428" w:rsidRPr="00E97428" w14:paraId="726B9A98" w14:textId="77777777" w:rsidTr="00E97428">
        <w:trPr>
          <w:trHeight w:val="284"/>
        </w:trPr>
        <w:tc>
          <w:tcPr>
            <w:tcW w:w="603" w:type="dxa"/>
            <w:tcBorders>
              <w:top w:val="nil"/>
              <w:left w:val="double" w:sz="6" w:space="0" w:color="auto"/>
              <w:bottom w:val="single" w:sz="4" w:space="0" w:color="auto"/>
              <w:right w:val="single" w:sz="4" w:space="0" w:color="auto"/>
            </w:tcBorders>
            <w:shd w:val="clear" w:color="auto" w:fill="auto"/>
            <w:noWrap/>
            <w:vAlign w:val="center"/>
            <w:hideMark/>
          </w:tcPr>
          <w:p w14:paraId="4E717DD1" w14:textId="77777777" w:rsidR="00E97428" w:rsidRPr="00E97428" w:rsidRDefault="00E97428" w:rsidP="00E97428">
            <w:pPr>
              <w:ind w:left="0" w:right="0" w:firstLine="0"/>
              <w:jc w:val="center"/>
              <w:rPr>
                <w:sz w:val="20"/>
                <w:szCs w:val="20"/>
                <w:lang w:val="sr-Latn-BA" w:eastAsia="sr-Latn-BA"/>
              </w:rPr>
            </w:pPr>
            <w:r w:rsidRPr="00E97428">
              <w:rPr>
                <w:sz w:val="20"/>
                <w:szCs w:val="20"/>
                <w:lang w:val="sr-Latn-BA" w:eastAsia="sr-Latn-BA"/>
              </w:rPr>
              <w:t>6</w:t>
            </w:r>
          </w:p>
        </w:tc>
        <w:tc>
          <w:tcPr>
            <w:tcW w:w="7217" w:type="dxa"/>
            <w:tcBorders>
              <w:top w:val="nil"/>
              <w:left w:val="nil"/>
              <w:bottom w:val="single" w:sz="4" w:space="0" w:color="auto"/>
              <w:right w:val="single" w:sz="4" w:space="0" w:color="auto"/>
            </w:tcBorders>
            <w:shd w:val="clear" w:color="auto" w:fill="auto"/>
            <w:vAlign w:val="center"/>
            <w:hideMark/>
          </w:tcPr>
          <w:p w14:paraId="72F48746" w14:textId="77777777" w:rsidR="00E97428" w:rsidRPr="00E97428" w:rsidRDefault="00E97428" w:rsidP="00E97428">
            <w:pPr>
              <w:ind w:left="0" w:right="0" w:firstLine="0"/>
              <w:jc w:val="left"/>
              <w:rPr>
                <w:sz w:val="20"/>
                <w:szCs w:val="20"/>
                <w:lang w:val="sr-Latn-BA" w:eastAsia="sr-Latn-BA"/>
              </w:rPr>
            </w:pPr>
            <w:proofErr w:type="spellStart"/>
            <w:r w:rsidRPr="00E97428">
              <w:rPr>
                <w:sz w:val="20"/>
                <w:szCs w:val="20"/>
                <w:lang w:val="sr-Latn-BA" w:eastAsia="sr-Latn-BA"/>
              </w:rPr>
              <w:t>Мјере</w:t>
            </w:r>
            <w:proofErr w:type="spellEnd"/>
            <w:r w:rsidRPr="00E97428">
              <w:rPr>
                <w:sz w:val="20"/>
                <w:szCs w:val="20"/>
                <w:lang w:val="sr-Latn-BA" w:eastAsia="sr-Latn-BA"/>
              </w:rPr>
              <w:t xml:space="preserve"> </w:t>
            </w:r>
            <w:proofErr w:type="spellStart"/>
            <w:r w:rsidRPr="00E97428">
              <w:rPr>
                <w:sz w:val="20"/>
                <w:szCs w:val="20"/>
                <w:lang w:val="sr-Latn-BA" w:eastAsia="sr-Latn-BA"/>
              </w:rPr>
              <w:t>за</w:t>
            </w:r>
            <w:proofErr w:type="spellEnd"/>
            <w:r w:rsidRPr="00E97428">
              <w:rPr>
                <w:sz w:val="20"/>
                <w:szCs w:val="20"/>
                <w:lang w:val="sr-Latn-BA" w:eastAsia="sr-Latn-BA"/>
              </w:rPr>
              <w:t xml:space="preserve"> </w:t>
            </w:r>
            <w:proofErr w:type="spellStart"/>
            <w:r w:rsidRPr="00E97428">
              <w:rPr>
                <w:sz w:val="20"/>
                <w:szCs w:val="20"/>
                <w:lang w:val="sr-Latn-BA" w:eastAsia="sr-Latn-BA"/>
              </w:rPr>
              <w:t>побољшање</w:t>
            </w:r>
            <w:proofErr w:type="spellEnd"/>
            <w:r w:rsidRPr="00E97428">
              <w:rPr>
                <w:sz w:val="20"/>
                <w:szCs w:val="20"/>
                <w:lang w:val="sr-Latn-BA" w:eastAsia="sr-Latn-BA"/>
              </w:rPr>
              <w:t xml:space="preserve"> </w:t>
            </w:r>
            <w:proofErr w:type="spellStart"/>
            <w:r w:rsidRPr="00E97428">
              <w:rPr>
                <w:sz w:val="20"/>
                <w:szCs w:val="20"/>
                <w:lang w:val="sr-Latn-BA" w:eastAsia="sr-Latn-BA"/>
              </w:rPr>
              <w:t>демографске</w:t>
            </w:r>
            <w:proofErr w:type="spellEnd"/>
            <w:r w:rsidRPr="00E97428">
              <w:rPr>
                <w:sz w:val="20"/>
                <w:szCs w:val="20"/>
                <w:lang w:val="sr-Latn-BA" w:eastAsia="sr-Latn-BA"/>
              </w:rPr>
              <w:t xml:space="preserve"> </w:t>
            </w:r>
            <w:proofErr w:type="spellStart"/>
            <w:r w:rsidRPr="00E97428">
              <w:rPr>
                <w:sz w:val="20"/>
                <w:szCs w:val="20"/>
                <w:lang w:val="sr-Latn-BA" w:eastAsia="sr-Latn-BA"/>
              </w:rPr>
              <w:t>ситуације</w:t>
            </w:r>
            <w:proofErr w:type="spellEnd"/>
            <w:r w:rsidRPr="00E97428">
              <w:rPr>
                <w:sz w:val="20"/>
                <w:szCs w:val="20"/>
                <w:lang w:val="sr-Latn-BA" w:eastAsia="sr-Latn-BA"/>
              </w:rPr>
              <w:t xml:space="preserve"> (</w:t>
            </w:r>
            <w:proofErr w:type="spellStart"/>
            <w:r w:rsidRPr="00E97428">
              <w:rPr>
                <w:sz w:val="20"/>
                <w:szCs w:val="20"/>
                <w:lang w:val="sr-Latn-BA" w:eastAsia="sr-Latn-BA"/>
              </w:rPr>
              <w:t>вантјелесна</w:t>
            </w:r>
            <w:proofErr w:type="spellEnd"/>
            <w:r w:rsidRPr="00E97428">
              <w:rPr>
                <w:sz w:val="20"/>
                <w:szCs w:val="20"/>
                <w:lang w:val="sr-Latn-BA" w:eastAsia="sr-Latn-BA"/>
              </w:rPr>
              <w:t xml:space="preserve"> </w:t>
            </w:r>
            <w:proofErr w:type="spellStart"/>
            <w:r w:rsidRPr="00E97428">
              <w:rPr>
                <w:sz w:val="20"/>
                <w:szCs w:val="20"/>
                <w:lang w:val="sr-Latn-BA" w:eastAsia="sr-Latn-BA"/>
              </w:rPr>
              <w:t>оплодња</w:t>
            </w:r>
            <w:proofErr w:type="spellEnd"/>
            <w:r w:rsidRPr="00E97428">
              <w:rPr>
                <w:sz w:val="20"/>
                <w:szCs w:val="20"/>
                <w:lang w:val="sr-Latn-BA" w:eastAsia="sr-Latn-BA"/>
              </w:rPr>
              <w:t xml:space="preserve"> и </w:t>
            </w:r>
            <w:proofErr w:type="spellStart"/>
            <w:r w:rsidRPr="00E97428">
              <w:rPr>
                <w:sz w:val="20"/>
                <w:szCs w:val="20"/>
                <w:lang w:val="sr-Latn-BA" w:eastAsia="sr-Latn-BA"/>
              </w:rPr>
              <w:t>сл</w:t>
            </w:r>
            <w:proofErr w:type="spellEnd"/>
            <w:r w:rsidRPr="00E97428">
              <w:rPr>
                <w:sz w:val="20"/>
                <w:szCs w:val="20"/>
                <w:lang w:val="sr-Latn-BA" w:eastAsia="sr-Latn-BA"/>
              </w:rPr>
              <w:t>.)</w:t>
            </w:r>
          </w:p>
        </w:tc>
        <w:tc>
          <w:tcPr>
            <w:tcW w:w="1701" w:type="dxa"/>
            <w:tcBorders>
              <w:top w:val="nil"/>
              <w:left w:val="nil"/>
              <w:bottom w:val="single" w:sz="4" w:space="0" w:color="auto"/>
              <w:right w:val="double" w:sz="6" w:space="0" w:color="auto"/>
            </w:tcBorders>
            <w:shd w:val="clear" w:color="000000" w:fill="FFFFFF"/>
            <w:noWrap/>
            <w:vAlign w:val="center"/>
            <w:hideMark/>
          </w:tcPr>
          <w:p w14:paraId="29F68C28"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5.950,00</w:t>
            </w:r>
          </w:p>
        </w:tc>
      </w:tr>
      <w:tr w:rsidR="00E97428" w:rsidRPr="00E97428" w14:paraId="77A03640" w14:textId="77777777" w:rsidTr="00E97428">
        <w:trPr>
          <w:trHeight w:val="284"/>
        </w:trPr>
        <w:tc>
          <w:tcPr>
            <w:tcW w:w="603" w:type="dxa"/>
            <w:tcBorders>
              <w:top w:val="nil"/>
              <w:left w:val="double" w:sz="6" w:space="0" w:color="auto"/>
              <w:bottom w:val="single" w:sz="4" w:space="0" w:color="auto"/>
              <w:right w:val="single" w:sz="4" w:space="0" w:color="auto"/>
            </w:tcBorders>
            <w:shd w:val="clear" w:color="auto" w:fill="auto"/>
            <w:noWrap/>
            <w:vAlign w:val="center"/>
            <w:hideMark/>
          </w:tcPr>
          <w:p w14:paraId="25169EAC" w14:textId="77777777" w:rsidR="00E97428" w:rsidRPr="00E97428" w:rsidRDefault="00E97428" w:rsidP="00E97428">
            <w:pPr>
              <w:ind w:left="0" w:right="0" w:firstLine="0"/>
              <w:jc w:val="center"/>
              <w:rPr>
                <w:sz w:val="20"/>
                <w:szCs w:val="20"/>
                <w:lang w:val="sr-Latn-BA" w:eastAsia="sr-Latn-BA"/>
              </w:rPr>
            </w:pPr>
            <w:r w:rsidRPr="00E97428">
              <w:rPr>
                <w:sz w:val="20"/>
                <w:szCs w:val="20"/>
                <w:lang w:val="sr-Latn-BA" w:eastAsia="sr-Latn-BA"/>
              </w:rPr>
              <w:t>7</w:t>
            </w:r>
          </w:p>
        </w:tc>
        <w:tc>
          <w:tcPr>
            <w:tcW w:w="7217" w:type="dxa"/>
            <w:tcBorders>
              <w:top w:val="nil"/>
              <w:left w:val="nil"/>
              <w:bottom w:val="single" w:sz="4" w:space="0" w:color="auto"/>
              <w:right w:val="single" w:sz="4" w:space="0" w:color="auto"/>
            </w:tcBorders>
            <w:shd w:val="clear" w:color="auto" w:fill="auto"/>
            <w:vAlign w:val="center"/>
            <w:hideMark/>
          </w:tcPr>
          <w:p w14:paraId="6FD20439" w14:textId="77777777" w:rsidR="00E97428" w:rsidRPr="00E97428" w:rsidRDefault="00E97428" w:rsidP="00E97428">
            <w:pPr>
              <w:ind w:left="0" w:right="0" w:firstLine="0"/>
              <w:jc w:val="left"/>
              <w:rPr>
                <w:sz w:val="20"/>
                <w:szCs w:val="20"/>
                <w:lang w:val="sr-Latn-BA" w:eastAsia="sr-Latn-BA"/>
              </w:rPr>
            </w:pPr>
            <w:proofErr w:type="spellStart"/>
            <w:r w:rsidRPr="00E97428">
              <w:rPr>
                <w:sz w:val="20"/>
                <w:szCs w:val="20"/>
                <w:lang w:val="sr-Latn-BA" w:eastAsia="sr-Latn-BA"/>
              </w:rPr>
              <w:t>Једнократне</w:t>
            </w:r>
            <w:proofErr w:type="spellEnd"/>
            <w:r w:rsidRPr="00E97428">
              <w:rPr>
                <w:sz w:val="20"/>
                <w:szCs w:val="20"/>
                <w:lang w:val="sr-Latn-BA" w:eastAsia="sr-Latn-BA"/>
              </w:rPr>
              <w:t xml:space="preserve"> </w:t>
            </w:r>
            <w:proofErr w:type="spellStart"/>
            <w:r w:rsidRPr="00E97428">
              <w:rPr>
                <w:sz w:val="20"/>
                <w:szCs w:val="20"/>
                <w:lang w:val="sr-Latn-BA" w:eastAsia="sr-Latn-BA"/>
              </w:rPr>
              <w:t>новчане</w:t>
            </w:r>
            <w:proofErr w:type="spellEnd"/>
            <w:r w:rsidRPr="00E97428">
              <w:rPr>
                <w:sz w:val="20"/>
                <w:szCs w:val="20"/>
                <w:lang w:val="sr-Latn-BA" w:eastAsia="sr-Latn-BA"/>
              </w:rPr>
              <w:t xml:space="preserve"> </w:t>
            </w:r>
            <w:proofErr w:type="spellStart"/>
            <w:r w:rsidRPr="00E97428">
              <w:rPr>
                <w:sz w:val="20"/>
                <w:szCs w:val="20"/>
                <w:lang w:val="sr-Latn-BA" w:eastAsia="sr-Latn-BA"/>
              </w:rPr>
              <w:t>помоћи</w:t>
            </w:r>
            <w:proofErr w:type="spellEnd"/>
            <w:r w:rsidRPr="00E97428">
              <w:rPr>
                <w:sz w:val="20"/>
                <w:szCs w:val="20"/>
                <w:lang w:val="sr-Latn-BA" w:eastAsia="sr-Latn-BA"/>
              </w:rPr>
              <w:t xml:space="preserve"> </w:t>
            </w:r>
            <w:proofErr w:type="spellStart"/>
            <w:r w:rsidRPr="00E97428">
              <w:rPr>
                <w:sz w:val="20"/>
                <w:szCs w:val="20"/>
                <w:lang w:val="sr-Latn-BA" w:eastAsia="sr-Latn-BA"/>
              </w:rPr>
              <w:t>појединцима</w:t>
            </w:r>
            <w:proofErr w:type="spellEnd"/>
            <w:r w:rsidRPr="00E97428">
              <w:rPr>
                <w:sz w:val="20"/>
                <w:szCs w:val="20"/>
                <w:lang w:val="sr-Latn-BA" w:eastAsia="sr-Latn-BA"/>
              </w:rPr>
              <w:t xml:space="preserve"> </w:t>
            </w:r>
            <w:proofErr w:type="spellStart"/>
            <w:r w:rsidRPr="00E97428">
              <w:rPr>
                <w:sz w:val="20"/>
                <w:szCs w:val="20"/>
                <w:lang w:val="sr-Latn-BA" w:eastAsia="sr-Latn-BA"/>
              </w:rPr>
              <w:t>из</w:t>
            </w:r>
            <w:proofErr w:type="spellEnd"/>
            <w:r w:rsidRPr="00E97428">
              <w:rPr>
                <w:sz w:val="20"/>
                <w:szCs w:val="20"/>
                <w:lang w:val="sr-Latn-BA" w:eastAsia="sr-Latn-BA"/>
              </w:rPr>
              <w:t xml:space="preserve"> </w:t>
            </w:r>
            <w:proofErr w:type="spellStart"/>
            <w:r w:rsidRPr="00E97428">
              <w:rPr>
                <w:sz w:val="20"/>
                <w:szCs w:val="20"/>
                <w:lang w:val="sr-Latn-BA" w:eastAsia="sr-Latn-BA"/>
              </w:rPr>
              <w:t>борачке</w:t>
            </w:r>
            <w:proofErr w:type="spellEnd"/>
            <w:r w:rsidRPr="00E97428">
              <w:rPr>
                <w:sz w:val="20"/>
                <w:szCs w:val="20"/>
                <w:lang w:val="sr-Latn-BA" w:eastAsia="sr-Latn-BA"/>
              </w:rPr>
              <w:t xml:space="preserve"> </w:t>
            </w:r>
            <w:proofErr w:type="spellStart"/>
            <w:r w:rsidRPr="00E97428">
              <w:rPr>
                <w:sz w:val="20"/>
                <w:szCs w:val="20"/>
                <w:lang w:val="sr-Latn-BA" w:eastAsia="sr-Latn-BA"/>
              </w:rPr>
              <w:t>популације</w:t>
            </w:r>
            <w:proofErr w:type="spellEnd"/>
          </w:p>
        </w:tc>
        <w:tc>
          <w:tcPr>
            <w:tcW w:w="1701" w:type="dxa"/>
            <w:tcBorders>
              <w:top w:val="nil"/>
              <w:left w:val="nil"/>
              <w:bottom w:val="single" w:sz="4" w:space="0" w:color="auto"/>
              <w:right w:val="double" w:sz="6" w:space="0" w:color="auto"/>
            </w:tcBorders>
            <w:shd w:val="clear" w:color="000000" w:fill="FFFFFF"/>
            <w:noWrap/>
            <w:vAlign w:val="center"/>
            <w:hideMark/>
          </w:tcPr>
          <w:p w14:paraId="66F8F371"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48.491,00</w:t>
            </w:r>
          </w:p>
        </w:tc>
      </w:tr>
      <w:tr w:rsidR="00E97428" w:rsidRPr="00E97428" w14:paraId="1D21948C" w14:textId="77777777" w:rsidTr="00E97428">
        <w:trPr>
          <w:trHeight w:val="284"/>
        </w:trPr>
        <w:tc>
          <w:tcPr>
            <w:tcW w:w="603" w:type="dxa"/>
            <w:tcBorders>
              <w:top w:val="nil"/>
              <w:left w:val="double" w:sz="6" w:space="0" w:color="auto"/>
              <w:bottom w:val="single" w:sz="4" w:space="0" w:color="auto"/>
              <w:right w:val="single" w:sz="4" w:space="0" w:color="auto"/>
            </w:tcBorders>
            <w:shd w:val="clear" w:color="auto" w:fill="auto"/>
            <w:noWrap/>
            <w:vAlign w:val="center"/>
            <w:hideMark/>
          </w:tcPr>
          <w:p w14:paraId="584E2D49" w14:textId="77777777" w:rsidR="00E97428" w:rsidRPr="00E97428" w:rsidRDefault="00E97428" w:rsidP="00E97428">
            <w:pPr>
              <w:ind w:left="0" w:right="0" w:firstLine="0"/>
              <w:jc w:val="center"/>
              <w:rPr>
                <w:sz w:val="20"/>
                <w:szCs w:val="20"/>
                <w:lang w:val="sr-Latn-BA" w:eastAsia="sr-Latn-BA"/>
              </w:rPr>
            </w:pPr>
            <w:r w:rsidRPr="00E97428">
              <w:rPr>
                <w:sz w:val="20"/>
                <w:szCs w:val="20"/>
                <w:lang w:val="sr-Latn-BA" w:eastAsia="sr-Latn-BA"/>
              </w:rPr>
              <w:t>8</w:t>
            </w:r>
          </w:p>
        </w:tc>
        <w:tc>
          <w:tcPr>
            <w:tcW w:w="7217" w:type="dxa"/>
            <w:tcBorders>
              <w:top w:val="nil"/>
              <w:left w:val="nil"/>
              <w:bottom w:val="single" w:sz="4" w:space="0" w:color="auto"/>
              <w:right w:val="single" w:sz="4" w:space="0" w:color="auto"/>
            </w:tcBorders>
            <w:shd w:val="clear" w:color="auto" w:fill="auto"/>
            <w:vAlign w:val="center"/>
            <w:hideMark/>
          </w:tcPr>
          <w:p w14:paraId="4A2C230F" w14:textId="77777777" w:rsidR="00E97428" w:rsidRPr="00E97428" w:rsidRDefault="00E97428" w:rsidP="00E97428">
            <w:pPr>
              <w:ind w:left="0" w:right="0" w:firstLine="0"/>
              <w:jc w:val="left"/>
              <w:rPr>
                <w:sz w:val="20"/>
                <w:szCs w:val="20"/>
                <w:lang w:val="sr-Latn-BA" w:eastAsia="sr-Latn-BA"/>
              </w:rPr>
            </w:pPr>
            <w:proofErr w:type="spellStart"/>
            <w:r w:rsidRPr="00E97428">
              <w:rPr>
                <w:sz w:val="20"/>
                <w:szCs w:val="20"/>
                <w:lang w:val="sr-Latn-BA" w:eastAsia="sr-Latn-BA"/>
              </w:rPr>
              <w:t>Регресирање</w:t>
            </w:r>
            <w:proofErr w:type="spellEnd"/>
            <w:r w:rsidRPr="00E97428">
              <w:rPr>
                <w:sz w:val="20"/>
                <w:szCs w:val="20"/>
                <w:lang w:val="sr-Latn-BA" w:eastAsia="sr-Latn-BA"/>
              </w:rPr>
              <w:t xml:space="preserve"> </w:t>
            </w:r>
            <w:proofErr w:type="spellStart"/>
            <w:r w:rsidRPr="00E97428">
              <w:rPr>
                <w:sz w:val="20"/>
                <w:szCs w:val="20"/>
                <w:lang w:val="sr-Latn-BA" w:eastAsia="sr-Latn-BA"/>
              </w:rPr>
              <w:t>камата</w:t>
            </w:r>
            <w:proofErr w:type="spellEnd"/>
            <w:r w:rsidRPr="00E97428">
              <w:rPr>
                <w:sz w:val="20"/>
                <w:szCs w:val="20"/>
                <w:lang w:val="sr-Latn-BA" w:eastAsia="sr-Latn-BA"/>
              </w:rPr>
              <w:t xml:space="preserve"> </w:t>
            </w:r>
            <w:proofErr w:type="spellStart"/>
            <w:r w:rsidRPr="00E97428">
              <w:rPr>
                <w:sz w:val="20"/>
                <w:szCs w:val="20"/>
                <w:lang w:val="sr-Latn-BA" w:eastAsia="sr-Latn-BA"/>
              </w:rPr>
              <w:t>на</w:t>
            </w:r>
            <w:proofErr w:type="spellEnd"/>
            <w:r w:rsidRPr="00E97428">
              <w:rPr>
                <w:sz w:val="20"/>
                <w:szCs w:val="20"/>
                <w:lang w:val="sr-Latn-BA" w:eastAsia="sr-Latn-BA"/>
              </w:rPr>
              <w:t xml:space="preserve"> </w:t>
            </w:r>
            <w:proofErr w:type="spellStart"/>
            <w:r w:rsidRPr="00E97428">
              <w:rPr>
                <w:sz w:val="20"/>
                <w:szCs w:val="20"/>
                <w:lang w:val="sr-Latn-BA" w:eastAsia="sr-Latn-BA"/>
              </w:rPr>
              <w:t>пољопривредне</w:t>
            </w:r>
            <w:proofErr w:type="spellEnd"/>
            <w:r w:rsidRPr="00E97428">
              <w:rPr>
                <w:sz w:val="20"/>
                <w:szCs w:val="20"/>
                <w:lang w:val="sr-Latn-BA" w:eastAsia="sr-Latn-BA"/>
              </w:rPr>
              <w:t xml:space="preserve"> </w:t>
            </w:r>
            <w:proofErr w:type="spellStart"/>
            <w:r w:rsidRPr="00E97428">
              <w:rPr>
                <w:sz w:val="20"/>
                <w:szCs w:val="20"/>
                <w:lang w:val="sr-Latn-BA" w:eastAsia="sr-Latn-BA"/>
              </w:rPr>
              <w:t>кредите</w:t>
            </w:r>
            <w:proofErr w:type="spellEnd"/>
          </w:p>
        </w:tc>
        <w:tc>
          <w:tcPr>
            <w:tcW w:w="1701" w:type="dxa"/>
            <w:tcBorders>
              <w:top w:val="nil"/>
              <w:left w:val="nil"/>
              <w:bottom w:val="single" w:sz="4" w:space="0" w:color="auto"/>
              <w:right w:val="double" w:sz="6" w:space="0" w:color="auto"/>
            </w:tcBorders>
            <w:shd w:val="clear" w:color="000000" w:fill="FFFFFF"/>
            <w:noWrap/>
            <w:vAlign w:val="center"/>
            <w:hideMark/>
          </w:tcPr>
          <w:p w14:paraId="1A49D29D" w14:textId="77777777" w:rsidR="00E97428" w:rsidRPr="00E97428" w:rsidRDefault="00E97428" w:rsidP="00E97428">
            <w:pPr>
              <w:ind w:left="0" w:right="0" w:firstLine="0"/>
              <w:jc w:val="right"/>
              <w:rPr>
                <w:sz w:val="20"/>
                <w:szCs w:val="20"/>
                <w:lang w:val="sr-Latn-BA" w:eastAsia="sr-Latn-BA"/>
              </w:rPr>
            </w:pPr>
            <w:r w:rsidRPr="00E97428">
              <w:rPr>
                <w:sz w:val="20"/>
                <w:szCs w:val="20"/>
                <w:lang w:val="sr-Latn-BA" w:eastAsia="sr-Latn-BA"/>
              </w:rPr>
              <w:t>4.406,82</w:t>
            </w:r>
          </w:p>
        </w:tc>
      </w:tr>
      <w:tr w:rsidR="00E97428" w:rsidRPr="00E97428" w14:paraId="351F358D" w14:textId="77777777" w:rsidTr="00716212">
        <w:trPr>
          <w:trHeight w:val="296"/>
        </w:trPr>
        <w:tc>
          <w:tcPr>
            <w:tcW w:w="7820" w:type="dxa"/>
            <w:gridSpan w:val="2"/>
            <w:tcBorders>
              <w:top w:val="double" w:sz="6" w:space="0" w:color="auto"/>
              <w:left w:val="double" w:sz="6" w:space="0" w:color="auto"/>
              <w:bottom w:val="double" w:sz="6" w:space="0" w:color="auto"/>
              <w:right w:val="single" w:sz="4" w:space="0" w:color="auto"/>
            </w:tcBorders>
            <w:shd w:val="clear" w:color="auto" w:fill="auto"/>
            <w:vAlign w:val="center"/>
            <w:hideMark/>
          </w:tcPr>
          <w:p w14:paraId="2C4C8B96" w14:textId="77777777" w:rsidR="00E97428" w:rsidRPr="00E97428" w:rsidRDefault="00E97428" w:rsidP="00E97428">
            <w:pPr>
              <w:ind w:left="0" w:right="0" w:firstLine="0"/>
              <w:jc w:val="center"/>
              <w:rPr>
                <w:b/>
                <w:bCs/>
                <w:sz w:val="20"/>
                <w:szCs w:val="20"/>
                <w:lang w:val="sr-Latn-BA" w:eastAsia="sr-Latn-BA"/>
              </w:rPr>
            </w:pPr>
            <w:r w:rsidRPr="00E97428">
              <w:rPr>
                <w:b/>
                <w:bCs/>
                <w:sz w:val="20"/>
                <w:szCs w:val="20"/>
                <w:lang w:val="sr-Latn-BA" w:eastAsia="sr-Latn-BA"/>
              </w:rPr>
              <w:t>У К У П Н О</w:t>
            </w:r>
          </w:p>
        </w:tc>
        <w:tc>
          <w:tcPr>
            <w:tcW w:w="1701" w:type="dxa"/>
            <w:tcBorders>
              <w:top w:val="double" w:sz="6" w:space="0" w:color="auto"/>
              <w:left w:val="nil"/>
              <w:bottom w:val="double" w:sz="6" w:space="0" w:color="auto"/>
              <w:right w:val="double" w:sz="6" w:space="0" w:color="auto"/>
            </w:tcBorders>
            <w:shd w:val="clear" w:color="auto" w:fill="auto"/>
            <w:noWrap/>
            <w:vAlign w:val="center"/>
            <w:hideMark/>
          </w:tcPr>
          <w:p w14:paraId="0F93D356" w14:textId="77777777" w:rsidR="00E97428" w:rsidRPr="00E97428" w:rsidRDefault="00E97428" w:rsidP="00E97428">
            <w:pPr>
              <w:ind w:left="0" w:right="0" w:firstLine="0"/>
              <w:jc w:val="right"/>
              <w:rPr>
                <w:b/>
                <w:bCs/>
                <w:sz w:val="20"/>
                <w:szCs w:val="20"/>
                <w:lang w:val="sr-Latn-BA" w:eastAsia="sr-Latn-BA"/>
              </w:rPr>
            </w:pPr>
            <w:r w:rsidRPr="00E97428">
              <w:rPr>
                <w:b/>
                <w:bCs/>
                <w:sz w:val="20"/>
                <w:szCs w:val="20"/>
                <w:lang w:val="sr-Latn-BA" w:eastAsia="sr-Latn-BA"/>
              </w:rPr>
              <w:t>465.531,86</w:t>
            </w:r>
          </w:p>
        </w:tc>
      </w:tr>
    </w:tbl>
    <w:p w14:paraId="09563B9E" w14:textId="77777777" w:rsidR="00E97428" w:rsidRDefault="00E97428" w:rsidP="00E97428">
      <w:pPr>
        <w:autoSpaceDE w:val="0"/>
        <w:autoSpaceDN w:val="0"/>
        <w:adjustRightInd w:val="0"/>
        <w:ind w:left="0" w:right="0" w:firstLine="0"/>
        <w:jc w:val="center"/>
        <w:rPr>
          <w:rFonts w:eastAsia="Calibri"/>
          <w:bCs/>
          <w:lang w:val="sr-Cyrl-BA" w:eastAsia="en-US"/>
        </w:rPr>
      </w:pPr>
    </w:p>
    <w:p w14:paraId="4C39C443" w14:textId="77777777" w:rsidR="00E97428" w:rsidRPr="001D1ECD" w:rsidRDefault="00E97428" w:rsidP="00E97428">
      <w:pPr>
        <w:ind w:left="0" w:firstLine="720"/>
      </w:pPr>
      <w:r w:rsidRPr="001D1ECD">
        <w:t xml:space="preserve">У наставку </w:t>
      </w:r>
      <w:proofErr w:type="spellStart"/>
      <w:r w:rsidRPr="001D1ECD">
        <w:t>извјештаја</w:t>
      </w:r>
      <w:proofErr w:type="spellEnd"/>
      <w:r w:rsidRPr="001D1ECD">
        <w:t xml:space="preserve"> дајемо детаљније образложење о извршењу неколико значајнијих позиција које се односе на дознаке на име социјалне заштите.</w:t>
      </w:r>
    </w:p>
    <w:p w14:paraId="5F2B0A17" w14:textId="77777777" w:rsidR="00345C82" w:rsidRDefault="00345C82" w:rsidP="00632066">
      <w:pPr>
        <w:ind w:left="0" w:firstLine="0"/>
      </w:pPr>
    </w:p>
    <w:p w14:paraId="112F06B3" w14:textId="77777777" w:rsidR="00345C82" w:rsidRDefault="00345C82" w:rsidP="0024559C">
      <w:pPr>
        <w:ind w:left="0" w:firstLine="720"/>
        <w:rPr>
          <w:lang w:val="sr-Cyrl-BA"/>
        </w:rPr>
      </w:pPr>
      <w:r w:rsidRPr="0008183B">
        <w:rPr>
          <w:b/>
        </w:rPr>
        <w:t xml:space="preserve">Средства за стипендије ученика и </w:t>
      </w:r>
      <w:proofErr w:type="spellStart"/>
      <w:r w:rsidRPr="0008183B">
        <w:rPr>
          <w:b/>
        </w:rPr>
        <w:t>студенат</w:t>
      </w:r>
      <w:proofErr w:type="spellEnd"/>
      <w:r w:rsidRPr="0008183B">
        <w:rPr>
          <w:b/>
          <w:lang w:val="sr-Cyrl-BA"/>
        </w:rPr>
        <w:t>а</w:t>
      </w:r>
      <w:r w:rsidR="007C5FD2">
        <w:rPr>
          <w:b/>
          <w:lang w:val="sr-Cyrl-BA"/>
        </w:rPr>
        <w:t xml:space="preserve"> </w:t>
      </w:r>
      <w:r w:rsidRPr="00937B51">
        <w:rPr>
          <w:lang w:val="sr-Cyrl-BA"/>
        </w:rPr>
        <w:t>(</w:t>
      </w:r>
      <w:proofErr w:type="spellStart"/>
      <w:r w:rsidRPr="00937B51">
        <w:rPr>
          <w:lang w:val="sr-Cyrl-BA"/>
        </w:rPr>
        <w:t>потр</w:t>
      </w:r>
      <w:proofErr w:type="spellEnd"/>
      <w:r w:rsidRPr="00937B51">
        <w:rPr>
          <w:lang w:val="sr-Cyrl-BA"/>
        </w:rPr>
        <w:t>. јединица 00750150)</w:t>
      </w:r>
      <w:r w:rsidR="007C5FD2">
        <w:rPr>
          <w:lang w:val="sr-Cyrl-BA"/>
        </w:rPr>
        <w:t xml:space="preserve"> </w:t>
      </w:r>
      <w:r w:rsidRPr="006938F5">
        <w:rPr>
          <w:lang w:val="sr-Cyrl-BA"/>
        </w:rPr>
        <w:t>реализована</w:t>
      </w:r>
      <w:r w:rsidRPr="006938F5">
        <w:t xml:space="preserve"> су у износу од </w:t>
      </w:r>
      <w:r w:rsidR="00E97428">
        <w:t>232.500</w:t>
      </w:r>
      <w:r>
        <w:t>,00</w:t>
      </w:r>
      <w:r w:rsidRPr="006938F5">
        <w:t xml:space="preserve"> КМ, што је </w:t>
      </w:r>
      <w:r w:rsidR="00E97428">
        <w:t>90,59</w:t>
      </w:r>
      <w:r w:rsidRPr="006938F5">
        <w:t xml:space="preserve">% </w:t>
      </w:r>
      <w:r w:rsidRPr="006938F5">
        <w:rPr>
          <w:lang w:val="sr-Cyrl-BA"/>
        </w:rPr>
        <w:t>у односу на план</w:t>
      </w:r>
      <w:r w:rsidR="00E97428">
        <w:rPr>
          <w:lang w:val="sr-Cyrl-BA"/>
        </w:rPr>
        <w:t xml:space="preserve"> након извршених </w:t>
      </w:r>
      <w:proofErr w:type="spellStart"/>
      <w:r w:rsidR="00E97428">
        <w:rPr>
          <w:lang w:val="sr-Cyrl-BA"/>
        </w:rPr>
        <w:t>реалокација</w:t>
      </w:r>
      <w:proofErr w:type="spellEnd"/>
      <w:r w:rsidRPr="006938F5">
        <w:t>. Ова средства су искоришћена за стипендирање ученика и студената који право на стипендију остваре испуњавањем услова прописаних Одлуком о стипендирању ученика и студената („Службени гласник општине Прњавор“, број 4/13</w:t>
      </w:r>
      <w:r w:rsidR="00E97428">
        <w:t>, 3/14</w:t>
      </w:r>
      <w:r w:rsidR="00E97428">
        <w:rPr>
          <w:lang w:val="sr-Cyrl-BA"/>
        </w:rPr>
        <w:t>,</w:t>
      </w:r>
      <w:r>
        <w:t xml:space="preserve"> 28/16</w:t>
      </w:r>
      <w:r w:rsidR="00E97428">
        <w:rPr>
          <w:lang w:val="sr-Cyrl-BA"/>
        </w:rPr>
        <w:t>, 19/18 и 49/20</w:t>
      </w:r>
      <w:r w:rsidRPr="006938F5">
        <w:t xml:space="preserve">). </w:t>
      </w:r>
      <w:r>
        <w:t xml:space="preserve">У складу </w:t>
      </w:r>
      <w:r w:rsidR="00640B94">
        <w:t>са Одлуком,</w:t>
      </w:r>
      <w:r>
        <w:t xml:space="preserve"> стипендије се исплаћују </w:t>
      </w:r>
      <w:proofErr w:type="spellStart"/>
      <w:r w:rsidR="00EB456E">
        <w:t>мјесечно</w:t>
      </w:r>
      <w:proofErr w:type="spellEnd"/>
      <w:r w:rsidR="00EB456E">
        <w:t xml:space="preserve"> </w:t>
      </w:r>
      <w:r>
        <w:t xml:space="preserve">у десет једнаких износа, </w:t>
      </w:r>
      <w:r w:rsidR="00EB456E">
        <w:t xml:space="preserve">за сваки </w:t>
      </w:r>
      <w:proofErr w:type="spellStart"/>
      <w:r w:rsidR="00EB456E">
        <w:t>мјесец</w:t>
      </w:r>
      <w:proofErr w:type="spellEnd"/>
      <w:r w:rsidR="00EB456E">
        <w:t xml:space="preserve"> у години осим за јули и август. </w:t>
      </w:r>
      <w:proofErr w:type="spellStart"/>
      <w:r>
        <w:t>Мјесечни</w:t>
      </w:r>
      <w:proofErr w:type="spellEnd"/>
      <w:r>
        <w:t xml:space="preserve"> износ стипендије утврђује начелник општине посебном одлуком, за сваку буџетску годину, зависно од броја кандидата и буџета општине. Одлуком о висини </w:t>
      </w:r>
      <w:proofErr w:type="spellStart"/>
      <w:r>
        <w:t>мјесечног</w:t>
      </w:r>
      <w:proofErr w:type="spellEnd"/>
      <w:r>
        <w:t xml:space="preserve"> износа стипендије за школску </w:t>
      </w:r>
      <w:r w:rsidR="002B3A54">
        <w:t>2019/2020.</w:t>
      </w:r>
      <w:r>
        <w:t xml:space="preserve"> годину („Службени гласник општине Прњавор“, бр. </w:t>
      </w:r>
      <w:r w:rsidR="002B3A54">
        <w:t>2/20</w:t>
      </w:r>
      <w:r>
        <w:t xml:space="preserve">) утврђен је </w:t>
      </w:r>
      <w:proofErr w:type="spellStart"/>
      <w:r>
        <w:t>мјесечни</w:t>
      </w:r>
      <w:proofErr w:type="spellEnd"/>
      <w:r>
        <w:t xml:space="preserve"> износ стипендије за школску </w:t>
      </w:r>
      <w:r w:rsidR="002B3A54">
        <w:t>2019/2020.</w:t>
      </w:r>
      <w:r>
        <w:t xml:space="preserve"> годину и то: ученичка стипендија 70,00 КМ, студентска стипендија 100,00 КМ, студентска стипендија за студенте који припадају породицама погинулих и несталих бораца, </w:t>
      </w:r>
      <w:r w:rsidRPr="006938F5">
        <w:t>породицама ратних војних инвалида од I</w:t>
      </w:r>
      <w:r w:rsidR="007853FF">
        <w:t xml:space="preserve"> до IV категорије инвалидности,</w:t>
      </w:r>
      <w:r>
        <w:t xml:space="preserve"> студенте</w:t>
      </w:r>
      <w:r w:rsidRPr="006938F5">
        <w:t xml:space="preserve"> без оба родитеља</w:t>
      </w:r>
      <w:r w:rsidR="00BE025C">
        <w:rPr>
          <w:lang w:val="sr-Cyrl-RS"/>
        </w:rPr>
        <w:t xml:space="preserve">   </w:t>
      </w:r>
      <w:r w:rsidRPr="006938F5">
        <w:t xml:space="preserve"> </w:t>
      </w:r>
      <w:r w:rsidR="002B3A54">
        <w:t>150,00 КМ и</w:t>
      </w:r>
      <w:r>
        <w:t xml:space="preserve"> стипендија за </w:t>
      </w:r>
      <w:r w:rsidR="0024559C">
        <w:t>студент</w:t>
      </w:r>
      <w:r w:rsidR="0024559C">
        <w:rPr>
          <w:lang w:val="sr-Cyrl-BA"/>
        </w:rPr>
        <w:t>е</w:t>
      </w:r>
      <w:r>
        <w:t xml:space="preserve"> са Косова и Метохије 100,00 КМ. </w:t>
      </w:r>
      <w:r w:rsidR="002B3A54">
        <w:t>У односу на школску 2018/2019.</w:t>
      </w:r>
      <w:r w:rsidR="00902FF2">
        <w:t xml:space="preserve"> годину није било </w:t>
      </w:r>
      <w:proofErr w:type="spellStart"/>
      <w:r w:rsidR="00902FF2">
        <w:t>измјена</w:t>
      </w:r>
      <w:proofErr w:type="spellEnd"/>
      <w:r w:rsidR="00902FF2">
        <w:t xml:space="preserve"> у висини </w:t>
      </w:r>
      <w:proofErr w:type="spellStart"/>
      <w:r w:rsidR="00902FF2">
        <w:t>мјесечне</w:t>
      </w:r>
      <w:proofErr w:type="spellEnd"/>
      <w:r w:rsidR="00902FF2">
        <w:t xml:space="preserve"> стипендије.</w:t>
      </w:r>
      <w:r w:rsidR="0024559C">
        <w:t xml:space="preserve"> Право на стипендију у школској 2019/2020. години остварило је </w:t>
      </w:r>
      <w:r w:rsidR="007C5FD2" w:rsidRPr="007C5FD2">
        <w:rPr>
          <w:lang w:val="sr-Cyrl-RS"/>
        </w:rPr>
        <w:t>53</w:t>
      </w:r>
      <w:r w:rsidR="0024559C">
        <w:t xml:space="preserve"> ученика и </w:t>
      </w:r>
      <w:r w:rsidR="007C5FD2" w:rsidRPr="007C5FD2">
        <w:rPr>
          <w:lang w:val="sr-Cyrl-RS"/>
        </w:rPr>
        <w:t>175</w:t>
      </w:r>
      <w:r w:rsidR="0024559C">
        <w:t xml:space="preserve"> студената, од чега се </w:t>
      </w:r>
      <w:r w:rsidR="007C5FD2" w:rsidRPr="007C5FD2">
        <w:rPr>
          <w:lang w:val="sr-Cyrl-RS"/>
        </w:rPr>
        <w:t>23</w:t>
      </w:r>
      <w:r w:rsidR="007C5FD2">
        <w:rPr>
          <w:color w:val="FF0000"/>
          <w:lang w:val="sr-Cyrl-RS"/>
        </w:rPr>
        <w:t xml:space="preserve"> </w:t>
      </w:r>
      <w:r w:rsidR="007C5FD2">
        <w:t>стипендије односе</w:t>
      </w:r>
      <w:r w:rsidR="0024559C">
        <w:t xml:space="preserve"> на студенте који припадају породицама погинулих и несталих бораца, </w:t>
      </w:r>
      <w:r w:rsidR="0024559C" w:rsidRPr="006938F5">
        <w:t>породицама ратних војних инвалида од I</w:t>
      </w:r>
      <w:r w:rsidR="0024559C">
        <w:t xml:space="preserve"> до IV категорије инвалидности</w:t>
      </w:r>
      <w:r w:rsidR="0024559C">
        <w:rPr>
          <w:lang w:val="sr-Cyrl-BA"/>
        </w:rPr>
        <w:t xml:space="preserve"> и</w:t>
      </w:r>
      <w:r w:rsidR="0024559C">
        <w:t xml:space="preserve"> студенте</w:t>
      </w:r>
      <w:r w:rsidR="0024559C" w:rsidRPr="006938F5">
        <w:t xml:space="preserve"> без оба родитеља</w:t>
      </w:r>
      <w:r w:rsidR="0024559C">
        <w:rPr>
          <w:lang w:val="sr-Cyrl-BA"/>
        </w:rPr>
        <w:t>, а три стипендије на студенте са Косова и Метохије.</w:t>
      </w:r>
    </w:p>
    <w:p w14:paraId="5420BB8C" w14:textId="77777777" w:rsidR="002F5E5C" w:rsidRPr="002F5E5C" w:rsidRDefault="007C5FD2" w:rsidP="002F5E5C">
      <w:pPr>
        <w:ind w:left="0" w:firstLine="720"/>
        <w:rPr>
          <w:color w:val="FF0000"/>
          <w:lang w:val="sr-Cyrl-RS"/>
        </w:rPr>
      </w:pPr>
      <w:r>
        <w:rPr>
          <w:lang w:val="sr-Cyrl-BA"/>
        </w:rPr>
        <w:t xml:space="preserve">Са </w:t>
      </w:r>
      <w:r w:rsidR="00F22A24">
        <w:rPr>
          <w:lang w:val="sr-Cyrl-BA"/>
        </w:rPr>
        <w:t xml:space="preserve">ове буџетске позиције извршена је и исплата средстава за четири постдипломца и пет доктораната у укупном износу од 11.500,00 КМ, </w:t>
      </w:r>
      <w:r w:rsidR="005871C3">
        <w:rPr>
          <w:lang w:val="sr-Cyrl-BA"/>
        </w:rPr>
        <w:t>на</w:t>
      </w:r>
      <w:r>
        <w:rPr>
          <w:lang w:val="sr-Cyrl-BA"/>
        </w:rPr>
        <w:t xml:space="preserve"> </w:t>
      </w:r>
      <w:r w:rsidR="00F22A24" w:rsidRPr="002F5E5C">
        <w:t xml:space="preserve">основу Одлуке о </w:t>
      </w:r>
      <w:proofErr w:type="spellStart"/>
      <w:r w:rsidR="00F22A24" w:rsidRPr="002F5E5C">
        <w:t>додјели</w:t>
      </w:r>
      <w:proofErr w:type="spellEnd"/>
      <w:r w:rsidR="00F22A24" w:rsidRPr="002F5E5C">
        <w:t xml:space="preserve"> средстава постдипломцима и докторантима („Службени гласник општине Прњавор“, број 52/20)</w:t>
      </w:r>
      <w:r w:rsidR="00F22A24">
        <w:rPr>
          <w:lang w:val="sr-Cyrl-RS"/>
        </w:rPr>
        <w:t xml:space="preserve">. </w:t>
      </w:r>
      <w:r w:rsidR="00C8169A">
        <w:rPr>
          <w:lang w:val="sr-Cyrl-BA"/>
        </w:rPr>
        <w:t>Средства су исплаћена једнократно у износима од по 1.000,00 КМ за</w:t>
      </w:r>
      <w:r w:rsidR="00F22A24">
        <w:rPr>
          <w:lang w:val="sr-Cyrl-BA"/>
        </w:rPr>
        <w:t xml:space="preserve"> постдипломце </w:t>
      </w:r>
      <w:r w:rsidR="00C8169A">
        <w:rPr>
          <w:lang w:val="sr-Cyrl-BA"/>
        </w:rPr>
        <w:t>и     1.500,00 КМ за</w:t>
      </w:r>
      <w:r w:rsidR="00F22A24">
        <w:rPr>
          <w:lang w:val="sr-Cyrl-BA"/>
        </w:rPr>
        <w:t xml:space="preserve"> </w:t>
      </w:r>
      <w:r w:rsidR="002F5E5C">
        <w:rPr>
          <w:lang w:val="sr-Cyrl-BA"/>
        </w:rPr>
        <w:t>докторан</w:t>
      </w:r>
      <w:r w:rsidR="00F22A24">
        <w:rPr>
          <w:lang w:val="sr-Cyrl-BA"/>
        </w:rPr>
        <w:t xml:space="preserve">те. </w:t>
      </w:r>
    </w:p>
    <w:p w14:paraId="06C7BE62" w14:textId="77777777" w:rsidR="0024559C" w:rsidRDefault="0024559C" w:rsidP="002F5E5C">
      <w:pPr>
        <w:ind w:left="0" w:firstLine="0"/>
      </w:pPr>
    </w:p>
    <w:p w14:paraId="37DF64E2" w14:textId="77777777" w:rsidR="0024559C" w:rsidRPr="004C346A" w:rsidRDefault="0024559C" w:rsidP="0024559C">
      <w:pPr>
        <w:ind w:left="0" w:firstLine="720"/>
      </w:pPr>
      <w:r w:rsidRPr="001D1ECD">
        <w:rPr>
          <w:b/>
        </w:rPr>
        <w:t xml:space="preserve">Средства за студентске награде – посебни резултати током школовања </w:t>
      </w:r>
      <w:r w:rsidRPr="001D1ECD">
        <w:t>(</w:t>
      </w:r>
      <w:proofErr w:type="spellStart"/>
      <w:r w:rsidRPr="001D1ECD">
        <w:t>потр</w:t>
      </w:r>
      <w:proofErr w:type="spellEnd"/>
      <w:r w:rsidRPr="001D1ECD">
        <w:t>.</w:t>
      </w:r>
      <w:r w:rsidR="00716212">
        <w:rPr>
          <w:lang w:val="sr-Latn-RS"/>
        </w:rPr>
        <w:t xml:space="preserve"> </w:t>
      </w:r>
      <w:r w:rsidRPr="001D1ECD">
        <w:t xml:space="preserve">јединица 00750150) реализована су у укупном износу од </w:t>
      </w:r>
      <w:r>
        <w:rPr>
          <w:lang w:val="sr-Cyrl-BA"/>
        </w:rPr>
        <w:t>35.549,24</w:t>
      </w:r>
      <w:r w:rsidRPr="001D1ECD">
        <w:t xml:space="preserve"> КМ, што је </w:t>
      </w:r>
      <w:r>
        <w:t>100</w:t>
      </w:r>
      <w:r w:rsidRPr="001D1ECD">
        <w:t>% у односу на план</w:t>
      </w:r>
      <w:r>
        <w:t xml:space="preserve"> након извршених </w:t>
      </w:r>
      <w:proofErr w:type="spellStart"/>
      <w:r>
        <w:t>реалокација</w:t>
      </w:r>
      <w:proofErr w:type="spellEnd"/>
      <w:r w:rsidRPr="001D1ECD">
        <w:t xml:space="preserve">. У складу са Правилником о награђивању ученика основних и средњих школа („Службени гласник општине Прњавор“, број </w:t>
      </w:r>
      <w:r>
        <w:t>30/20</w:t>
      </w:r>
      <w:r w:rsidRPr="001D1ECD">
        <w:t xml:space="preserve">) реализовано </w:t>
      </w:r>
      <w:r w:rsidRPr="001D1ECD">
        <w:rPr>
          <w:color w:val="000000" w:themeColor="text1"/>
        </w:rPr>
        <w:t xml:space="preserve">је </w:t>
      </w:r>
      <w:r w:rsidR="00EF4808" w:rsidRPr="00EF4808">
        <w:rPr>
          <w:lang w:val="sr-Latn-RS"/>
        </w:rPr>
        <w:t>12.170</w:t>
      </w:r>
      <w:r w:rsidRPr="00EF4808">
        <w:t>,00 КМ</w:t>
      </w:r>
      <w:r w:rsidRPr="001D1ECD">
        <w:rPr>
          <w:color w:val="000000" w:themeColor="text1"/>
        </w:rPr>
        <w:t>;</w:t>
      </w:r>
      <w:r>
        <w:rPr>
          <w:color w:val="000000" w:themeColor="text1"/>
        </w:rPr>
        <w:t xml:space="preserve"> </w:t>
      </w:r>
      <w:r w:rsidRPr="001D1ECD">
        <w:t xml:space="preserve">средства у износу од 15.000,00 КМ реализована су у складу са Правилником о </w:t>
      </w:r>
      <w:proofErr w:type="spellStart"/>
      <w:r w:rsidRPr="001D1ECD">
        <w:t>додјели</w:t>
      </w:r>
      <w:proofErr w:type="spellEnd"/>
      <w:r w:rsidRPr="001D1ECD">
        <w:t xml:space="preserve"> студентске награде најбољим студентима са подручја општине Прњавор („Службени гласник општине Прњавор“, број 17/18) и Одлуком о износу средстава за студентске награде најбољим студентима са</w:t>
      </w:r>
      <w:r>
        <w:t xml:space="preserve"> подручја општине Прњавор у 2020</w:t>
      </w:r>
      <w:r w:rsidRPr="001D1ECD">
        <w:t xml:space="preserve">. години („Службени гласник општине Прњавор“, број </w:t>
      </w:r>
      <w:r>
        <w:t>52/20</w:t>
      </w:r>
      <w:r w:rsidRPr="001D1ECD">
        <w:t xml:space="preserve">), у складу са којима је за три најбоља студента са подручја општине Прњавор </w:t>
      </w:r>
      <w:proofErr w:type="spellStart"/>
      <w:r w:rsidRPr="001D1ECD">
        <w:t>обезбијеђена</w:t>
      </w:r>
      <w:proofErr w:type="spellEnd"/>
      <w:r w:rsidR="00716212">
        <w:t xml:space="preserve"> новчана награда у износу од по</w:t>
      </w:r>
      <w:r w:rsidR="004468FB">
        <w:rPr>
          <w:lang w:val="sr-Cyrl-RS"/>
        </w:rPr>
        <w:t xml:space="preserve"> </w:t>
      </w:r>
      <w:r w:rsidRPr="001D1ECD">
        <w:t xml:space="preserve">5.000,00 КМ, </w:t>
      </w:r>
      <w:r w:rsidRPr="004C346A">
        <w:t>док је</w:t>
      </w:r>
      <w:r w:rsidR="00716212">
        <w:rPr>
          <w:lang w:val="sr-Latn-RS"/>
        </w:rPr>
        <w:t xml:space="preserve">       </w:t>
      </w:r>
      <w:r w:rsidR="00EE2D1E" w:rsidRPr="004C346A">
        <w:rPr>
          <w:lang w:val="sr-Latn-RS"/>
        </w:rPr>
        <w:t xml:space="preserve"> </w:t>
      </w:r>
      <w:r w:rsidR="00EF4808" w:rsidRPr="004C346A">
        <w:rPr>
          <w:lang w:val="sr-Latn-RS"/>
        </w:rPr>
        <w:t xml:space="preserve">8.379,24 KM </w:t>
      </w:r>
      <w:r w:rsidR="004C346A" w:rsidRPr="004C346A">
        <w:rPr>
          <w:lang w:val="sr-Cyrl-RS"/>
        </w:rPr>
        <w:t xml:space="preserve">утрошено за финансирање путовања на </w:t>
      </w:r>
      <w:proofErr w:type="spellStart"/>
      <w:r w:rsidR="004C346A" w:rsidRPr="004C346A">
        <w:rPr>
          <w:lang w:val="sr-Cyrl-RS"/>
        </w:rPr>
        <w:t>Јахорину</w:t>
      </w:r>
      <w:proofErr w:type="spellEnd"/>
      <w:r w:rsidR="004C346A" w:rsidRPr="004C346A">
        <w:rPr>
          <w:lang w:val="sr-Cyrl-RS"/>
        </w:rPr>
        <w:t xml:space="preserve"> за девет најбољих студената са подручја општине Прњавор. </w:t>
      </w:r>
    </w:p>
    <w:p w14:paraId="102DFD2F" w14:textId="77777777" w:rsidR="0024559C" w:rsidRPr="001D1ECD" w:rsidRDefault="0024559C" w:rsidP="0024559C">
      <w:pPr>
        <w:ind w:left="0" w:firstLine="0"/>
      </w:pPr>
    </w:p>
    <w:p w14:paraId="4F56A7B3" w14:textId="77777777" w:rsidR="0024559C" w:rsidRPr="001D1ECD" w:rsidRDefault="0024559C" w:rsidP="0024559C">
      <w:pPr>
        <w:ind w:left="0" w:firstLine="0"/>
      </w:pPr>
      <w:r w:rsidRPr="001D1ECD">
        <w:rPr>
          <w:b/>
          <w:i/>
        </w:rPr>
        <w:tab/>
      </w:r>
      <w:r w:rsidRPr="001D1ECD">
        <w:rPr>
          <w:b/>
        </w:rPr>
        <w:t>Средства за једнократне помоћи</w:t>
      </w:r>
      <w:r w:rsidRPr="001D1ECD">
        <w:t xml:space="preserve"> (</w:t>
      </w:r>
      <w:proofErr w:type="spellStart"/>
      <w:r w:rsidRPr="001D1ECD">
        <w:t>потр</w:t>
      </w:r>
      <w:proofErr w:type="spellEnd"/>
      <w:r w:rsidRPr="001D1ECD">
        <w:t xml:space="preserve">. јед. 00750150) су искоришћена у укупном износу од </w:t>
      </w:r>
      <w:r w:rsidR="00716212">
        <w:rPr>
          <w:lang w:val="sr-Latn-RS"/>
        </w:rPr>
        <w:t>110.134,80</w:t>
      </w:r>
      <w:r w:rsidRPr="001D1ECD">
        <w:t xml:space="preserve"> КМ што је </w:t>
      </w:r>
      <w:r w:rsidR="00716212">
        <w:rPr>
          <w:lang w:val="sr-Latn-RS"/>
        </w:rPr>
        <w:t>98,94</w:t>
      </w:r>
      <w:r w:rsidRPr="001D1ECD">
        <w:t>% од плана</w:t>
      </w:r>
      <w:r w:rsidR="00716212">
        <w:rPr>
          <w:lang w:val="sr-Latn-RS"/>
        </w:rPr>
        <w:t xml:space="preserve"> </w:t>
      </w:r>
      <w:r w:rsidR="00716212">
        <w:rPr>
          <w:lang w:val="sr-Cyrl-RS"/>
        </w:rPr>
        <w:t xml:space="preserve">са извршеним </w:t>
      </w:r>
      <w:proofErr w:type="spellStart"/>
      <w:r w:rsidR="00716212">
        <w:rPr>
          <w:lang w:val="sr-Cyrl-RS"/>
        </w:rPr>
        <w:t>реалокацијама</w:t>
      </w:r>
      <w:proofErr w:type="spellEnd"/>
      <w:r w:rsidRPr="001D1ECD">
        <w:t xml:space="preserve">. У складу са Правилником о </w:t>
      </w:r>
      <w:proofErr w:type="spellStart"/>
      <w:r w:rsidRPr="001D1ECD">
        <w:t>додјели</w:t>
      </w:r>
      <w:proofErr w:type="spellEnd"/>
      <w:r w:rsidRPr="001D1ECD">
        <w:t xml:space="preserve"> једнократних новчаних </w:t>
      </w:r>
      <w:proofErr w:type="spellStart"/>
      <w:r w:rsidRPr="001D1ECD">
        <w:rPr>
          <w:lang w:val="sr-Latn-CS"/>
        </w:rPr>
        <w:t>помоћи</w:t>
      </w:r>
      <w:proofErr w:type="spellEnd"/>
      <w:r w:rsidRPr="001D1ECD">
        <w:rPr>
          <w:lang w:val="sr-Latn-CS"/>
        </w:rPr>
        <w:t xml:space="preserve"> </w:t>
      </w:r>
      <w:proofErr w:type="spellStart"/>
      <w:r w:rsidRPr="001D1ECD">
        <w:rPr>
          <w:lang w:val="sr-Latn-CS"/>
        </w:rPr>
        <w:t>грађанима</w:t>
      </w:r>
      <w:proofErr w:type="spellEnd"/>
      <w:r w:rsidRPr="001D1ECD">
        <w:t xml:space="preserve"> из буџета општине Прњавор („Службени гласник општине Пр</w:t>
      </w:r>
      <w:r w:rsidR="00462D89">
        <w:t xml:space="preserve">њавор“, број 21/09, 2/11), </w:t>
      </w:r>
      <w:proofErr w:type="spellStart"/>
      <w:r w:rsidR="00462D89">
        <w:t>захтјеве</w:t>
      </w:r>
      <w:proofErr w:type="spellEnd"/>
      <w:r w:rsidR="00462D89">
        <w:t xml:space="preserve"> за </w:t>
      </w:r>
      <w:proofErr w:type="spellStart"/>
      <w:r w:rsidR="00462D89">
        <w:t>додјелу</w:t>
      </w:r>
      <w:proofErr w:type="spellEnd"/>
      <w:r w:rsidRPr="001D1ECD">
        <w:t xml:space="preserve"> једнократних новчаних помоћи </w:t>
      </w:r>
      <w:proofErr w:type="spellStart"/>
      <w:r w:rsidRPr="001D1ECD">
        <w:t>рјешава</w:t>
      </w:r>
      <w:proofErr w:type="spellEnd"/>
      <w:r w:rsidRPr="001D1ECD">
        <w:t xml:space="preserve"> Комисија на основу услова утврђених </w:t>
      </w:r>
      <w:r w:rsidR="00462D89">
        <w:t>Правилником, а такође и начелник</w:t>
      </w:r>
      <w:r w:rsidR="00E312F9">
        <w:rPr>
          <w:lang w:val="sr-Latn-RS"/>
        </w:rPr>
        <w:t xml:space="preserve"> </w:t>
      </w:r>
      <w:r w:rsidR="00E312F9">
        <w:rPr>
          <w:lang w:val="sr-Cyrl-RS"/>
        </w:rPr>
        <w:t>општине</w:t>
      </w:r>
      <w:r w:rsidR="00462D89">
        <w:t xml:space="preserve"> из средстава текуће буџетске резерве.</w:t>
      </w:r>
    </w:p>
    <w:p w14:paraId="4A6C5DA3" w14:textId="77777777" w:rsidR="0024559C" w:rsidRPr="001D1ECD" w:rsidRDefault="0024559C" w:rsidP="0024559C">
      <w:pPr>
        <w:ind w:left="0" w:firstLine="0"/>
        <w:rPr>
          <w:lang w:val="sr-Latn-CS"/>
        </w:rPr>
      </w:pPr>
    </w:p>
    <w:p w14:paraId="3A51075D" w14:textId="77777777" w:rsidR="0024559C" w:rsidRDefault="0024559C" w:rsidP="0024559C">
      <w:pPr>
        <w:ind w:left="0" w:firstLine="0"/>
      </w:pPr>
      <w:r w:rsidRPr="001D1ECD">
        <w:rPr>
          <w:b/>
          <w:i/>
        </w:rPr>
        <w:tab/>
      </w:r>
      <w:r w:rsidRPr="001D1ECD">
        <w:rPr>
          <w:b/>
        </w:rPr>
        <w:t>Средства за једнократне помоћи за треће и свако сљедеће новорођено дијете</w:t>
      </w:r>
      <w:r w:rsidRPr="001D1ECD">
        <w:t xml:space="preserve"> (</w:t>
      </w:r>
      <w:proofErr w:type="spellStart"/>
      <w:r w:rsidRPr="001D1ECD">
        <w:t>потр</w:t>
      </w:r>
      <w:proofErr w:type="spellEnd"/>
      <w:r w:rsidRPr="001D1ECD">
        <w:t xml:space="preserve">. јед. 00750150) су искоришћена у износу од </w:t>
      </w:r>
      <w:r w:rsidR="005A525F">
        <w:rPr>
          <w:lang w:val="sr-Cyrl-RS"/>
        </w:rPr>
        <w:t>25.500,00</w:t>
      </w:r>
      <w:r w:rsidRPr="001D1ECD">
        <w:t xml:space="preserve"> КМ што је </w:t>
      </w:r>
      <w:r w:rsidR="005A525F">
        <w:rPr>
          <w:lang w:val="sr-Cyrl-RS"/>
        </w:rPr>
        <w:t>85</w:t>
      </w:r>
      <w:r w:rsidRPr="001D1ECD">
        <w:t xml:space="preserve">% од планираних средстава. Ова средства се </w:t>
      </w:r>
      <w:proofErr w:type="spellStart"/>
      <w:r w:rsidRPr="001D1ECD">
        <w:t>додјељују</w:t>
      </w:r>
      <w:proofErr w:type="spellEnd"/>
      <w:r w:rsidRPr="001D1ECD">
        <w:t xml:space="preserve"> у складу са Одлуком o</w:t>
      </w:r>
      <w:r w:rsidR="00EE2D1E">
        <w:rPr>
          <w:lang w:val="sr-Cyrl-RS"/>
        </w:rPr>
        <w:t xml:space="preserve"> </w:t>
      </w:r>
      <w:r w:rsidRPr="001D1ECD">
        <w:t xml:space="preserve">начину и поступку </w:t>
      </w:r>
      <w:proofErr w:type="spellStart"/>
      <w:r w:rsidRPr="001D1ECD">
        <w:t>додјеле</w:t>
      </w:r>
      <w:proofErr w:type="spellEnd"/>
      <w:r w:rsidRPr="001D1ECD">
        <w:t xml:space="preserve"> средстава за треће и свако сљедеће новорођено дијете на подручју општине Прњавор („Службени гласник општине Прњавор“, број </w:t>
      </w:r>
      <w:r w:rsidR="00EE2D1E">
        <w:rPr>
          <w:lang w:val="sr-Cyrl-RS"/>
        </w:rPr>
        <w:t>5/20</w:t>
      </w:r>
      <w:r w:rsidRPr="001D1ECD">
        <w:t xml:space="preserve">), према којој висина накнаде за рођење трећег </w:t>
      </w:r>
      <w:r w:rsidR="00EE2D1E">
        <w:rPr>
          <w:lang w:val="sr-Cyrl-RS"/>
        </w:rPr>
        <w:t xml:space="preserve">и сваког сљедећег новорођеног </w:t>
      </w:r>
      <w:proofErr w:type="spellStart"/>
      <w:r w:rsidR="00EE2D1E">
        <w:rPr>
          <w:lang w:val="sr-Cyrl-RS"/>
        </w:rPr>
        <w:t>дјетета</w:t>
      </w:r>
      <w:proofErr w:type="spellEnd"/>
      <w:r w:rsidR="00EE2D1E">
        <w:rPr>
          <w:lang w:val="sr-Cyrl-RS"/>
        </w:rPr>
        <w:t xml:space="preserve"> </w:t>
      </w:r>
      <w:r w:rsidR="00EE2D1E">
        <w:t>износи 500,00 КМ.</w:t>
      </w:r>
    </w:p>
    <w:p w14:paraId="519449C2" w14:textId="77777777" w:rsidR="00EE2D1E" w:rsidRPr="001D1ECD" w:rsidRDefault="00EE2D1E" w:rsidP="0024559C">
      <w:pPr>
        <w:ind w:left="0" w:firstLine="0"/>
      </w:pPr>
    </w:p>
    <w:p w14:paraId="40DE828D" w14:textId="77777777" w:rsidR="0024559C" w:rsidRPr="001D1ECD" w:rsidRDefault="0024559C" w:rsidP="0024559C">
      <w:pPr>
        <w:ind w:left="0" w:firstLine="720"/>
      </w:pPr>
      <w:r w:rsidRPr="001D1ECD">
        <w:rPr>
          <w:b/>
        </w:rPr>
        <w:t xml:space="preserve">Средства за </w:t>
      </w:r>
      <w:proofErr w:type="spellStart"/>
      <w:r w:rsidRPr="001D1ECD">
        <w:rPr>
          <w:b/>
        </w:rPr>
        <w:t>мјере</w:t>
      </w:r>
      <w:proofErr w:type="spellEnd"/>
      <w:r w:rsidRPr="001D1ECD">
        <w:rPr>
          <w:b/>
        </w:rPr>
        <w:t xml:space="preserve"> за побољшање демографске ситуације (</w:t>
      </w:r>
      <w:proofErr w:type="spellStart"/>
      <w:r w:rsidRPr="001D1ECD">
        <w:rPr>
          <w:b/>
        </w:rPr>
        <w:t>вантјелесна</w:t>
      </w:r>
      <w:proofErr w:type="spellEnd"/>
      <w:r w:rsidRPr="001D1ECD">
        <w:rPr>
          <w:b/>
        </w:rPr>
        <w:t xml:space="preserve"> оплодња и сл.) </w:t>
      </w:r>
      <w:r w:rsidRPr="001D1ECD">
        <w:t xml:space="preserve">у </w:t>
      </w:r>
      <w:proofErr w:type="spellStart"/>
      <w:r w:rsidRPr="001D1ECD">
        <w:t>извјештајном</w:t>
      </w:r>
      <w:proofErr w:type="spellEnd"/>
      <w:r w:rsidRPr="001D1ECD">
        <w:t xml:space="preserve"> периоду искоришћена су у износу од </w:t>
      </w:r>
      <w:r w:rsidR="00EE2D1E">
        <w:rPr>
          <w:lang w:val="sr-Cyrl-RS"/>
        </w:rPr>
        <w:t>5.950</w:t>
      </w:r>
      <w:r w:rsidRPr="001D1ECD">
        <w:t xml:space="preserve">,00 КМ, што је </w:t>
      </w:r>
      <w:r w:rsidR="00EE2D1E">
        <w:rPr>
          <w:lang w:val="sr-Cyrl-RS"/>
        </w:rPr>
        <w:t>39,67</w:t>
      </w:r>
      <w:r w:rsidRPr="001D1ECD">
        <w:t xml:space="preserve">% од планираних средстава. Услови и поступак </w:t>
      </w:r>
      <w:proofErr w:type="spellStart"/>
      <w:r w:rsidRPr="001D1ECD">
        <w:t>додјеле</w:t>
      </w:r>
      <w:proofErr w:type="spellEnd"/>
      <w:r w:rsidRPr="001D1ECD">
        <w:t xml:space="preserve"> једнократне новчане помоћи за суфинансирање трошкова </w:t>
      </w:r>
      <w:proofErr w:type="spellStart"/>
      <w:r w:rsidRPr="001D1ECD">
        <w:t>вантјелесне</w:t>
      </w:r>
      <w:proofErr w:type="spellEnd"/>
      <w:r w:rsidRPr="001D1ECD">
        <w:t xml:space="preserve"> оплодње регулисани су Правилником о </w:t>
      </w:r>
      <w:proofErr w:type="spellStart"/>
      <w:r w:rsidRPr="001D1ECD">
        <w:t>додјели</w:t>
      </w:r>
      <w:proofErr w:type="spellEnd"/>
      <w:r w:rsidRPr="001D1ECD">
        <w:t xml:space="preserve"> једнократне новчане помоћи за суфинансирање трошкова асистиране репродукције -</w:t>
      </w:r>
      <w:proofErr w:type="spellStart"/>
      <w:r w:rsidRPr="001D1ECD">
        <w:t>вантјелесне</w:t>
      </w:r>
      <w:proofErr w:type="spellEnd"/>
      <w:r w:rsidRPr="001D1ECD">
        <w:t xml:space="preserve"> оплодње („Службени гласник општине Прњавор“, број 7/19</w:t>
      </w:r>
      <w:r w:rsidR="00934C6B">
        <w:rPr>
          <w:lang w:val="sr-Cyrl-RS"/>
        </w:rPr>
        <w:t xml:space="preserve"> и 30/20</w:t>
      </w:r>
      <w:r w:rsidRPr="001D1ECD">
        <w:t xml:space="preserve">). У складу са Правилником, општина ће </w:t>
      </w:r>
      <w:proofErr w:type="spellStart"/>
      <w:r w:rsidRPr="001D1ECD">
        <w:t>суфинансирати</w:t>
      </w:r>
      <w:proofErr w:type="spellEnd"/>
      <w:r w:rsidRPr="001D1ECD">
        <w:t xml:space="preserve"> трошкове једне процедуре асистиране репродукције у максималном износу до 2.500,00 КМ, након што се искористе три бесплатне процедуре које падају на терет Фонда здравственог осигурања РС, а у изузетним случајевима финансираће </w:t>
      </w:r>
      <w:r w:rsidR="006C1DAA">
        <w:rPr>
          <w:lang w:val="sr-Cyrl-RS"/>
        </w:rPr>
        <w:t xml:space="preserve">и </w:t>
      </w:r>
      <w:proofErr w:type="spellStart"/>
      <w:r w:rsidR="006C1DAA">
        <w:rPr>
          <w:lang w:val="sr-Cyrl-RS"/>
        </w:rPr>
        <w:t>дио</w:t>
      </w:r>
      <w:proofErr w:type="spellEnd"/>
      <w:r w:rsidR="006C1DAA">
        <w:rPr>
          <w:lang w:val="sr-Cyrl-RS"/>
        </w:rPr>
        <w:t xml:space="preserve"> трошкова везано за процедуре које се обављају преко Фонда здравственог осигурања, али које Фонд не признаје (</w:t>
      </w:r>
      <w:proofErr w:type="spellStart"/>
      <w:r w:rsidR="006C1DAA">
        <w:rPr>
          <w:lang w:val="sr-Cyrl-RS"/>
        </w:rPr>
        <w:t>лијекови</w:t>
      </w:r>
      <w:proofErr w:type="spellEnd"/>
      <w:r w:rsidR="006C1DAA">
        <w:rPr>
          <w:lang w:val="sr-Cyrl-RS"/>
        </w:rPr>
        <w:t xml:space="preserve">, налази, путни трошкови). </w:t>
      </w:r>
    </w:p>
    <w:p w14:paraId="3343245B" w14:textId="77777777" w:rsidR="0024559C" w:rsidRPr="001D1ECD" w:rsidRDefault="0024559C" w:rsidP="0024559C">
      <w:pPr>
        <w:ind w:left="0" w:firstLine="0"/>
      </w:pPr>
    </w:p>
    <w:p w14:paraId="31D67553" w14:textId="77777777" w:rsidR="0024559C" w:rsidRPr="001D1ECD" w:rsidRDefault="0024559C" w:rsidP="0024559C">
      <w:pPr>
        <w:ind w:left="0" w:firstLine="720"/>
      </w:pPr>
      <w:r w:rsidRPr="001D1ECD">
        <w:rPr>
          <w:b/>
        </w:rPr>
        <w:t>Средства за једнократне новчане помоћи појединцима из борачке популације</w:t>
      </w:r>
      <w:r w:rsidRPr="001D1ECD">
        <w:t xml:space="preserve"> (</w:t>
      </w:r>
      <w:proofErr w:type="spellStart"/>
      <w:r w:rsidRPr="001D1ECD">
        <w:t>потр</w:t>
      </w:r>
      <w:proofErr w:type="spellEnd"/>
      <w:r w:rsidRPr="001D1ECD">
        <w:t xml:space="preserve">. јединица 00750180) реализована су у износу од </w:t>
      </w:r>
      <w:r w:rsidR="006C1DAA">
        <w:rPr>
          <w:lang w:val="sr-Cyrl-RS"/>
        </w:rPr>
        <w:t>48.491</w:t>
      </w:r>
      <w:r w:rsidRPr="001D1ECD">
        <w:t xml:space="preserve">,00 КМ, што је </w:t>
      </w:r>
      <w:r w:rsidR="006C1DAA">
        <w:rPr>
          <w:lang w:val="sr-Cyrl-RS"/>
        </w:rPr>
        <w:t>99,39</w:t>
      </w:r>
      <w:r w:rsidRPr="001D1ECD">
        <w:t>% од планираних средстава</w:t>
      </w:r>
      <w:r w:rsidR="006C1DAA">
        <w:rPr>
          <w:lang w:val="sr-Cyrl-RS"/>
        </w:rPr>
        <w:t xml:space="preserve"> са извршеним </w:t>
      </w:r>
      <w:proofErr w:type="spellStart"/>
      <w:r w:rsidR="006C1DAA">
        <w:rPr>
          <w:lang w:val="sr-Cyrl-RS"/>
        </w:rPr>
        <w:t>реалокацијама</w:t>
      </w:r>
      <w:proofErr w:type="spellEnd"/>
      <w:r w:rsidRPr="001D1ECD">
        <w:t xml:space="preserve">. Од укупно </w:t>
      </w:r>
      <w:proofErr w:type="spellStart"/>
      <w:r w:rsidRPr="001D1ECD">
        <w:t>додијељених</w:t>
      </w:r>
      <w:proofErr w:type="spellEnd"/>
      <w:r w:rsidRPr="001D1ECD">
        <w:t xml:space="preserve"> средстава за једнократне помоћи са ове буџетске позиције, </w:t>
      </w:r>
      <w:r w:rsidR="006C1DAA">
        <w:rPr>
          <w:lang w:val="sr-Cyrl-RS"/>
        </w:rPr>
        <w:t>3.791</w:t>
      </w:r>
      <w:r w:rsidRPr="001D1ECD">
        <w:t xml:space="preserve">,00 КМ је </w:t>
      </w:r>
      <w:proofErr w:type="spellStart"/>
      <w:r w:rsidRPr="001D1ECD">
        <w:t>обезбијеђено</w:t>
      </w:r>
      <w:proofErr w:type="spellEnd"/>
      <w:r w:rsidRPr="001D1ECD">
        <w:t xml:space="preserve"> из средстава текуће буџетске резерве, док су преостала средства у износу од </w:t>
      </w:r>
      <w:r w:rsidR="006C1DAA">
        <w:rPr>
          <w:lang w:val="sr-Cyrl-RS"/>
        </w:rPr>
        <w:t>44.700</w:t>
      </w:r>
      <w:r w:rsidRPr="001D1ECD">
        <w:t xml:space="preserve">,00 КМ </w:t>
      </w:r>
      <w:proofErr w:type="spellStart"/>
      <w:r w:rsidRPr="001D1ECD">
        <w:t>додијељена</w:t>
      </w:r>
      <w:proofErr w:type="spellEnd"/>
      <w:r w:rsidRPr="001D1ECD">
        <w:t xml:space="preserve"> на основу Правилника о условима и поступку одобравања и исплате једнократне новчане помоћи борцима, ратним војним инвалидима и породицама погинулих бораца („Службени гласник општине Прњавор“, бр. 3/13, 3/15 и 9/17) и Програма за </w:t>
      </w:r>
      <w:proofErr w:type="spellStart"/>
      <w:r w:rsidRPr="001D1ECD">
        <w:t>рјешавање</w:t>
      </w:r>
      <w:proofErr w:type="spellEnd"/>
      <w:r w:rsidRPr="001D1ECD">
        <w:t xml:space="preserve"> питања из области борачко-инвалидске з</w:t>
      </w:r>
      <w:r w:rsidR="006C1DAA">
        <w:t>аштите у општини Прњавор за 2020</w:t>
      </w:r>
      <w:r w:rsidRPr="001D1ECD">
        <w:t xml:space="preserve">. годину („Службени гласник општине Прњавор“, број </w:t>
      </w:r>
      <w:r w:rsidR="006C1DAA">
        <w:rPr>
          <w:lang w:val="sr-Cyrl-RS"/>
        </w:rPr>
        <w:t>7/20</w:t>
      </w:r>
      <w:r w:rsidRPr="001D1ECD">
        <w:t>). У складу са Правилником и Програмом, ј</w:t>
      </w:r>
      <w:proofErr w:type="spellStart"/>
      <w:r w:rsidRPr="001D1ECD">
        <w:rPr>
          <w:lang w:val="sr-Cyrl-BA"/>
        </w:rPr>
        <w:t>еднократне</w:t>
      </w:r>
      <w:proofErr w:type="spellEnd"/>
      <w:r w:rsidRPr="001D1ECD">
        <w:rPr>
          <w:lang w:val="sr-Cyrl-BA"/>
        </w:rPr>
        <w:t xml:space="preserve"> новчане помоћи</w:t>
      </w:r>
      <w:r w:rsidRPr="001D1ECD">
        <w:t xml:space="preserve"> одобравају се у случају смрти чланова породице погинулих и несталих бораца, смрти РВИ од I до IV категорије – инвалидности 100% до 80%, смрти демобилисаних бораца ВРС 1. и 2. категорије и у случају смрти корисника породичне и личне инвалиднине, по основу учешћа у НОР-у; затим у случају идентификације посмртних остатака несталих бораца ВРС; у сврху </w:t>
      </w:r>
      <w:proofErr w:type="spellStart"/>
      <w:r w:rsidRPr="001D1ECD">
        <w:t>лијечења</w:t>
      </w:r>
      <w:proofErr w:type="spellEnd"/>
      <w:r w:rsidRPr="001D1ECD">
        <w:t xml:space="preserve"> и куповине </w:t>
      </w:r>
      <w:proofErr w:type="spellStart"/>
      <w:r w:rsidRPr="001D1ECD">
        <w:t>лијекова</w:t>
      </w:r>
      <w:proofErr w:type="spellEnd"/>
      <w:r w:rsidRPr="001D1ECD">
        <w:t>; у случајевима када се ради о изузетно тешком здравственом стању; за ублажавање тешког материјалног положаја и др.</w:t>
      </w:r>
    </w:p>
    <w:p w14:paraId="0B5FC8D2" w14:textId="77777777" w:rsidR="000E3FCB" w:rsidRDefault="000E3FCB" w:rsidP="00F10775">
      <w:pPr>
        <w:ind w:left="0" w:firstLine="0"/>
      </w:pPr>
    </w:p>
    <w:p w14:paraId="74A7E7B1" w14:textId="77777777" w:rsidR="00E7769E" w:rsidRDefault="00B24BAB" w:rsidP="00E7769E">
      <w:pPr>
        <w:pStyle w:val="Podnaslov3"/>
        <w:spacing w:before="120"/>
        <w:ind w:right="-792"/>
        <w:rPr>
          <w:sz w:val="24"/>
          <w:szCs w:val="24"/>
        </w:rPr>
      </w:pPr>
      <w:r>
        <w:tab/>
      </w:r>
      <w:bookmarkStart w:id="65" w:name="_Toc530745884"/>
      <w:bookmarkStart w:id="66" w:name="_Toc50641204"/>
      <w:r w:rsidR="00A32AA2" w:rsidRPr="00E7769E">
        <w:rPr>
          <w:sz w:val="24"/>
          <w:szCs w:val="24"/>
        </w:rPr>
        <w:t>Б.7</w:t>
      </w:r>
      <w:r w:rsidR="00E7769E">
        <w:rPr>
          <w:sz w:val="24"/>
          <w:szCs w:val="24"/>
        </w:rPr>
        <w:t>. Расходи финансирања,</w:t>
      </w:r>
      <w:r w:rsidRPr="00E7769E">
        <w:rPr>
          <w:sz w:val="24"/>
          <w:szCs w:val="24"/>
        </w:rPr>
        <w:t xml:space="preserve"> други финансијски трошкови</w:t>
      </w:r>
      <w:bookmarkEnd w:id="65"/>
      <w:r w:rsidR="00E7769E">
        <w:rPr>
          <w:sz w:val="24"/>
          <w:szCs w:val="24"/>
        </w:rPr>
        <w:t xml:space="preserve"> и расходи</w:t>
      </w:r>
      <w:bookmarkEnd w:id="66"/>
    </w:p>
    <w:p w14:paraId="68707579" w14:textId="77777777" w:rsidR="00B24BAB" w:rsidRPr="00E7769E" w:rsidRDefault="00C72D28" w:rsidP="00E7769E">
      <w:pPr>
        <w:pStyle w:val="Podnaslov3"/>
        <w:ind w:right="-794"/>
        <w:rPr>
          <w:sz w:val="24"/>
          <w:szCs w:val="24"/>
        </w:rPr>
      </w:pPr>
      <w:bookmarkStart w:id="67" w:name="_Toc50641205"/>
      <w:r>
        <w:rPr>
          <w:sz w:val="24"/>
          <w:szCs w:val="24"/>
          <w:lang w:val="sr-Cyrl-RS"/>
        </w:rPr>
        <w:t xml:space="preserve">                    </w:t>
      </w:r>
      <w:r w:rsidR="00E7769E">
        <w:rPr>
          <w:sz w:val="24"/>
          <w:szCs w:val="24"/>
        </w:rPr>
        <w:t>трансакција размјен</w:t>
      </w:r>
      <w:bookmarkStart w:id="68" w:name="_Toc530745885"/>
      <w:r w:rsidR="00E7769E">
        <w:rPr>
          <w:sz w:val="24"/>
          <w:szCs w:val="24"/>
        </w:rPr>
        <w:t xml:space="preserve">е </w:t>
      </w:r>
      <w:r w:rsidR="00B24BAB" w:rsidRPr="00E7769E">
        <w:rPr>
          <w:sz w:val="24"/>
          <w:szCs w:val="24"/>
        </w:rPr>
        <w:t>између јединица власти</w:t>
      </w:r>
      <w:bookmarkEnd w:id="67"/>
      <w:bookmarkEnd w:id="68"/>
    </w:p>
    <w:p w14:paraId="3D578CAE" w14:textId="77777777" w:rsidR="00B24BAB" w:rsidRDefault="00B24BAB" w:rsidP="00B24BAB">
      <w:pPr>
        <w:pStyle w:val="Podnaslov3"/>
        <w:ind w:right="-794"/>
      </w:pPr>
    </w:p>
    <w:p w14:paraId="62BCD45D" w14:textId="77777777" w:rsidR="00B24BAB" w:rsidRPr="00B24BAB" w:rsidRDefault="00B24BAB" w:rsidP="00AB04AD">
      <w:pPr>
        <w:ind w:left="0" w:firstLine="0"/>
        <w:rPr>
          <w:b/>
        </w:rPr>
      </w:pPr>
      <w:r w:rsidRPr="00B24BAB">
        <w:rPr>
          <w:i/>
        </w:rPr>
        <w:lastRenderedPageBreak/>
        <w:tab/>
      </w:r>
      <w:bookmarkStart w:id="69" w:name="_Toc514397321"/>
      <w:bookmarkStart w:id="70" w:name="_Toc9495605"/>
      <w:r w:rsidR="00E7769E" w:rsidRPr="00FF7418">
        <w:rPr>
          <w:b/>
        </w:rPr>
        <w:t>Расходи финансирања, други финансијски трошкови и расходи трансакција размјене између јединица власти</w:t>
      </w:r>
      <w:r w:rsidR="006C1DAA">
        <w:rPr>
          <w:b/>
          <w:lang w:val="sr-Cyrl-RS"/>
        </w:rPr>
        <w:t xml:space="preserve"> </w:t>
      </w:r>
      <w:r w:rsidR="00E7769E" w:rsidRPr="00FF7418">
        <w:t xml:space="preserve">реализовани су у износу од </w:t>
      </w:r>
      <w:r w:rsidR="00C2228C">
        <w:rPr>
          <w:lang w:val="sr-Cyrl-RS"/>
        </w:rPr>
        <w:t>28.815,28</w:t>
      </w:r>
      <w:r w:rsidR="00E7769E" w:rsidRPr="00FF7418">
        <w:t xml:space="preserve"> КМ, што је </w:t>
      </w:r>
      <w:r w:rsidR="00C2228C">
        <w:rPr>
          <w:lang w:val="sr-Cyrl-RS"/>
        </w:rPr>
        <w:t>91,16</w:t>
      </w:r>
      <w:r w:rsidR="00E7769E" w:rsidRPr="00FF7418">
        <w:t xml:space="preserve">% од планираних средстава. Ови расходи се односе на </w:t>
      </w:r>
      <w:r w:rsidR="00E7769E">
        <w:t xml:space="preserve">трошкове одржавања лиценци за трезорско пословање у износу од 7.054,75 КМ, </w:t>
      </w:r>
      <w:r w:rsidR="00E7769E" w:rsidRPr="00FF7418">
        <w:t xml:space="preserve">расходе по основу камата на кредит Краљевине Шпаније у износу од </w:t>
      </w:r>
      <w:r w:rsidR="00AD03E3">
        <w:t>3.548,73</w:t>
      </w:r>
      <w:r w:rsidR="00E7769E" w:rsidRPr="00FF7418">
        <w:t xml:space="preserve"> КМ (обавеза по овом кредиту уплаћује се у буџет Републике Српске, због чега су ови расходи класификовани као расходи финансирања између јединица власти), и трошкове </w:t>
      </w:r>
      <w:proofErr w:type="spellStart"/>
      <w:r w:rsidR="00E7769E" w:rsidRPr="00FF7418">
        <w:t>смјештаја</w:t>
      </w:r>
      <w:proofErr w:type="spellEnd"/>
      <w:r w:rsidR="00E7769E" w:rsidRPr="00FF7418">
        <w:t xml:space="preserve"> штићеника Центра за социјални рад у установе социјалне заштите – буџетске кор</w:t>
      </w:r>
      <w:r w:rsidR="00B91330">
        <w:t xml:space="preserve">иснике у износу од </w:t>
      </w:r>
      <w:r w:rsidR="00C2228C">
        <w:rPr>
          <w:lang w:val="sr-Cyrl-RS"/>
        </w:rPr>
        <w:t>18.211,80</w:t>
      </w:r>
      <w:r w:rsidR="00B91330">
        <w:t xml:space="preserve"> КМ </w:t>
      </w:r>
      <w:r w:rsidR="00E7769E" w:rsidRPr="00FF7418">
        <w:t xml:space="preserve">(ЈУ Центар „Заштити ме“ Бањалука и ЈУ Центар за </w:t>
      </w:r>
      <w:proofErr w:type="spellStart"/>
      <w:r w:rsidR="00E7769E" w:rsidRPr="00FF7418">
        <w:t>дјецу</w:t>
      </w:r>
      <w:proofErr w:type="spellEnd"/>
      <w:r w:rsidR="00E7769E" w:rsidRPr="00FF7418">
        <w:t xml:space="preserve"> и омладину са сметњама у развоју „Будућност“ Дервента“)</w:t>
      </w:r>
      <w:bookmarkEnd w:id="69"/>
      <w:bookmarkEnd w:id="70"/>
      <w:r w:rsidR="00E7769E" w:rsidRPr="00FF7418">
        <w:t>.</w:t>
      </w:r>
    </w:p>
    <w:p w14:paraId="012BD5DF" w14:textId="77777777" w:rsidR="00B24BAB" w:rsidRDefault="00B24BAB" w:rsidP="00F137BB">
      <w:pPr>
        <w:ind w:left="0" w:firstLine="720"/>
      </w:pPr>
    </w:p>
    <w:p w14:paraId="09B87693" w14:textId="77777777" w:rsidR="00B24BAB" w:rsidRPr="004A5314" w:rsidRDefault="00B24BAB" w:rsidP="00B24BAB">
      <w:pPr>
        <w:pStyle w:val="Podnaslov3"/>
        <w:spacing w:before="120"/>
        <w:ind w:right="-792"/>
        <w:rPr>
          <w:sz w:val="24"/>
          <w:szCs w:val="24"/>
        </w:rPr>
      </w:pPr>
      <w:r w:rsidRPr="004A5314">
        <w:rPr>
          <w:sz w:val="24"/>
          <w:szCs w:val="24"/>
        </w:rPr>
        <w:tab/>
      </w:r>
      <w:bookmarkStart w:id="71" w:name="_Toc491329736"/>
      <w:bookmarkStart w:id="72" w:name="_Toc530745886"/>
      <w:bookmarkStart w:id="73" w:name="_Toc50641206"/>
      <w:r w:rsidR="00A32AA2" w:rsidRPr="004A5314">
        <w:rPr>
          <w:sz w:val="24"/>
          <w:szCs w:val="24"/>
        </w:rPr>
        <w:t>Б.8</w:t>
      </w:r>
      <w:r w:rsidRPr="004A5314">
        <w:rPr>
          <w:sz w:val="24"/>
          <w:szCs w:val="24"/>
        </w:rPr>
        <w:t>. Расходи по судским рјешењима</w:t>
      </w:r>
      <w:bookmarkEnd w:id="71"/>
      <w:bookmarkEnd w:id="72"/>
      <w:bookmarkEnd w:id="73"/>
    </w:p>
    <w:p w14:paraId="04A99F7A" w14:textId="77777777" w:rsidR="00B24BAB" w:rsidRDefault="00B24BAB" w:rsidP="00B24BAB">
      <w:pPr>
        <w:ind w:left="0" w:firstLine="0"/>
      </w:pPr>
    </w:p>
    <w:p w14:paraId="7A57C187" w14:textId="77777777" w:rsidR="00383D4F" w:rsidRDefault="00B24BAB" w:rsidP="00383D4F">
      <w:pPr>
        <w:ind w:left="0" w:firstLine="0"/>
        <w:rPr>
          <w:lang w:val="sr-Cyrl-RS"/>
        </w:rPr>
      </w:pPr>
      <w:r>
        <w:tab/>
      </w:r>
      <w:r w:rsidRPr="0008183B">
        <w:rPr>
          <w:b/>
          <w:i/>
        </w:rPr>
        <w:t xml:space="preserve">Расходи по судским </w:t>
      </w:r>
      <w:proofErr w:type="spellStart"/>
      <w:r w:rsidRPr="0008183B">
        <w:rPr>
          <w:b/>
          <w:i/>
        </w:rPr>
        <w:t>рјешењима</w:t>
      </w:r>
      <w:proofErr w:type="spellEnd"/>
      <w:r w:rsidRPr="0008183B">
        <w:rPr>
          <w:b/>
          <w:i/>
        </w:rPr>
        <w:t xml:space="preserve"> </w:t>
      </w:r>
      <w:r>
        <w:t xml:space="preserve">извршени су у износу од </w:t>
      </w:r>
      <w:r w:rsidR="00C2228C">
        <w:rPr>
          <w:lang w:val="sr-Cyrl-RS"/>
        </w:rPr>
        <w:t>47.079,00</w:t>
      </w:r>
      <w:r>
        <w:t xml:space="preserve"> КМ, што је </w:t>
      </w:r>
      <w:r w:rsidR="00C2228C">
        <w:rPr>
          <w:lang w:val="sr-Cyrl-RS"/>
        </w:rPr>
        <w:t>75,93</w:t>
      </w:r>
      <w:r>
        <w:t xml:space="preserve">% у односу на планирана средства. Ови расходи обухватају расходе по основу главнице дуга по судским </w:t>
      </w:r>
      <w:proofErr w:type="spellStart"/>
      <w:r>
        <w:t>рјешењима</w:t>
      </w:r>
      <w:proofErr w:type="spellEnd"/>
      <w:r w:rsidR="00C2228C">
        <w:rPr>
          <w:lang w:val="sr-Cyrl-RS"/>
        </w:rPr>
        <w:t xml:space="preserve"> </w:t>
      </w:r>
      <w:r w:rsidR="00CE1E53">
        <w:t xml:space="preserve">у </w:t>
      </w:r>
      <w:r w:rsidR="004A5314">
        <w:t>износ</w:t>
      </w:r>
      <w:r w:rsidR="00CE1E53">
        <w:t>у</w:t>
      </w:r>
      <w:r w:rsidR="004A5314">
        <w:t xml:space="preserve"> од </w:t>
      </w:r>
      <w:r w:rsidR="00C2228C">
        <w:rPr>
          <w:lang w:val="sr-Cyrl-RS"/>
        </w:rPr>
        <w:t>34.241,91</w:t>
      </w:r>
      <w:r w:rsidR="004A5314">
        <w:t xml:space="preserve"> КМ</w:t>
      </w:r>
      <w:r>
        <w:t xml:space="preserve">, расходе по основу камата по судским </w:t>
      </w:r>
      <w:proofErr w:type="spellStart"/>
      <w:r>
        <w:t>рјешењима</w:t>
      </w:r>
      <w:proofErr w:type="spellEnd"/>
      <w:r w:rsidR="00C2228C">
        <w:rPr>
          <w:lang w:val="sr-Cyrl-RS"/>
        </w:rPr>
        <w:t xml:space="preserve"> </w:t>
      </w:r>
      <w:r w:rsidR="00CE1E53">
        <w:t xml:space="preserve">у </w:t>
      </w:r>
      <w:r w:rsidR="004A5314">
        <w:t>износ</w:t>
      </w:r>
      <w:r w:rsidR="00CE1E53">
        <w:t>у</w:t>
      </w:r>
      <w:r w:rsidR="004A5314">
        <w:t xml:space="preserve"> од </w:t>
      </w:r>
      <w:r w:rsidR="00C2228C">
        <w:rPr>
          <w:lang w:val="sr-Cyrl-RS"/>
        </w:rPr>
        <w:t>2.377,73</w:t>
      </w:r>
      <w:r w:rsidR="004A5314">
        <w:t xml:space="preserve"> КМ</w:t>
      </w:r>
      <w:r>
        <w:t>, расходе по основу адвокатских и правних услуга по судс</w:t>
      </w:r>
      <w:r w:rsidR="00BE6300">
        <w:t xml:space="preserve">ким </w:t>
      </w:r>
      <w:proofErr w:type="spellStart"/>
      <w:r w:rsidR="00BE6300">
        <w:t>рјешењима</w:t>
      </w:r>
      <w:proofErr w:type="spellEnd"/>
      <w:r w:rsidR="00C2228C">
        <w:rPr>
          <w:lang w:val="sr-Cyrl-RS"/>
        </w:rPr>
        <w:t xml:space="preserve"> </w:t>
      </w:r>
      <w:r w:rsidR="00CE1E53">
        <w:t xml:space="preserve">у </w:t>
      </w:r>
      <w:r w:rsidR="003D3D38">
        <w:t>износ</w:t>
      </w:r>
      <w:r w:rsidR="00CE1E53">
        <w:t>у</w:t>
      </w:r>
      <w:r w:rsidR="003D3D38">
        <w:t xml:space="preserve"> од </w:t>
      </w:r>
      <w:r w:rsidR="00C2228C">
        <w:rPr>
          <w:lang w:val="sr-Cyrl-RS"/>
        </w:rPr>
        <w:t>6.119,36</w:t>
      </w:r>
      <w:r w:rsidR="003D3D38">
        <w:t xml:space="preserve"> КМ</w:t>
      </w:r>
      <w:r>
        <w:t>, те оста</w:t>
      </w:r>
      <w:r w:rsidR="00BE6300">
        <w:t xml:space="preserve">ле расходе по судским </w:t>
      </w:r>
      <w:proofErr w:type="spellStart"/>
      <w:r w:rsidR="00BE6300">
        <w:t>рјешењима</w:t>
      </w:r>
      <w:proofErr w:type="spellEnd"/>
      <w:r w:rsidR="00C2228C">
        <w:rPr>
          <w:lang w:val="sr-Cyrl-RS"/>
        </w:rPr>
        <w:t xml:space="preserve"> </w:t>
      </w:r>
      <w:r w:rsidR="00CE1E53">
        <w:t xml:space="preserve">у </w:t>
      </w:r>
      <w:r w:rsidR="003D3D38">
        <w:t>износ</w:t>
      </w:r>
      <w:r w:rsidR="00CE1E53">
        <w:t>у</w:t>
      </w:r>
      <w:r w:rsidR="003D3D38">
        <w:t xml:space="preserve"> од </w:t>
      </w:r>
      <w:r w:rsidR="00C2228C">
        <w:rPr>
          <w:lang w:val="sr-Cyrl-RS"/>
        </w:rPr>
        <w:t>4.340</w:t>
      </w:r>
      <w:r w:rsidR="003D3D38">
        <w:t>,00 КМ</w:t>
      </w:r>
      <w:r w:rsidR="00383D4F">
        <w:t>.</w:t>
      </w:r>
      <w:r w:rsidR="000B58AA">
        <w:rPr>
          <w:lang w:val="sr-Cyrl-RS"/>
        </w:rPr>
        <w:t xml:space="preserve"> Најзначајнији расходи по судским </w:t>
      </w:r>
      <w:proofErr w:type="spellStart"/>
      <w:r w:rsidR="000B58AA">
        <w:rPr>
          <w:lang w:val="sr-Cyrl-RS"/>
        </w:rPr>
        <w:t>рјешењима</w:t>
      </w:r>
      <w:proofErr w:type="spellEnd"/>
      <w:r w:rsidR="000B58AA">
        <w:rPr>
          <w:lang w:val="sr-Cyrl-RS"/>
        </w:rPr>
        <w:t xml:space="preserve"> реализовани у </w:t>
      </w:r>
      <w:proofErr w:type="spellStart"/>
      <w:r w:rsidR="000B58AA">
        <w:rPr>
          <w:lang w:val="sr-Cyrl-RS"/>
        </w:rPr>
        <w:t>извјештајном</w:t>
      </w:r>
      <w:proofErr w:type="spellEnd"/>
      <w:r w:rsidR="000B58AA">
        <w:rPr>
          <w:lang w:val="sr-Cyrl-RS"/>
        </w:rPr>
        <w:t xml:space="preserve"> периоду односе се на:</w:t>
      </w:r>
    </w:p>
    <w:p w14:paraId="13A85510" w14:textId="77777777" w:rsidR="000B58AA" w:rsidRDefault="000B58AA" w:rsidP="000B58AA">
      <w:pPr>
        <w:pStyle w:val="Pasussalistom"/>
        <w:tabs>
          <w:tab w:val="right" w:leader="dot" w:pos="9214"/>
        </w:tabs>
        <w:spacing w:before="120"/>
        <w:ind w:hanging="360"/>
        <w:rPr>
          <w:lang w:val="sr-Cyrl-RS"/>
        </w:rPr>
      </w:pPr>
      <w:r>
        <w:rPr>
          <w:lang w:val="sr-Cyrl-RS"/>
        </w:rPr>
        <w:t xml:space="preserve">- судска пресуда по тужби </w:t>
      </w:r>
      <w:proofErr w:type="spellStart"/>
      <w:r>
        <w:rPr>
          <w:lang w:val="sr-Cyrl-RS"/>
        </w:rPr>
        <w:t>Малијевић</w:t>
      </w:r>
      <w:proofErr w:type="spellEnd"/>
      <w:r>
        <w:rPr>
          <w:lang w:val="sr-Cyrl-RS"/>
        </w:rPr>
        <w:t xml:space="preserve"> Борке из Прњавора за накнаду </w:t>
      </w:r>
    </w:p>
    <w:p w14:paraId="3BD4102B" w14:textId="77777777" w:rsidR="000B58AA" w:rsidRDefault="000B58AA" w:rsidP="000B58AA">
      <w:pPr>
        <w:pStyle w:val="Pasussalistom"/>
        <w:tabs>
          <w:tab w:val="right" w:leader="dot" w:pos="9214"/>
        </w:tabs>
        <w:spacing w:before="120"/>
        <w:ind w:hanging="360"/>
        <w:rPr>
          <w:lang w:val="sr-Cyrl-RS"/>
        </w:rPr>
      </w:pPr>
      <w:r>
        <w:rPr>
          <w:lang w:val="sr-Cyrl-RS"/>
        </w:rPr>
        <w:t xml:space="preserve">  материјалне </w:t>
      </w:r>
      <w:r w:rsidRPr="000B58AA">
        <w:rPr>
          <w:lang w:val="sr-Cyrl-RS"/>
        </w:rPr>
        <w:t>и нематеријалне штете, општина исплаћује солидарно</w:t>
      </w:r>
    </w:p>
    <w:p w14:paraId="517D14CA" w14:textId="77777777" w:rsidR="000B58AA" w:rsidRDefault="000B58AA" w:rsidP="000B58AA">
      <w:pPr>
        <w:pStyle w:val="Pasussalistom"/>
        <w:tabs>
          <w:tab w:val="right" w:leader="dot" w:pos="9214"/>
        </w:tabs>
        <w:spacing w:before="120"/>
        <w:ind w:hanging="360"/>
        <w:rPr>
          <w:lang w:val="sr-Cyrl-RS"/>
        </w:rPr>
      </w:pPr>
      <w:r>
        <w:rPr>
          <w:lang w:val="sr-Cyrl-RS"/>
        </w:rPr>
        <w:t xml:space="preserve"> </w:t>
      </w:r>
      <w:r w:rsidRPr="000B58AA">
        <w:rPr>
          <w:lang w:val="sr-Cyrl-RS"/>
        </w:rPr>
        <w:t xml:space="preserve"> са ОШ „Вук Караџић“ Доњи</w:t>
      </w:r>
      <w:r>
        <w:rPr>
          <w:lang w:val="sr-Cyrl-RS"/>
        </w:rPr>
        <w:t xml:space="preserve"> </w:t>
      </w:r>
      <w:proofErr w:type="spellStart"/>
      <w:r w:rsidRPr="000B58AA">
        <w:rPr>
          <w:lang w:val="sr-Cyrl-RS"/>
        </w:rPr>
        <w:t>Вијачани</w:t>
      </w:r>
      <w:proofErr w:type="spellEnd"/>
      <w:r w:rsidRPr="000B58AA">
        <w:rPr>
          <w:lang w:val="sr-Cyrl-RS"/>
        </w:rPr>
        <w:t xml:space="preserve"> (главни дуг </w:t>
      </w:r>
      <w:r>
        <w:rPr>
          <w:lang w:val="sr-Cyrl-RS"/>
        </w:rPr>
        <w:t>13.271,50</w:t>
      </w:r>
      <w:r w:rsidRPr="000B58AA">
        <w:rPr>
          <w:lang w:val="sr-Cyrl-RS"/>
        </w:rPr>
        <w:t xml:space="preserve"> КМ, </w:t>
      </w:r>
    </w:p>
    <w:p w14:paraId="46937B0D" w14:textId="77777777" w:rsidR="000B58AA" w:rsidRDefault="000B58AA" w:rsidP="000B58AA">
      <w:pPr>
        <w:pStyle w:val="Pasussalistom"/>
        <w:tabs>
          <w:tab w:val="right" w:leader="dot" w:pos="9214"/>
        </w:tabs>
        <w:spacing w:before="120"/>
        <w:ind w:hanging="360"/>
        <w:rPr>
          <w:lang w:val="sr-Cyrl-RS"/>
        </w:rPr>
      </w:pPr>
      <w:r>
        <w:rPr>
          <w:lang w:val="sr-Cyrl-RS"/>
        </w:rPr>
        <w:t xml:space="preserve">  </w:t>
      </w:r>
      <w:r w:rsidRPr="000B58AA">
        <w:rPr>
          <w:lang w:val="sr-Cyrl-RS"/>
        </w:rPr>
        <w:t>затезна камата</w:t>
      </w:r>
      <w:r>
        <w:rPr>
          <w:lang w:val="sr-Cyrl-RS"/>
        </w:rPr>
        <w:t xml:space="preserve"> </w:t>
      </w:r>
      <w:r w:rsidRPr="000B58AA">
        <w:rPr>
          <w:lang w:val="sr-Cyrl-RS"/>
        </w:rPr>
        <w:t>на главни дуг</w:t>
      </w:r>
      <w:r>
        <w:rPr>
          <w:lang w:val="sr-Cyrl-RS"/>
        </w:rPr>
        <w:t xml:space="preserve"> 1.349,70</w:t>
      </w:r>
      <w:r w:rsidRPr="000B58AA">
        <w:rPr>
          <w:lang w:val="sr-Cyrl-RS"/>
        </w:rPr>
        <w:t xml:space="preserve"> КМ,</w:t>
      </w:r>
      <w:r>
        <w:rPr>
          <w:lang w:val="sr-Cyrl-RS"/>
        </w:rPr>
        <w:t xml:space="preserve"> трошкови </w:t>
      </w:r>
      <w:r w:rsidRPr="000B58AA">
        <w:rPr>
          <w:lang w:val="sr-Cyrl-RS"/>
        </w:rPr>
        <w:t>парничног</w:t>
      </w:r>
    </w:p>
    <w:p w14:paraId="22E46A41" w14:textId="77777777" w:rsidR="000B58AA" w:rsidRDefault="000B58AA" w:rsidP="000B58AA">
      <w:pPr>
        <w:pStyle w:val="Pasussalistom"/>
        <w:tabs>
          <w:tab w:val="right" w:leader="dot" w:pos="9214"/>
        </w:tabs>
        <w:spacing w:before="120"/>
        <w:ind w:hanging="360"/>
        <w:rPr>
          <w:lang w:val="sr-Cyrl-RS"/>
        </w:rPr>
      </w:pPr>
      <w:r>
        <w:rPr>
          <w:lang w:val="sr-Cyrl-RS"/>
        </w:rPr>
        <w:t xml:space="preserve">  </w:t>
      </w:r>
      <w:r w:rsidRPr="000B58AA">
        <w:rPr>
          <w:lang w:val="sr-Cyrl-RS"/>
        </w:rPr>
        <w:t xml:space="preserve">поступка </w:t>
      </w:r>
      <w:r>
        <w:rPr>
          <w:lang w:val="sr-Cyrl-RS"/>
        </w:rPr>
        <w:t>3.305</w:t>
      </w:r>
      <w:r w:rsidRPr="000B58AA">
        <w:rPr>
          <w:lang w:val="sr-Cyrl-RS"/>
        </w:rPr>
        <w:t>,00 КМ</w:t>
      </w:r>
      <w:r>
        <w:rPr>
          <w:lang w:val="sr-Cyrl-RS"/>
        </w:rPr>
        <w:t>)</w:t>
      </w:r>
      <w:r>
        <w:rPr>
          <w:lang w:val="sr-Cyrl-RS"/>
        </w:rPr>
        <w:tab/>
        <w:t>17.926,20 КМ</w:t>
      </w:r>
    </w:p>
    <w:p w14:paraId="2FCD12DC" w14:textId="77777777" w:rsidR="000B58AA" w:rsidRDefault="000B58AA" w:rsidP="000B58AA">
      <w:pPr>
        <w:pStyle w:val="Pasussalistom"/>
        <w:tabs>
          <w:tab w:val="right" w:leader="dot" w:pos="9214"/>
        </w:tabs>
        <w:spacing w:before="120"/>
        <w:ind w:hanging="360"/>
        <w:rPr>
          <w:lang w:val="sr-Cyrl-RS"/>
        </w:rPr>
      </w:pPr>
      <w:r>
        <w:rPr>
          <w:lang w:val="sr-Cyrl-RS"/>
        </w:rPr>
        <w:t xml:space="preserve">- судска пресуда </w:t>
      </w:r>
      <w:r w:rsidR="00BC58A2">
        <w:rPr>
          <w:lang w:val="sr-Cyrl-RS"/>
        </w:rPr>
        <w:t xml:space="preserve">по тужби </w:t>
      </w:r>
      <w:proofErr w:type="spellStart"/>
      <w:r w:rsidR="00BC58A2">
        <w:rPr>
          <w:lang w:val="sr-Cyrl-RS"/>
        </w:rPr>
        <w:t>Лугоњић</w:t>
      </w:r>
      <w:proofErr w:type="spellEnd"/>
      <w:r w:rsidR="00BC58A2">
        <w:rPr>
          <w:lang w:val="sr-Cyrl-RS"/>
        </w:rPr>
        <w:t xml:space="preserve"> Славољуба и осталих ради исплате</w:t>
      </w:r>
    </w:p>
    <w:p w14:paraId="69595431" w14:textId="77777777" w:rsidR="00C53BC3" w:rsidRDefault="00BC58A2" w:rsidP="000B58AA">
      <w:pPr>
        <w:pStyle w:val="Pasussalistom"/>
        <w:tabs>
          <w:tab w:val="right" w:leader="dot" w:pos="9214"/>
        </w:tabs>
        <w:spacing w:before="120"/>
        <w:ind w:hanging="360"/>
        <w:rPr>
          <w:lang w:val="sr-Cyrl-RS"/>
        </w:rPr>
      </w:pPr>
      <w:r>
        <w:rPr>
          <w:lang w:val="sr-Cyrl-RS"/>
        </w:rPr>
        <w:t xml:space="preserve">  накнаде за експроприсане некретнине</w:t>
      </w:r>
      <w:r w:rsidR="00C53BC3">
        <w:rPr>
          <w:lang w:val="sr-Cyrl-RS"/>
        </w:rPr>
        <w:t xml:space="preserve"> (главни дуг 14.316,97 КМ, </w:t>
      </w:r>
    </w:p>
    <w:p w14:paraId="22FFC693" w14:textId="77777777" w:rsidR="00C53BC3" w:rsidRPr="00C53BC3" w:rsidRDefault="00C53BC3" w:rsidP="00C53BC3">
      <w:pPr>
        <w:pStyle w:val="Pasussalistom"/>
        <w:tabs>
          <w:tab w:val="right" w:leader="dot" w:pos="9214"/>
        </w:tabs>
        <w:spacing w:before="120"/>
        <w:ind w:hanging="360"/>
        <w:rPr>
          <w:lang w:val="sr-Cyrl-RS"/>
        </w:rPr>
      </w:pPr>
      <w:r>
        <w:rPr>
          <w:lang w:val="sr-Cyrl-RS"/>
        </w:rPr>
        <w:t xml:space="preserve">  затезна </w:t>
      </w:r>
      <w:r w:rsidRPr="00C53BC3">
        <w:rPr>
          <w:lang w:val="sr-Cyrl-RS"/>
        </w:rPr>
        <w:t>камата 744,77 КМ)</w:t>
      </w:r>
      <w:r w:rsidRPr="00C53BC3">
        <w:rPr>
          <w:lang w:val="sr-Cyrl-RS"/>
        </w:rPr>
        <w:tab/>
        <w:t>15.061,74 КМ</w:t>
      </w:r>
    </w:p>
    <w:p w14:paraId="4971C906" w14:textId="77777777" w:rsidR="0075201D" w:rsidRDefault="0075201D" w:rsidP="00F137BB">
      <w:pPr>
        <w:ind w:left="0" w:firstLine="720"/>
      </w:pPr>
    </w:p>
    <w:p w14:paraId="2D39B9EE" w14:textId="77777777" w:rsidR="00C53BC3" w:rsidRDefault="00C53BC3" w:rsidP="00C53BC3">
      <w:pPr>
        <w:ind w:left="0" w:firstLine="720"/>
        <w:rPr>
          <w:lang w:val="sr-Cyrl-RS"/>
        </w:rPr>
      </w:pPr>
      <w:r>
        <w:rPr>
          <w:lang w:val="sr-Cyrl-RS"/>
        </w:rPr>
        <w:t xml:space="preserve">Остали расходи по судским </w:t>
      </w:r>
      <w:proofErr w:type="spellStart"/>
      <w:r>
        <w:rPr>
          <w:lang w:val="sr-Cyrl-RS"/>
        </w:rPr>
        <w:t>рјешењима</w:t>
      </w:r>
      <w:proofErr w:type="spellEnd"/>
      <w:r>
        <w:rPr>
          <w:lang w:val="sr-Cyrl-RS"/>
        </w:rPr>
        <w:t xml:space="preserve"> у износу </w:t>
      </w:r>
      <w:r w:rsidRPr="00242209">
        <w:rPr>
          <w:lang w:val="sr-Cyrl-RS"/>
        </w:rPr>
        <w:t>од</w:t>
      </w:r>
      <w:r w:rsidRPr="00242209">
        <w:rPr>
          <w:lang w:val="sr-Latn-RS"/>
        </w:rPr>
        <w:t xml:space="preserve"> </w:t>
      </w:r>
      <w:r>
        <w:rPr>
          <w:lang w:val="sr-Cyrl-RS"/>
        </w:rPr>
        <w:t>14.091,06</w:t>
      </w:r>
      <w:r w:rsidRPr="00242209">
        <w:rPr>
          <w:lang w:val="sr-Cyrl-RS"/>
        </w:rPr>
        <w:t xml:space="preserve"> КМ односе</w:t>
      </w:r>
      <w:r>
        <w:rPr>
          <w:lang w:val="sr-Cyrl-RS"/>
        </w:rPr>
        <w:t xml:space="preserve"> се на пресуде мале </w:t>
      </w:r>
      <w:proofErr w:type="spellStart"/>
      <w:r>
        <w:rPr>
          <w:lang w:val="sr-Cyrl-RS"/>
        </w:rPr>
        <w:t>вриједности</w:t>
      </w:r>
      <w:proofErr w:type="spellEnd"/>
      <w:r>
        <w:rPr>
          <w:lang w:val="sr-Cyrl-RS"/>
        </w:rPr>
        <w:t xml:space="preserve"> и остале трошкове (предујам за трошкове </w:t>
      </w:r>
      <w:proofErr w:type="spellStart"/>
      <w:r>
        <w:rPr>
          <w:lang w:val="sr-Cyrl-RS"/>
        </w:rPr>
        <w:t>вјештачења</w:t>
      </w:r>
      <w:proofErr w:type="spellEnd"/>
      <w:r>
        <w:rPr>
          <w:lang w:val="sr-Cyrl-RS"/>
        </w:rPr>
        <w:t>, трошкове извршења и др.).</w:t>
      </w:r>
    </w:p>
    <w:p w14:paraId="1A9EB5A2" w14:textId="77777777" w:rsidR="00C53BC3" w:rsidRDefault="00C53BC3" w:rsidP="00C53BC3">
      <w:pPr>
        <w:ind w:left="0" w:firstLine="0"/>
      </w:pPr>
    </w:p>
    <w:p w14:paraId="55AAB6FB" w14:textId="77777777" w:rsidR="00B24BAB" w:rsidRPr="00383D4F" w:rsidRDefault="00B24BAB" w:rsidP="00B24BAB">
      <w:pPr>
        <w:pStyle w:val="Podnaslov3"/>
        <w:spacing w:before="120"/>
        <w:ind w:right="-792"/>
        <w:rPr>
          <w:sz w:val="24"/>
          <w:szCs w:val="24"/>
        </w:rPr>
      </w:pPr>
      <w:bookmarkStart w:id="74" w:name="_Toc491329737"/>
      <w:r w:rsidRPr="00383D4F">
        <w:rPr>
          <w:sz w:val="24"/>
          <w:szCs w:val="24"/>
          <w:lang w:val="sr-Latn-CS"/>
        </w:rPr>
        <w:tab/>
      </w:r>
      <w:bookmarkStart w:id="75" w:name="_Toc530745887"/>
      <w:bookmarkStart w:id="76" w:name="_Toc50641207"/>
      <w:r w:rsidR="00A32AA2" w:rsidRPr="00383D4F">
        <w:rPr>
          <w:sz w:val="24"/>
          <w:szCs w:val="24"/>
        </w:rPr>
        <w:t>Б.9</w:t>
      </w:r>
      <w:r w:rsidRPr="00383D4F">
        <w:rPr>
          <w:sz w:val="24"/>
          <w:szCs w:val="24"/>
        </w:rPr>
        <w:t>. Трансфери између и унутар јединица власти</w:t>
      </w:r>
      <w:bookmarkEnd w:id="74"/>
      <w:bookmarkEnd w:id="75"/>
      <w:bookmarkEnd w:id="76"/>
    </w:p>
    <w:p w14:paraId="113A9EB1" w14:textId="77777777" w:rsidR="00B24BAB" w:rsidRDefault="00B24BAB" w:rsidP="00B24BAB">
      <w:pPr>
        <w:ind w:left="0" w:firstLine="0"/>
      </w:pPr>
      <w:r>
        <w:tab/>
      </w:r>
    </w:p>
    <w:p w14:paraId="10E6A82C" w14:textId="77777777" w:rsidR="005B1A21" w:rsidRPr="00CE326D" w:rsidRDefault="00B24BAB" w:rsidP="005B42FB">
      <w:pPr>
        <w:ind w:left="0" w:firstLine="0"/>
      </w:pPr>
      <w:r>
        <w:tab/>
        <w:t xml:space="preserve">Трансфери између и унутар јединица власти извршени су у износу од </w:t>
      </w:r>
      <w:r w:rsidR="005E4C1D">
        <w:rPr>
          <w:lang w:val="sr-Latn-RS"/>
        </w:rPr>
        <w:t>176.111,48</w:t>
      </w:r>
      <w:r>
        <w:t xml:space="preserve"> КМ, што је </w:t>
      </w:r>
      <w:r w:rsidR="005E4C1D">
        <w:rPr>
          <w:lang w:val="sr-Latn-RS"/>
        </w:rPr>
        <w:t>88,96</w:t>
      </w:r>
      <w:r>
        <w:t xml:space="preserve">% у односу на планирана средства, и сви се односе на трансфере између различитих јединица власти. У оквиру трансфера између различитих јединица власти исказују се дознаке према буџету или буџетским корисницима других јединица власти (држава, ентитет, јединице локалне самоуправе, фондови обавезног социјалног осигурања и др.) које имају за циљ да помогну у обављању редовних активности или специфичне групе активности (пројекта) примаоца дознаке. </w:t>
      </w:r>
      <w:bookmarkStart w:id="77" w:name="_Toc491329738"/>
      <w:r w:rsidR="005B42FB">
        <w:t xml:space="preserve">Извршење трансфера у </w:t>
      </w:r>
      <w:r w:rsidR="005B42FB" w:rsidRPr="00FF7418">
        <w:t xml:space="preserve">2020. </w:t>
      </w:r>
      <w:proofErr w:type="spellStart"/>
      <w:r w:rsidR="005B42FB" w:rsidRPr="00FF7418">
        <w:t>годин</w:t>
      </w:r>
      <w:proofErr w:type="spellEnd"/>
      <w:r w:rsidR="005E4C1D">
        <w:rPr>
          <w:lang w:val="sr-Cyrl-RS"/>
        </w:rPr>
        <w:t>и</w:t>
      </w:r>
      <w:r w:rsidR="005B42FB" w:rsidRPr="00FF7418">
        <w:t xml:space="preserve"> односи се на </w:t>
      </w:r>
      <w:proofErr w:type="spellStart"/>
      <w:r w:rsidR="005B42FB" w:rsidRPr="00FF7418">
        <w:t>намјенска</w:t>
      </w:r>
      <w:proofErr w:type="spellEnd"/>
      <w:r w:rsidR="005B42FB" w:rsidRPr="00FF7418">
        <w:t xml:space="preserve"> издвајања Фонду здравственог осигурања за здравствену заштиту штићеника Центра за социјални рад у износу од </w:t>
      </w:r>
      <w:r w:rsidR="005E4C1D">
        <w:rPr>
          <w:lang w:val="sr-Cyrl-RS"/>
        </w:rPr>
        <w:t>149.871,26</w:t>
      </w:r>
      <w:r w:rsidR="005B42FB" w:rsidRPr="00FF7418">
        <w:t xml:space="preserve"> КМ, средства за помоћ основним школама </w:t>
      </w:r>
      <w:r w:rsidR="005B42FB">
        <w:t xml:space="preserve">за </w:t>
      </w:r>
      <w:proofErr w:type="spellStart"/>
      <w:r w:rsidR="005B42FB">
        <w:t>редоне</w:t>
      </w:r>
      <w:proofErr w:type="spellEnd"/>
      <w:r w:rsidR="005B42FB">
        <w:t xml:space="preserve"> активности и</w:t>
      </w:r>
      <w:r w:rsidR="005B42FB" w:rsidRPr="00FF7418">
        <w:t xml:space="preserve"> такмичења ученика у износу од 10.250,00 КМ, трансфер Фонду солидарности за дијагностику и </w:t>
      </w:r>
      <w:proofErr w:type="spellStart"/>
      <w:r w:rsidR="005B42FB" w:rsidRPr="00FF7418">
        <w:t>лијечење</w:t>
      </w:r>
      <w:proofErr w:type="spellEnd"/>
      <w:r w:rsidR="005B42FB" w:rsidRPr="00FF7418">
        <w:t xml:space="preserve"> обољења, стања и повреда </w:t>
      </w:r>
      <w:proofErr w:type="spellStart"/>
      <w:r w:rsidR="005B42FB" w:rsidRPr="00FF7418">
        <w:t>дјеце</w:t>
      </w:r>
      <w:proofErr w:type="spellEnd"/>
      <w:r w:rsidR="005B42FB" w:rsidRPr="00FF7418">
        <w:t xml:space="preserve"> у иностранству износ од </w:t>
      </w:r>
      <w:r w:rsidR="005E4C1D">
        <w:rPr>
          <w:lang w:val="sr-Cyrl-RS"/>
        </w:rPr>
        <w:t>3.338,41</w:t>
      </w:r>
      <w:r w:rsidR="005B42FB" w:rsidRPr="00FF7418">
        <w:t xml:space="preserve"> КМ, и обавезе према другим јединицама власти по основу кварталних записника Пореске управе о обрачуну и поравнању више и погрешно </w:t>
      </w:r>
      <w:proofErr w:type="spellStart"/>
      <w:r w:rsidR="005B42FB" w:rsidRPr="00FF7418">
        <w:t>уплаћених</w:t>
      </w:r>
      <w:proofErr w:type="spellEnd"/>
      <w:r w:rsidR="005B42FB" w:rsidRPr="00FF7418">
        <w:t xml:space="preserve"> јавних прихода у износу од </w:t>
      </w:r>
      <w:r w:rsidR="005E4C1D">
        <w:rPr>
          <w:lang w:val="sr-Cyrl-RS"/>
        </w:rPr>
        <w:t>12.651,81</w:t>
      </w:r>
      <w:r w:rsidR="005B42FB" w:rsidRPr="00FF7418">
        <w:t xml:space="preserve"> КМ, које се евидентирају у оквиру трансфера у складу са инструкцијом Министарства финансија Републике Српске.</w:t>
      </w:r>
      <w:r w:rsidR="00CE326D">
        <w:t xml:space="preserve"> У </w:t>
      </w:r>
      <w:proofErr w:type="spellStart"/>
      <w:r w:rsidR="00CE326D">
        <w:lastRenderedPageBreak/>
        <w:t>извјештајном</w:t>
      </w:r>
      <w:proofErr w:type="spellEnd"/>
      <w:r w:rsidR="00CE326D">
        <w:t xml:space="preserve"> периоду није реализован трансфер основним школама</w:t>
      </w:r>
      <w:r w:rsidR="00E043EA">
        <w:t xml:space="preserve"> за редовне активности</w:t>
      </w:r>
      <w:r w:rsidR="00CE326D">
        <w:t xml:space="preserve"> (планирано 8.000,00 КМ).</w:t>
      </w:r>
    </w:p>
    <w:p w14:paraId="7BCE587A" w14:textId="77777777" w:rsidR="00690D88" w:rsidRDefault="00690D88" w:rsidP="005B42FB">
      <w:pPr>
        <w:pStyle w:val="Podnaslov3"/>
        <w:ind w:right="-794"/>
      </w:pPr>
      <w:bookmarkStart w:id="78" w:name="_Toc530745888"/>
    </w:p>
    <w:p w14:paraId="36253EE0" w14:textId="77777777" w:rsidR="000D789B" w:rsidRPr="00754407" w:rsidRDefault="00A32AA2" w:rsidP="00690D88">
      <w:pPr>
        <w:pStyle w:val="Podnaslov3"/>
        <w:spacing w:before="120"/>
        <w:ind w:right="-794" w:firstLine="720"/>
        <w:rPr>
          <w:sz w:val="24"/>
          <w:szCs w:val="24"/>
        </w:rPr>
      </w:pPr>
      <w:bookmarkStart w:id="79" w:name="_Toc50641208"/>
      <w:r w:rsidRPr="00754407">
        <w:rPr>
          <w:sz w:val="24"/>
          <w:szCs w:val="24"/>
        </w:rPr>
        <w:t>Б.10</w:t>
      </w:r>
      <w:r w:rsidR="000D789B" w:rsidRPr="00754407">
        <w:rPr>
          <w:sz w:val="24"/>
          <w:szCs w:val="24"/>
        </w:rPr>
        <w:t xml:space="preserve">. Издаци за </w:t>
      </w:r>
      <w:proofErr w:type="spellStart"/>
      <w:r w:rsidR="000D789B" w:rsidRPr="00754407">
        <w:rPr>
          <w:sz w:val="24"/>
          <w:szCs w:val="24"/>
        </w:rPr>
        <w:t>нефинансијску</w:t>
      </w:r>
      <w:proofErr w:type="spellEnd"/>
      <w:r w:rsidR="000D789B" w:rsidRPr="00754407">
        <w:rPr>
          <w:sz w:val="24"/>
          <w:szCs w:val="24"/>
        </w:rPr>
        <w:t xml:space="preserve"> имовину</w:t>
      </w:r>
      <w:bookmarkEnd w:id="77"/>
      <w:bookmarkEnd w:id="78"/>
      <w:bookmarkEnd w:id="79"/>
    </w:p>
    <w:p w14:paraId="4DE9E945" w14:textId="77777777" w:rsidR="000D789B" w:rsidRPr="00CD0981" w:rsidRDefault="000D789B" w:rsidP="000D789B">
      <w:pPr>
        <w:pStyle w:val="Podnaslov3"/>
        <w:ind w:right="-794"/>
        <w:rPr>
          <w:sz w:val="24"/>
          <w:szCs w:val="24"/>
        </w:rPr>
      </w:pPr>
    </w:p>
    <w:p w14:paraId="21A6EA5D" w14:textId="77777777" w:rsidR="005D0FF9" w:rsidRDefault="000D789B" w:rsidP="005D0FF9">
      <w:pPr>
        <w:ind w:left="0" w:firstLine="720"/>
        <w:rPr>
          <w:bCs/>
          <w:iCs/>
          <w:lang w:val="en-US"/>
        </w:rPr>
      </w:pPr>
      <w:proofErr w:type="spellStart"/>
      <w:r w:rsidRPr="00E90B5E">
        <w:rPr>
          <w:lang w:val="en-US"/>
        </w:rPr>
        <w:t>Издаци</w:t>
      </w:r>
      <w:proofErr w:type="spellEnd"/>
      <w:r w:rsidRPr="00E90B5E">
        <w:rPr>
          <w:lang w:val="en-US"/>
        </w:rPr>
        <w:t xml:space="preserve"> </w:t>
      </w:r>
      <w:proofErr w:type="spellStart"/>
      <w:r w:rsidRPr="00E90B5E">
        <w:rPr>
          <w:lang w:val="en-US"/>
        </w:rPr>
        <w:t>за</w:t>
      </w:r>
      <w:proofErr w:type="spellEnd"/>
      <w:r w:rsidRPr="00E90B5E">
        <w:rPr>
          <w:lang w:val="en-US"/>
        </w:rPr>
        <w:t xml:space="preserve"> </w:t>
      </w:r>
      <w:proofErr w:type="spellStart"/>
      <w:r w:rsidRPr="00E90B5E">
        <w:rPr>
          <w:lang w:val="en-US"/>
        </w:rPr>
        <w:t>нефинансијску</w:t>
      </w:r>
      <w:proofErr w:type="spellEnd"/>
      <w:r w:rsidRPr="00E90B5E">
        <w:rPr>
          <w:lang w:val="en-US"/>
        </w:rPr>
        <w:t xml:space="preserve"> </w:t>
      </w:r>
      <w:proofErr w:type="spellStart"/>
      <w:r w:rsidRPr="00E90B5E">
        <w:rPr>
          <w:lang w:val="en-US"/>
        </w:rPr>
        <w:t>имовину</w:t>
      </w:r>
      <w:proofErr w:type="spellEnd"/>
      <w:r w:rsidRPr="00E90B5E">
        <w:rPr>
          <w:lang w:val="en-US"/>
        </w:rPr>
        <w:t xml:space="preserve"> </w:t>
      </w:r>
      <w:r>
        <w:t>извршени</w:t>
      </w:r>
      <w:r w:rsidRPr="00E90B5E">
        <w:rPr>
          <w:lang w:val="en-US"/>
        </w:rPr>
        <w:t xml:space="preserve"> </w:t>
      </w:r>
      <w:proofErr w:type="spellStart"/>
      <w:r w:rsidRPr="00E90B5E">
        <w:rPr>
          <w:lang w:val="en-US"/>
        </w:rPr>
        <w:t>су</w:t>
      </w:r>
      <w:proofErr w:type="spellEnd"/>
      <w:r w:rsidRPr="00E90B5E">
        <w:rPr>
          <w:lang w:val="en-US"/>
        </w:rPr>
        <w:t xml:space="preserve"> у </w:t>
      </w:r>
      <w:proofErr w:type="spellStart"/>
      <w:r w:rsidRPr="00E90B5E">
        <w:rPr>
          <w:lang w:val="en-US"/>
        </w:rPr>
        <w:t>износу</w:t>
      </w:r>
      <w:proofErr w:type="spellEnd"/>
      <w:r w:rsidRPr="00E90B5E">
        <w:rPr>
          <w:lang w:val="en-US"/>
        </w:rPr>
        <w:t xml:space="preserve"> </w:t>
      </w:r>
      <w:proofErr w:type="spellStart"/>
      <w:r w:rsidRPr="00E90B5E">
        <w:rPr>
          <w:lang w:val="en-US"/>
        </w:rPr>
        <w:t>од</w:t>
      </w:r>
      <w:proofErr w:type="spellEnd"/>
      <w:r w:rsidRPr="00E90B5E">
        <w:rPr>
          <w:lang w:val="en-US"/>
        </w:rPr>
        <w:t xml:space="preserve"> </w:t>
      </w:r>
      <w:r w:rsidR="004E5823">
        <w:rPr>
          <w:lang w:val="sr-Cyrl-RS"/>
        </w:rPr>
        <w:t>3.279.708,53</w:t>
      </w:r>
      <w:r w:rsidRPr="00E90B5E">
        <w:rPr>
          <w:lang w:val="en-US"/>
        </w:rPr>
        <w:t xml:space="preserve"> КМ, </w:t>
      </w:r>
      <w:proofErr w:type="spellStart"/>
      <w:r w:rsidRPr="00E90B5E">
        <w:rPr>
          <w:lang w:val="en-US"/>
        </w:rPr>
        <w:t>што</w:t>
      </w:r>
      <w:proofErr w:type="spellEnd"/>
      <w:r w:rsidRPr="00E90B5E">
        <w:rPr>
          <w:lang w:val="en-US"/>
        </w:rPr>
        <w:t xml:space="preserve"> </w:t>
      </w:r>
      <w:proofErr w:type="spellStart"/>
      <w:r w:rsidRPr="00E90B5E">
        <w:rPr>
          <w:lang w:val="en-US"/>
        </w:rPr>
        <w:t>је</w:t>
      </w:r>
      <w:proofErr w:type="spellEnd"/>
      <w:r w:rsidRPr="00E90B5E">
        <w:rPr>
          <w:lang w:val="en-US"/>
        </w:rPr>
        <w:t xml:space="preserve"> </w:t>
      </w:r>
      <w:r w:rsidR="00C649D8">
        <w:rPr>
          <w:lang w:val="sr-Cyrl-RS"/>
        </w:rPr>
        <w:t>96,16</w:t>
      </w:r>
      <w:r>
        <w:t>% од планираних средстава</w:t>
      </w:r>
      <w:r w:rsidRPr="00E90B5E">
        <w:rPr>
          <w:lang w:val="en-US"/>
        </w:rPr>
        <w:t xml:space="preserve">. </w:t>
      </w:r>
      <w:proofErr w:type="spellStart"/>
      <w:r w:rsidR="005D0FF9" w:rsidRPr="00E90B5E">
        <w:rPr>
          <w:bCs/>
          <w:iCs/>
          <w:lang w:val="en-US"/>
        </w:rPr>
        <w:t>Издаци</w:t>
      </w:r>
      <w:proofErr w:type="spellEnd"/>
      <w:r w:rsidR="005D0FF9" w:rsidRPr="00E90B5E">
        <w:rPr>
          <w:bCs/>
          <w:iCs/>
          <w:lang w:val="en-US"/>
        </w:rPr>
        <w:t xml:space="preserve"> </w:t>
      </w:r>
      <w:proofErr w:type="spellStart"/>
      <w:r w:rsidR="005D0FF9" w:rsidRPr="00E90B5E">
        <w:rPr>
          <w:bCs/>
          <w:iCs/>
          <w:lang w:val="en-US"/>
        </w:rPr>
        <w:t>за</w:t>
      </w:r>
      <w:proofErr w:type="spellEnd"/>
      <w:r w:rsidR="005D0FF9" w:rsidRPr="00E90B5E">
        <w:rPr>
          <w:bCs/>
          <w:iCs/>
          <w:lang w:val="en-US"/>
        </w:rPr>
        <w:t xml:space="preserve"> </w:t>
      </w:r>
      <w:proofErr w:type="spellStart"/>
      <w:r w:rsidR="005D0FF9" w:rsidRPr="00E90B5E">
        <w:rPr>
          <w:bCs/>
          <w:iCs/>
          <w:lang w:val="en-US"/>
        </w:rPr>
        <w:t>нефинансијску</w:t>
      </w:r>
      <w:proofErr w:type="spellEnd"/>
      <w:r w:rsidR="005D0FF9" w:rsidRPr="00E90B5E">
        <w:rPr>
          <w:bCs/>
          <w:iCs/>
          <w:lang w:val="en-US"/>
        </w:rPr>
        <w:t xml:space="preserve"> </w:t>
      </w:r>
      <w:proofErr w:type="spellStart"/>
      <w:r w:rsidR="005D0FF9" w:rsidRPr="00E90B5E">
        <w:rPr>
          <w:bCs/>
          <w:iCs/>
          <w:lang w:val="en-US"/>
        </w:rPr>
        <w:t>имовину</w:t>
      </w:r>
      <w:proofErr w:type="spellEnd"/>
      <w:r w:rsidR="005D0FF9" w:rsidRPr="00E90B5E">
        <w:rPr>
          <w:bCs/>
          <w:iCs/>
          <w:lang w:val="en-US"/>
        </w:rPr>
        <w:t xml:space="preserve"> </w:t>
      </w:r>
      <w:proofErr w:type="spellStart"/>
      <w:r w:rsidR="005D0FF9" w:rsidRPr="00E90B5E">
        <w:rPr>
          <w:bCs/>
          <w:iCs/>
          <w:lang w:val="en-US"/>
        </w:rPr>
        <w:t>обухватају</w:t>
      </w:r>
      <w:proofErr w:type="spellEnd"/>
      <w:r w:rsidR="005D0FF9" w:rsidRPr="00E90B5E">
        <w:rPr>
          <w:bCs/>
          <w:iCs/>
          <w:lang w:val="en-US"/>
        </w:rPr>
        <w:t xml:space="preserve"> </w:t>
      </w:r>
      <w:proofErr w:type="spellStart"/>
      <w:r w:rsidR="005D0FF9" w:rsidRPr="00E90B5E">
        <w:rPr>
          <w:bCs/>
          <w:iCs/>
          <w:lang w:val="en-US"/>
        </w:rPr>
        <w:t>издатке</w:t>
      </w:r>
      <w:proofErr w:type="spellEnd"/>
      <w:r w:rsidR="005D0FF9" w:rsidRPr="00E90B5E">
        <w:rPr>
          <w:bCs/>
          <w:iCs/>
          <w:lang w:val="en-US"/>
        </w:rPr>
        <w:t xml:space="preserve"> </w:t>
      </w:r>
      <w:proofErr w:type="spellStart"/>
      <w:r w:rsidR="005D0FF9" w:rsidRPr="00E90B5E">
        <w:rPr>
          <w:bCs/>
          <w:iCs/>
          <w:lang w:val="en-US"/>
        </w:rPr>
        <w:t>за</w:t>
      </w:r>
      <w:proofErr w:type="spellEnd"/>
      <w:r w:rsidR="005D0FF9" w:rsidRPr="00E90B5E">
        <w:rPr>
          <w:bCs/>
          <w:iCs/>
          <w:lang w:val="en-US"/>
        </w:rPr>
        <w:t xml:space="preserve"> </w:t>
      </w:r>
      <w:proofErr w:type="spellStart"/>
      <w:r w:rsidR="005D0FF9" w:rsidRPr="00E90B5E">
        <w:rPr>
          <w:bCs/>
          <w:iCs/>
          <w:lang w:val="en-US"/>
        </w:rPr>
        <w:t>произведену</w:t>
      </w:r>
      <w:proofErr w:type="spellEnd"/>
      <w:r w:rsidR="005D0FF9" w:rsidRPr="00E90B5E">
        <w:rPr>
          <w:bCs/>
          <w:iCs/>
          <w:lang w:val="en-US"/>
        </w:rPr>
        <w:t xml:space="preserve"> </w:t>
      </w:r>
      <w:proofErr w:type="spellStart"/>
      <w:r w:rsidR="005D0FF9" w:rsidRPr="00E90B5E">
        <w:rPr>
          <w:bCs/>
          <w:iCs/>
          <w:lang w:val="en-US"/>
        </w:rPr>
        <w:t>сталну</w:t>
      </w:r>
      <w:proofErr w:type="spellEnd"/>
      <w:r w:rsidR="005D0FF9" w:rsidRPr="00E90B5E">
        <w:rPr>
          <w:bCs/>
          <w:iCs/>
          <w:lang w:val="en-US"/>
        </w:rPr>
        <w:t xml:space="preserve"> </w:t>
      </w:r>
      <w:proofErr w:type="spellStart"/>
      <w:r w:rsidR="005D0FF9" w:rsidRPr="00E90B5E">
        <w:rPr>
          <w:bCs/>
          <w:iCs/>
          <w:lang w:val="en-US"/>
        </w:rPr>
        <w:t>имовину</w:t>
      </w:r>
      <w:proofErr w:type="spellEnd"/>
      <w:r w:rsidR="005D0FF9" w:rsidRPr="00E90B5E">
        <w:rPr>
          <w:bCs/>
          <w:iCs/>
          <w:lang w:val="en-US"/>
        </w:rPr>
        <w:t xml:space="preserve">, </w:t>
      </w:r>
      <w:proofErr w:type="spellStart"/>
      <w:r w:rsidR="005D0FF9" w:rsidRPr="00E90B5E">
        <w:rPr>
          <w:bCs/>
          <w:iCs/>
          <w:lang w:val="en-US"/>
        </w:rPr>
        <w:t>издатке</w:t>
      </w:r>
      <w:proofErr w:type="spellEnd"/>
      <w:r w:rsidR="005D0FF9" w:rsidRPr="00E90B5E">
        <w:rPr>
          <w:bCs/>
          <w:iCs/>
          <w:lang w:val="en-US"/>
        </w:rPr>
        <w:t xml:space="preserve"> </w:t>
      </w:r>
      <w:proofErr w:type="spellStart"/>
      <w:r w:rsidR="005D0FF9" w:rsidRPr="00E90B5E">
        <w:rPr>
          <w:bCs/>
          <w:iCs/>
          <w:lang w:val="en-US"/>
        </w:rPr>
        <w:t>за</w:t>
      </w:r>
      <w:proofErr w:type="spellEnd"/>
      <w:r w:rsidR="005D0FF9" w:rsidRPr="00E90B5E">
        <w:rPr>
          <w:bCs/>
          <w:iCs/>
          <w:lang w:val="en-US"/>
        </w:rPr>
        <w:t xml:space="preserve"> </w:t>
      </w:r>
      <w:proofErr w:type="spellStart"/>
      <w:r w:rsidR="005D0FF9" w:rsidRPr="00E90B5E">
        <w:rPr>
          <w:bCs/>
          <w:iCs/>
          <w:lang w:val="en-US"/>
        </w:rPr>
        <w:t>непроизведену</w:t>
      </w:r>
      <w:proofErr w:type="spellEnd"/>
      <w:r w:rsidR="005D0FF9" w:rsidRPr="00E90B5E">
        <w:rPr>
          <w:bCs/>
          <w:iCs/>
          <w:lang w:val="en-US"/>
        </w:rPr>
        <w:t xml:space="preserve"> </w:t>
      </w:r>
      <w:proofErr w:type="spellStart"/>
      <w:r w:rsidR="005D0FF9" w:rsidRPr="00E90B5E">
        <w:rPr>
          <w:bCs/>
          <w:iCs/>
          <w:lang w:val="en-US"/>
        </w:rPr>
        <w:t>сталну</w:t>
      </w:r>
      <w:proofErr w:type="spellEnd"/>
      <w:r w:rsidR="005D0FF9" w:rsidRPr="00E90B5E">
        <w:rPr>
          <w:bCs/>
          <w:iCs/>
          <w:lang w:val="en-US"/>
        </w:rPr>
        <w:t xml:space="preserve"> </w:t>
      </w:r>
      <w:proofErr w:type="spellStart"/>
      <w:r w:rsidR="005D0FF9" w:rsidRPr="00E90B5E">
        <w:rPr>
          <w:bCs/>
          <w:iCs/>
          <w:lang w:val="en-US"/>
        </w:rPr>
        <w:t>имовину</w:t>
      </w:r>
      <w:proofErr w:type="spellEnd"/>
      <w:r w:rsidR="005D0FF9" w:rsidRPr="00E90B5E">
        <w:rPr>
          <w:bCs/>
          <w:iCs/>
          <w:lang w:val="en-US"/>
        </w:rPr>
        <w:t xml:space="preserve"> и </w:t>
      </w:r>
      <w:proofErr w:type="spellStart"/>
      <w:r w:rsidR="005D0FF9" w:rsidRPr="00E90B5E">
        <w:rPr>
          <w:bCs/>
          <w:iCs/>
          <w:lang w:val="en-US"/>
        </w:rPr>
        <w:t>издатке</w:t>
      </w:r>
      <w:proofErr w:type="spellEnd"/>
      <w:r w:rsidR="005D0FF9" w:rsidRPr="00E90B5E">
        <w:rPr>
          <w:bCs/>
          <w:iCs/>
          <w:lang w:val="en-US"/>
        </w:rPr>
        <w:t xml:space="preserve"> </w:t>
      </w:r>
      <w:proofErr w:type="spellStart"/>
      <w:r w:rsidR="005D0FF9" w:rsidRPr="00E90B5E">
        <w:rPr>
          <w:bCs/>
          <w:iCs/>
          <w:lang w:val="en-US"/>
        </w:rPr>
        <w:t>за</w:t>
      </w:r>
      <w:proofErr w:type="spellEnd"/>
      <w:r w:rsidR="005D0FF9" w:rsidRPr="00E90B5E">
        <w:rPr>
          <w:bCs/>
          <w:iCs/>
          <w:lang w:val="en-US"/>
        </w:rPr>
        <w:t xml:space="preserve"> </w:t>
      </w:r>
      <w:proofErr w:type="spellStart"/>
      <w:r w:rsidR="005D0FF9" w:rsidRPr="00E90B5E">
        <w:rPr>
          <w:bCs/>
          <w:iCs/>
          <w:lang w:val="en-US"/>
        </w:rPr>
        <w:t>залихе</w:t>
      </w:r>
      <w:proofErr w:type="spellEnd"/>
      <w:r w:rsidR="005D0FF9" w:rsidRPr="00E90B5E">
        <w:rPr>
          <w:bCs/>
          <w:iCs/>
          <w:lang w:val="en-US"/>
        </w:rPr>
        <w:t xml:space="preserve"> </w:t>
      </w:r>
      <w:proofErr w:type="spellStart"/>
      <w:r w:rsidR="005D0FF9" w:rsidRPr="00E90B5E">
        <w:rPr>
          <w:bCs/>
          <w:iCs/>
          <w:lang w:val="en-US"/>
        </w:rPr>
        <w:t>материјала</w:t>
      </w:r>
      <w:proofErr w:type="spellEnd"/>
      <w:r w:rsidR="005D0FF9" w:rsidRPr="00E90B5E">
        <w:rPr>
          <w:bCs/>
          <w:iCs/>
          <w:lang w:val="en-US"/>
        </w:rPr>
        <w:t xml:space="preserve">, </w:t>
      </w:r>
      <w:proofErr w:type="spellStart"/>
      <w:r w:rsidR="005D0FF9" w:rsidRPr="00E90B5E">
        <w:rPr>
          <w:bCs/>
          <w:iCs/>
          <w:lang w:val="en-US"/>
        </w:rPr>
        <w:t>робе</w:t>
      </w:r>
      <w:proofErr w:type="spellEnd"/>
      <w:r w:rsidR="005D0FF9" w:rsidRPr="00E90B5E">
        <w:rPr>
          <w:bCs/>
          <w:iCs/>
          <w:lang w:val="en-US"/>
        </w:rPr>
        <w:t xml:space="preserve"> и </w:t>
      </w:r>
      <w:proofErr w:type="spellStart"/>
      <w:r w:rsidR="005D0FF9" w:rsidRPr="00E90B5E">
        <w:rPr>
          <w:bCs/>
          <w:iCs/>
          <w:lang w:val="en-US"/>
        </w:rPr>
        <w:t>ситног</w:t>
      </w:r>
      <w:proofErr w:type="spellEnd"/>
      <w:r w:rsidR="005D0FF9" w:rsidRPr="00E90B5E">
        <w:rPr>
          <w:bCs/>
          <w:iCs/>
          <w:lang w:val="en-US"/>
        </w:rPr>
        <w:t xml:space="preserve"> </w:t>
      </w:r>
      <w:proofErr w:type="spellStart"/>
      <w:r w:rsidR="005D0FF9" w:rsidRPr="00E90B5E">
        <w:rPr>
          <w:bCs/>
          <w:iCs/>
          <w:lang w:val="en-US"/>
        </w:rPr>
        <w:t>инвентара</w:t>
      </w:r>
      <w:proofErr w:type="spellEnd"/>
      <w:r w:rsidR="005D0FF9" w:rsidRPr="00E90B5E">
        <w:rPr>
          <w:bCs/>
          <w:iCs/>
          <w:lang w:val="en-US"/>
        </w:rPr>
        <w:t xml:space="preserve">, </w:t>
      </w:r>
      <w:proofErr w:type="spellStart"/>
      <w:r w:rsidR="005D0FF9" w:rsidRPr="00E90B5E">
        <w:rPr>
          <w:bCs/>
          <w:iCs/>
          <w:lang w:val="en-US"/>
        </w:rPr>
        <w:t>амбалаже</w:t>
      </w:r>
      <w:proofErr w:type="spellEnd"/>
      <w:r w:rsidR="005D0FF9" w:rsidRPr="00E90B5E">
        <w:rPr>
          <w:bCs/>
          <w:iCs/>
          <w:lang w:val="en-US"/>
        </w:rPr>
        <w:t xml:space="preserve"> и </w:t>
      </w:r>
      <w:proofErr w:type="spellStart"/>
      <w:r w:rsidR="005D0FF9" w:rsidRPr="00E90B5E">
        <w:rPr>
          <w:bCs/>
          <w:iCs/>
          <w:lang w:val="en-US"/>
        </w:rPr>
        <w:t>сл</w:t>
      </w:r>
      <w:proofErr w:type="spellEnd"/>
      <w:r w:rsidR="005D0FF9" w:rsidRPr="00E90B5E">
        <w:rPr>
          <w:bCs/>
          <w:iCs/>
          <w:lang w:val="en-US"/>
        </w:rPr>
        <w:t>.</w:t>
      </w:r>
    </w:p>
    <w:p w14:paraId="1B79B3A6" w14:textId="77777777" w:rsidR="005D0FF9" w:rsidRDefault="005D0FF9" w:rsidP="005D0FF9">
      <w:pPr>
        <w:spacing w:before="120"/>
        <w:ind w:left="0" w:right="-792" w:firstLine="720"/>
      </w:pPr>
      <w:r w:rsidRPr="00D93093">
        <w:rPr>
          <w:b/>
        </w:rPr>
        <w:t xml:space="preserve">Издаци за произведену сталну имовину </w:t>
      </w:r>
      <w:r>
        <w:t xml:space="preserve">извршени су у износу од </w:t>
      </w:r>
      <w:r w:rsidR="00961679">
        <w:rPr>
          <w:lang w:val="sr-Cyrl-RS"/>
        </w:rPr>
        <w:t>3.215.674,30</w:t>
      </w:r>
      <w:r>
        <w:t xml:space="preserve"> КМ, што је </w:t>
      </w:r>
      <w:r w:rsidR="00961679">
        <w:rPr>
          <w:lang w:val="sr-Cyrl-RS"/>
        </w:rPr>
        <w:t>94,16</w:t>
      </w:r>
      <w:r>
        <w:t>% од планираних средстава. Ови издаци обухватају издатке за изградњу и прибављање зграда и објеката, издатке за инвестиционо одржавање, реконструкцију и адаптацију зграда и објеката, издатке за набавку постројења и опреме и издатке за инвестиционо одржавање опреме, и односе се на следеће:</w:t>
      </w:r>
    </w:p>
    <w:p w14:paraId="26EDB42F" w14:textId="77777777" w:rsidR="006C498B" w:rsidRDefault="005D0FF9" w:rsidP="005A0241">
      <w:pPr>
        <w:tabs>
          <w:tab w:val="right" w:leader="dot" w:pos="9214"/>
        </w:tabs>
        <w:spacing w:before="120"/>
        <w:ind w:left="720" w:firstLine="0"/>
        <w:rPr>
          <w:lang w:val="sr-Cyrl-RS"/>
        </w:rPr>
      </w:pPr>
      <w:r w:rsidRPr="00E23277">
        <w:t>-</w:t>
      </w:r>
      <w:r w:rsidR="006C498B">
        <w:rPr>
          <w:lang w:val="sr-Cyrl-RS"/>
        </w:rPr>
        <w:t xml:space="preserve"> издаци настали по основу реализације Плана капиталних</w:t>
      </w:r>
    </w:p>
    <w:p w14:paraId="0826307E" w14:textId="77777777" w:rsidR="005D0FF9" w:rsidRDefault="006C498B" w:rsidP="006C498B">
      <w:pPr>
        <w:tabs>
          <w:tab w:val="right" w:leader="dot" w:pos="9214"/>
        </w:tabs>
        <w:ind w:left="720" w:firstLine="0"/>
      </w:pPr>
      <w:r>
        <w:rPr>
          <w:lang w:val="sr-Cyrl-RS"/>
        </w:rPr>
        <w:t xml:space="preserve">  улагања за 2020. годину</w:t>
      </w:r>
      <w:r w:rsidR="005D0FF9">
        <w:tab/>
      </w:r>
      <w:r>
        <w:rPr>
          <w:lang w:val="sr-Cyrl-RS"/>
        </w:rPr>
        <w:t>2.701.070,06</w:t>
      </w:r>
      <w:r w:rsidR="005D0FF9">
        <w:t xml:space="preserve"> КМ</w:t>
      </w:r>
    </w:p>
    <w:p w14:paraId="3C1EF4D7" w14:textId="77777777" w:rsidR="004A6FB6" w:rsidRPr="00A96DC0" w:rsidRDefault="004A6FB6" w:rsidP="004A6FB6">
      <w:pPr>
        <w:tabs>
          <w:tab w:val="right" w:leader="dot" w:pos="9214"/>
        </w:tabs>
        <w:ind w:left="720" w:firstLine="0"/>
        <w:rPr>
          <w:lang w:val="sr-Cyrl-RS"/>
        </w:rPr>
      </w:pPr>
      <w:r w:rsidRPr="00AA3B10">
        <w:rPr>
          <w:lang w:val="sr-Cyrl-RS"/>
        </w:rPr>
        <w:t>-</w:t>
      </w:r>
      <w:r>
        <w:rPr>
          <w:lang w:val="sr-Cyrl-RS"/>
        </w:rPr>
        <w:t xml:space="preserve"> </w:t>
      </w:r>
      <w:r w:rsidRPr="00A96DC0">
        <w:rPr>
          <w:lang w:val="sr-Cyrl-RS"/>
        </w:rPr>
        <w:t xml:space="preserve">издаци настали по основу реализације </w:t>
      </w:r>
      <w:proofErr w:type="spellStart"/>
      <w:r w:rsidRPr="00A96DC0">
        <w:rPr>
          <w:lang w:val="sr-Cyrl-RS"/>
        </w:rPr>
        <w:t>намјенских</w:t>
      </w:r>
      <w:proofErr w:type="spellEnd"/>
      <w:r w:rsidRPr="00A96DC0">
        <w:rPr>
          <w:lang w:val="sr-Cyrl-RS"/>
        </w:rPr>
        <w:t xml:space="preserve"> средстава од </w:t>
      </w:r>
    </w:p>
    <w:p w14:paraId="0AA3B63F" w14:textId="77777777" w:rsidR="004A6FB6" w:rsidRDefault="004A6FB6" w:rsidP="004A6FB6">
      <w:pPr>
        <w:tabs>
          <w:tab w:val="right" w:leader="dot" w:pos="9214"/>
        </w:tabs>
        <w:ind w:left="720" w:firstLine="0"/>
        <w:rPr>
          <w:lang w:val="sr-Cyrl-RS"/>
        </w:rPr>
      </w:pPr>
      <w:r>
        <w:rPr>
          <w:lang w:val="sr-Cyrl-RS"/>
        </w:rPr>
        <w:t xml:space="preserve">  накнада за заштиту од пожара (вањско уређење Ватрогасног дома,</w:t>
      </w:r>
    </w:p>
    <w:p w14:paraId="45935612" w14:textId="77777777" w:rsidR="004A6FB6" w:rsidRDefault="004A6FB6" w:rsidP="004A6FB6">
      <w:pPr>
        <w:tabs>
          <w:tab w:val="right" w:leader="dot" w:pos="9214"/>
        </w:tabs>
        <w:ind w:left="720" w:firstLine="0"/>
        <w:rPr>
          <w:lang w:val="sr-Cyrl-RS"/>
        </w:rPr>
      </w:pPr>
      <w:r>
        <w:rPr>
          <w:lang w:val="sr-Cyrl-RS"/>
        </w:rPr>
        <w:t xml:space="preserve">  </w:t>
      </w:r>
      <w:r w:rsidR="00E61FB7">
        <w:rPr>
          <w:lang w:val="sr-Cyrl-RS"/>
        </w:rPr>
        <w:t>набавка опреме и инвестиционо одржавање опреме</w:t>
      </w:r>
      <w:r>
        <w:rPr>
          <w:lang w:val="sr-Cyrl-RS"/>
        </w:rPr>
        <w:t>)</w:t>
      </w:r>
      <w:r>
        <w:rPr>
          <w:lang w:val="sr-Cyrl-RS"/>
        </w:rPr>
        <w:tab/>
      </w:r>
      <w:r w:rsidR="00E61FB7">
        <w:rPr>
          <w:lang w:val="sr-Cyrl-RS"/>
        </w:rPr>
        <w:t>198.177,92</w:t>
      </w:r>
      <w:r>
        <w:rPr>
          <w:lang w:val="sr-Cyrl-RS"/>
        </w:rPr>
        <w:t xml:space="preserve"> КМ</w:t>
      </w:r>
    </w:p>
    <w:p w14:paraId="4059B972" w14:textId="77777777" w:rsidR="008E1930" w:rsidRDefault="005D0FF9" w:rsidP="008E1930">
      <w:pPr>
        <w:tabs>
          <w:tab w:val="right" w:leader="dot" w:pos="9214"/>
        </w:tabs>
        <w:ind w:left="720" w:firstLine="0"/>
      </w:pPr>
      <w:r w:rsidRPr="00E23277">
        <w:t>-</w:t>
      </w:r>
      <w:r>
        <w:t xml:space="preserve"> издаци настали по основу реализације </w:t>
      </w:r>
      <w:proofErr w:type="spellStart"/>
      <w:r w:rsidR="008E1930">
        <w:t>намјенских</w:t>
      </w:r>
      <w:proofErr w:type="spellEnd"/>
      <w:r w:rsidR="008E1930">
        <w:t xml:space="preserve"> средстава од </w:t>
      </w:r>
    </w:p>
    <w:p w14:paraId="4D2C1A23" w14:textId="77777777" w:rsidR="002C7B15" w:rsidRDefault="008E1930" w:rsidP="008E1930">
      <w:pPr>
        <w:tabs>
          <w:tab w:val="right" w:leader="dot" w:pos="9214"/>
        </w:tabs>
        <w:ind w:left="720" w:firstLine="0"/>
      </w:pPr>
      <w:r>
        <w:t xml:space="preserve">  накнада за шуме</w:t>
      </w:r>
      <w:r w:rsidR="002C7B15">
        <w:t xml:space="preserve"> (изградња и реконструкција инфраструктуре у</w:t>
      </w:r>
    </w:p>
    <w:p w14:paraId="2FF394BF" w14:textId="77777777" w:rsidR="005D0FF9" w:rsidRDefault="002C7B15" w:rsidP="008E1930">
      <w:pPr>
        <w:tabs>
          <w:tab w:val="right" w:leader="dot" w:pos="9214"/>
        </w:tabs>
        <w:ind w:left="720" w:firstLine="0"/>
      </w:pPr>
      <w:r>
        <w:t xml:space="preserve">  неразвијеним </w:t>
      </w:r>
      <w:proofErr w:type="spellStart"/>
      <w:r>
        <w:t>дијеловима</w:t>
      </w:r>
      <w:proofErr w:type="spellEnd"/>
      <w:r>
        <w:t xml:space="preserve"> општине)</w:t>
      </w:r>
      <w:r w:rsidR="005D0FF9">
        <w:tab/>
      </w:r>
      <w:r>
        <w:t>128.667,67</w:t>
      </w:r>
      <w:r w:rsidR="005D0FF9">
        <w:t xml:space="preserve"> КМ</w:t>
      </w:r>
    </w:p>
    <w:p w14:paraId="2E9E29AC" w14:textId="77777777" w:rsidR="008E1930" w:rsidRDefault="008E1930" w:rsidP="008E1930">
      <w:pPr>
        <w:tabs>
          <w:tab w:val="right" w:leader="dot" w:pos="9214"/>
        </w:tabs>
        <w:ind w:left="720" w:firstLine="0"/>
      </w:pPr>
      <w:r>
        <w:t xml:space="preserve">- издаци настали по основу реализације </w:t>
      </w:r>
      <w:proofErr w:type="spellStart"/>
      <w:r>
        <w:t>намјенских</w:t>
      </w:r>
      <w:proofErr w:type="spellEnd"/>
      <w:r>
        <w:t xml:space="preserve"> средстава од</w:t>
      </w:r>
    </w:p>
    <w:p w14:paraId="04B16D80" w14:textId="77777777" w:rsidR="002C7B15" w:rsidRDefault="008E1930" w:rsidP="002C7B15">
      <w:pPr>
        <w:tabs>
          <w:tab w:val="right" w:leader="dot" w:pos="9214"/>
        </w:tabs>
        <w:ind w:left="720" w:firstLine="0"/>
      </w:pPr>
      <w:r>
        <w:t xml:space="preserve">  накнада за воде</w:t>
      </w:r>
      <w:r w:rsidR="004A6FB6">
        <w:rPr>
          <w:lang w:val="sr-Cyrl-RS"/>
        </w:rPr>
        <w:t xml:space="preserve"> </w:t>
      </w:r>
      <w:r w:rsidR="002C7B15">
        <w:t>(изградња и реконструкција објеката</w:t>
      </w:r>
    </w:p>
    <w:p w14:paraId="25C27BF4" w14:textId="77777777" w:rsidR="008E1930" w:rsidRDefault="002C7B15" w:rsidP="002C7B15">
      <w:pPr>
        <w:tabs>
          <w:tab w:val="right" w:leader="dot" w:pos="9214"/>
        </w:tabs>
        <w:ind w:left="720" w:firstLine="0"/>
      </w:pPr>
      <w:r>
        <w:t xml:space="preserve">  </w:t>
      </w:r>
      <w:proofErr w:type="spellStart"/>
      <w:r>
        <w:t>водоснабдијевања</w:t>
      </w:r>
      <w:proofErr w:type="spellEnd"/>
      <w:r>
        <w:t>)</w:t>
      </w:r>
      <w:r w:rsidR="008E1930">
        <w:tab/>
      </w:r>
      <w:r w:rsidR="004A6FB6">
        <w:rPr>
          <w:lang w:val="sr-Cyrl-RS"/>
        </w:rPr>
        <w:t>133.898,26</w:t>
      </w:r>
      <w:r w:rsidR="008E1930">
        <w:t xml:space="preserve"> КМ</w:t>
      </w:r>
    </w:p>
    <w:p w14:paraId="3119F8D0" w14:textId="77777777" w:rsidR="005D0FF9" w:rsidRDefault="005D0FF9" w:rsidP="006300A6">
      <w:pPr>
        <w:tabs>
          <w:tab w:val="right" w:leader="dot" w:pos="9214"/>
        </w:tabs>
        <w:ind w:left="720" w:firstLine="0"/>
      </w:pPr>
      <w:r w:rsidRPr="004B74FF">
        <w:t>-</w:t>
      </w:r>
      <w:r w:rsidR="004A6FB6">
        <w:rPr>
          <w:lang w:val="sr-Cyrl-RS"/>
        </w:rPr>
        <w:t xml:space="preserve"> </w:t>
      </w:r>
      <w:r w:rsidR="00AF7B97">
        <w:t>издаци</w:t>
      </w:r>
      <w:r>
        <w:t xml:space="preserve"> за </w:t>
      </w:r>
      <w:r w:rsidR="00DA2E1A">
        <w:t xml:space="preserve">набавку опреме– </w:t>
      </w:r>
      <w:r>
        <w:t>Општинска управа</w:t>
      </w:r>
      <w:r>
        <w:tab/>
      </w:r>
      <w:r w:rsidR="00E61FB7">
        <w:rPr>
          <w:lang w:val="sr-Cyrl-RS"/>
        </w:rPr>
        <w:t>19.493,41</w:t>
      </w:r>
      <w:r>
        <w:t xml:space="preserve"> КМ</w:t>
      </w:r>
    </w:p>
    <w:p w14:paraId="4C6B0DBE" w14:textId="77777777" w:rsidR="005D0FF9" w:rsidRDefault="005D0FF9" w:rsidP="006300A6">
      <w:pPr>
        <w:tabs>
          <w:tab w:val="right" w:leader="dot" w:pos="9214"/>
        </w:tabs>
        <w:ind w:left="720" w:firstLine="0"/>
      </w:pPr>
      <w:r w:rsidRPr="004B74FF">
        <w:t>-</w:t>
      </w:r>
      <w:r w:rsidR="004A6FB6">
        <w:rPr>
          <w:lang w:val="sr-Cyrl-RS"/>
        </w:rPr>
        <w:t xml:space="preserve"> </w:t>
      </w:r>
      <w:r w:rsidR="00AF7B97">
        <w:t>издаци</w:t>
      </w:r>
      <w:r>
        <w:t xml:space="preserve"> за </w:t>
      </w:r>
      <w:r w:rsidR="006300A6">
        <w:t>набавку опреме –</w:t>
      </w:r>
      <w:r>
        <w:t xml:space="preserve"> екстерни корисници</w:t>
      </w:r>
      <w:r>
        <w:tab/>
      </w:r>
      <w:r w:rsidR="00E61FB7">
        <w:rPr>
          <w:lang w:val="sr-Cyrl-RS"/>
        </w:rPr>
        <w:t>34.366,98</w:t>
      </w:r>
      <w:r>
        <w:t xml:space="preserve"> КМ</w:t>
      </w:r>
    </w:p>
    <w:p w14:paraId="41FB051E" w14:textId="77777777" w:rsidR="005D0FF9" w:rsidRPr="00A56522" w:rsidRDefault="005D0FF9" w:rsidP="005D0FF9">
      <w:pPr>
        <w:tabs>
          <w:tab w:val="right" w:leader="dot" w:pos="9214"/>
        </w:tabs>
        <w:ind w:left="720" w:firstLine="0"/>
        <w:rPr>
          <w:b/>
        </w:rPr>
      </w:pPr>
      <w:r w:rsidRPr="00A56522">
        <w:rPr>
          <w:b/>
        </w:rPr>
        <w:t xml:space="preserve">  УКУПНО:</w:t>
      </w:r>
      <w:r w:rsidRPr="00A56522">
        <w:rPr>
          <w:b/>
        </w:rPr>
        <w:tab/>
      </w:r>
      <w:r w:rsidR="00E740BB">
        <w:rPr>
          <w:b/>
          <w:lang w:val="sr-Cyrl-RS"/>
        </w:rPr>
        <w:t>3.215.674,30</w:t>
      </w:r>
      <w:r w:rsidRPr="00A56522">
        <w:rPr>
          <w:b/>
        </w:rPr>
        <w:t xml:space="preserve"> КМ</w:t>
      </w:r>
    </w:p>
    <w:p w14:paraId="56003A98" w14:textId="77777777" w:rsidR="005D0FF9" w:rsidRDefault="005D0FF9" w:rsidP="005D0FF9">
      <w:pPr>
        <w:ind w:firstLine="1145"/>
        <w:rPr>
          <w:b/>
        </w:rPr>
      </w:pPr>
    </w:p>
    <w:p w14:paraId="61D4CC3B" w14:textId="77777777" w:rsidR="00C455A8" w:rsidRDefault="00C455A8" w:rsidP="00C455A8">
      <w:pPr>
        <w:spacing w:before="120"/>
        <w:ind w:left="0" w:firstLine="709"/>
      </w:pPr>
      <w:r w:rsidRPr="00CD02E6">
        <w:t xml:space="preserve">У складу са </w:t>
      </w:r>
      <w:r>
        <w:t xml:space="preserve">чланом 96. став 5. Правилника о рачуноводству, рачуноводственим политикама и рачуноводственим </w:t>
      </w:r>
      <w:proofErr w:type="spellStart"/>
      <w:r>
        <w:t>процјенама</w:t>
      </w:r>
      <w:proofErr w:type="spellEnd"/>
      <w:r>
        <w:t xml:space="preserve"> за буџетске кориснике („Службени гласник Републике Српске“, бр. 115/17 и 118/18) у 2019. години је извршена резервација расположивих средстава на ставкама планираним у буџету у износу од </w:t>
      </w:r>
      <w:r w:rsidR="003158F0">
        <w:t>3</w:t>
      </w:r>
      <w:r w:rsidR="00412D72">
        <w:t>3</w:t>
      </w:r>
      <w:r w:rsidR="003158F0">
        <w:t>9.884,65</w:t>
      </w:r>
      <w:r>
        <w:t xml:space="preserve"> КМ, што значи да је извршено терећење расхода у 2019. години на основу </w:t>
      </w:r>
      <w:proofErr w:type="spellStart"/>
      <w:r>
        <w:t>обезбијеђених</w:t>
      </w:r>
      <w:proofErr w:type="spellEnd"/>
      <w:r>
        <w:t xml:space="preserve"> буџетских средстава у 2019. години, док је реализација резервисаних средстава остављена за 2020. годину. У </w:t>
      </w:r>
      <w:r w:rsidR="00D401DB">
        <w:t>2020. години</w:t>
      </w:r>
      <w:r>
        <w:t xml:space="preserve"> </w:t>
      </w:r>
      <w:r w:rsidR="00D401DB">
        <w:rPr>
          <w:lang w:val="sr-Cyrl-RS"/>
        </w:rPr>
        <w:t>сва</w:t>
      </w:r>
      <w:r w:rsidR="00D401DB">
        <w:t xml:space="preserve"> резервисана</w:t>
      </w:r>
      <w:r>
        <w:t xml:space="preserve"> средстава </w:t>
      </w:r>
      <w:r w:rsidR="00D401DB">
        <w:rPr>
          <w:lang w:val="sr-Cyrl-RS"/>
        </w:rPr>
        <w:t>су и</w:t>
      </w:r>
      <w:r w:rsidR="00D401DB">
        <w:t xml:space="preserve"> утрошена, а односе</w:t>
      </w:r>
      <w:r w:rsidR="00C159A7">
        <w:t xml:space="preserve"> се на</w:t>
      </w:r>
      <w:r>
        <w:t xml:space="preserve"> успостављање система </w:t>
      </w:r>
      <w:proofErr w:type="spellStart"/>
      <w:r>
        <w:t>видеонадзора</w:t>
      </w:r>
      <w:proofErr w:type="spellEnd"/>
      <w:r>
        <w:t xml:space="preserve"> општине Прњавор из средстава Владе РС износ од 150.000,00 КМ</w:t>
      </w:r>
      <w:r w:rsidR="00C159A7">
        <w:t xml:space="preserve">, </w:t>
      </w:r>
      <w:r>
        <w:t xml:space="preserve">изградњу Ватрогасног дома </w:t>
      </w:r>
      <w:r w:rsidR="00C159A7">
        <w:t xml:space="preserve">износ од </w:t>
      </w:r>
      <w:r w:rsidR="00F248F1">
        <w:t>101.276,82 КМ,</w:t>
      </w:r>
      <w:r>
        <w:t xml:space="preserve"> изградњу </w:t>
      </w:r>
      <w:proofErr w:type="spellStart"/>
      <w:r>
        <w:t>цјевовода</w:t>
      </w:r>
      <w:proofErr w:type="spellEnd"/>
      <w:r>
        <w:t xml:space="preserve"> </w:t>
      </w:r>
      <w:r w:rsidR="003158F0">
        <w:t xml:space="preserve">за </w:t>
      </w:r>
      <w:proofErr w:type="spellStart"/>
      <w:r w:rsidR="003158F0">
        <w:t>водоснабдијевање</w:t>
      </w:r>
      <w:proofErr w:type="spellEnd"/>
      <w:r w:rsidR="003158F0">
        <w:t xml:space="preserve"> индустријске </w:t>
      </w:r>
      <w:r>
        <w:t>зо</w:t>
      </w:r>
      <w:r w:rsidR="003158F0">
        <w:t>не</w:t>
      </w:r>
      <w:r>
        <w:t xml:space="preserve"> Вијака </w:t>
      </w:r>
      <w:r w:rsidR="00C159A7">
        <w:t>из сре</w:t>
      </w:r>
      <w:r w:rsidR="003158F0">
        <w:t xml:space="preserve">дстава посебних </w:t>
      </w:r>
      <w:proofErr w:type="spellStart"/>
      <w:r w:rsidR="003158F0">
        <w:t>намјена</w:t>
      </w:r>
      <w:proofErr w:type="spellEnd"/>
      <w:r w:rsidR="003158F0">
        <w:t xml:space="preserve"> за воде износ</w:t>
      </w:r>
      <w:r>
        <w:t xml:space="preserve"> од </w:t>
      </w:r>
      <w:r w:rsidR="00720317">
        <w:rPr>
          <w:lang w:val="sr-Cyrl-RS"/>
        </w:rPr>
        <w:t>63.455,74</w:t>
      </w:r>
      <w:r w:rsidR="00F248F1">
        <w:t xml:space="preserve"> КМ и реконструкцију пута у </w:t>
      </w:r>
      <w:proofErr w:type="spellStart"/>
      <w:r w:rsidR="00F248F1">
        <w:t>Коњуховцима</w:t>
      </w:r>
      <w:proofErr w:type="spellEnd"/>
      <w:r w:rsidR="00F248F1">
        <w:t xml:space="preserve"> и израду каптаже</w:t>
      </w:r>
      <w:r w:rsidR="00F248F1" w:rsidRPr="005E412C">
        <w:t xml:space="preserve"> у МЗ </w:t>
      </w:r>
      <w:proofErr w:type="spellStart"/>
      <w:r w:rsidR="00F248F1" w:rsidRPr="005E412C">
        <w:t>Лишња</w:t>
      </w:r>
      <w:proofErr w:type="spellEnd"/>
      <w:r w:rsidR="00F248F1">
        <w:t xml:space="preserve"> из средства општине Центар Сарајево износ од 25.152,09 КМ. </w:t>
      </w:r>
    </w:p>
    <w:p w14:paraId="3BABECAB" w14:textId="77777777" w:rsidR="00CD02E6" w:rsidRPr="00CD02E6" w:rsidRDefault="00CD02E6" w:rsidP="00412D72">
      <w:pPr>
        <w:ind w:left="0" w:firstLine="0"/>
      </w:pPr>
    </w:p>
    <w:p w14:paraId="4DA331EA" w14:textId="77777777" w:rsidR="000C1644" w:rsidRPr="00D401DB" w:rsidRDefault="005D0FF9" w:rsidP="00CD02E6">
      <w:pPr>
        <w:ind w:left="0" w:firstLine="720"/>
        <w:rPr>
          <w:lang w:val="sr-Cyrl-RS"/>
        </w:rPr>
      </w:pPr>
      <w:r>
        <w:rPr>
          <w:b/>
        </w:rPr>
        <w:t xml:space="preserve">Издаци за </w:t>
      </w:r>
      <w:proofErr w:type="spellStart"/>
      <w:r>
        <w:rPr>
          <w:b/>
        </w:rPr>
        <w:t>непроизведену</w:t>
      </w:r>
      <w:proofErr w:type="spellEnd"/>
      <w:r>
        <w:rPr>
          <w:b/>
        </w:rPr>
        <w:t xml:space="preserve"> сталну имовину </w:t>
      </w:r>
      <w:r>
        <w:t xml:space="preserve">реализовани су у износу од </w:t>
      </w:r>
      <w:r w:rsidR="00D401DB">
        <w:rPr>
          <w:lang w:val="sr-Cyrl-RS"/>
        </w:rPr>
        <w:t>49.733,79</w:t>
      </w:r>
      <w:r>
        <w:t xml:space="preserve"> КМ, што је </w:t>
      </w:r>
      <w:r w:rsidR="00D401DB">
        <w:rPr>
          <w:lang w:val="sr-Cyrl-RS"/>
        </w:rPr>
        <w:t>99,57</w:t>
      </w:r>
      <w:r>
        <w:t xml:space="preserve">% од планираних средстава за ове </w:t>
      </w:r>
      <w:proofErr w:type="spellStart"/>
      <w:r>
        <w:t>намјене</w:t>
      </w:r>
      <w:proofErr w:type="spellEnd"/>
      <w:r>
        <w:t>. Ови издаци се односе на издатке за прибављање земљи</w:t>
      </w:r>
      <w:r w:rsidR="004F1904">
        <w:t>шта.</w:t>
      </w:r>
      <w:r w:rsidR="00D401DB">
        <w:rPr>
          <w:lang w:val="sr-Cyrl-RS"/>
        </w:rPr>
        <w:t xml:space="preserve"> Највећи појединачно исплаћени износ за набавку земљишта </w:t>
      </w:r>
      <w:r w:rsidR="00720317">
        <w:rPr>
          <w:lang w:val="sr-Cyrl-RS"/>
        </w:rPr>
        <w:t>односи се на исплаћена средства Вујиновић Крпан Елени из Прњавора на основу споразума о исплати накнаде за експроприсане некретнине (36.540,00 КМ).</w:t>
      </w:r>
    </w:p>
    <w:p w14:paraId="08BEB707" w14:textId="77777777" w:rsidR="005D0FF9" w:rsidRPr="00006298" w:rsidRDefault="005D0FF9" w:rsidP="005D0FF9">
      <w:pPr>
        <w:ind w:left="0" w:firstLine="0"/>
      </w:pPr>
    </w:p>
    <w:p w14:paraId="178032EE" w14:textId="77777777" w:rsidR="00124D2A" w:rsidRDefault="005D0FF9" w:rsidP="000262D1">
      <w:pPr>
        <w:ind w:left="0" w:firstLine="720"/>
      </w:pPr>
      <w:r w:rsidRPr="00F8466D">
        <w:rPr>
          <w:b/>
        </w:rPr>
        <w:t>Издаци за залихе материјала, робе и ситног инвентара, амбалаже и сл.</w:t>
      </w:r>
      <w:r w:rsidR="00A93E4E">
        <w:rPr>
          <w:b/>
          <w:lang w:val="sr-Cyrl-RS"/>
        </w:rPr>
        <w:t xml:space="preserve"> </w:t>
      </w:r>
      <w:r>
        <w:t xml:space="preserve">извршени су у износу </w:t>
      </w:r>
      <w:r w:rsidRPr="00FC6C8C">
        <w:t xml:space="preserve">од </w:t>
      </w:r>
      <w:r w:rsidR="00720317">
        <w:rPr>
          <w:lang w:val="sr-Cyrl-RS"/>
        </w:rPr>
        <w:t>14.300,44</w:t>
      </w:r>
      <w:r w:rsidRPr="00FC6C8C">
        <w:t xml:space="preserve"> КМ,</w:t>
      </w:r>
      <w:r>
        <w:t xml:space="preserve"> што је </w:t>
      </w:r>
      <w:r w:rsidR="00720317">
        <w:rPr>
          <w:lang w:val="sr-Cyrl-RS"/>
        </w:rPr>
        <w:t>89,21</w:t>
      </w:r>
      <w:r w:rsidR="004F1904">
        <w:t>% од плана за 2020</w:t>
      </w:r>
      <w:r>
        <w:t xml:space="preserve">. годину, а односе се на издатке за залихе ситног инвентара, ауто-гума, </w:t>
      </w:r>
      <w:proofErr w:type="spellStart"/>
      <w:r>
        <w:t>одјеће</w:t>
      </w:r>
      <w:proofErr w:type="spellEnd"/>
      <w:r>
        <w:t xml:space="preserve">, обуће и сл. (Општинска управа) </w:t>
      </w:r>
      <w:r w:rsidRPr="00172F1A">
        <w:t>износ од</w:t>
      </w:r>
      <w:r w:rsidR="00720317">
        <w:rPr>
          <w:lang w:val="sr-Cyrl-RS"/>
        </w:rPr>
        <w:t xml:space="preserve">     5.662,64</w:t>
      </w:r>
      <w:r>
        <w:t xml:space="preserve"> КМ, и </w:t>
      </w:r>
      <w:r w:rsidRPr="00172F1A">
        <w:t xml:space="preserve">издатке за залихе материјала, робе и ситног инвентара </w:t>
      </w:r>
      <w:r>
        <w:t>екстерних буџетских корисника</w:t>
      </w:r>
      <w:r w:rsidR="00720317">
        <w:rPr>
          <w:lang w:val="sr-Cyrl-RS"/>
        </w:rPr>
        <w:t xml:space="preserve"> </w:t>
      </w:r>
      <w:r>
        <w:t xml:space="preserve">износ од </w:t>
      </w:r>
      <w:r w:rsidR="007E0360">
        <w:rPr>
          <w:lang w:val="sr-Cyrl-RS"/>
        </w:rPr>
        <w:t>8.637,80</w:t>
      </w:r>
      <w:r>
        <w:t xml:space="preserve"> КМ.</w:t>
      </w:r>
    </w:p>
    <w:p w14:paraId="2C2E8E75" w14:textId="77777777" w:rsidR="00F66C6E" w:rsidRPr="000262D1" w:rsidRDefault="00F66C6E" w:rsidP="0087673A">
      <w:pPr>
        <w:ind w:left="0" w:firstLine="0"/>
      </w:pPr>
    </w:p>
    <w:p w14:paraId="111BE89C" w14:textId="77777777" w:rsidR="00912AF6" w:rsidRPr="003F1B50" w:rsidRDefault="00A90040" w:rsidP="003F1B50">
      <w:pPr>
        <w:pStyle w:val="Podnaslovi1"/>
        <w:ind w:firstLine="709"/>
        <w:jc w:val="left"/>
        <w:rPr>
          <w:sz w:val="24"/>
          <w:szCs w:val="24"/>
        </w:rPr>
      </w:pPr>
      <w:bookmarkStart w:id="80" w:name="_Toc530745892"/>
      <w:bookmarkStart w:id="81" w:name="_Toc50641209"/>
      <w:r w:rsidRPr="003F1B50">
        <w:rPr>
          <w:sz w:val="24"/>
          <w:szCs w:val="24"/>
        </w:rPr>
        <w:t>3.</w:t>
      </w:r>
      <w:r w:rsidR="003F1B50" w:rsidRPr="003F1B50">
        <w:rPr>
          <w:sz w:val="24"/>
          <w:szCs w:val="24"/>
        </w:rPr>
        <w:t>1.</w:t>
      </w:r>
      <w:r w:rsidRPr="003F1B50">
        <w:rPr>
          <w:sz w:val="24"/>
          <w:szCs w:val="24"/>
        </w:rPr>
        <w:t xml:space="preserve">4. </w:t>
      </w:r>
      <w:r w:rsidR="003F1B50" w:rsidRPr="003F1B50">
        <w:rPr>
          <w:sz w:val="24"/>
          <w:szCs w:val="24"/>
        </w:rPr>
        <w:t xml:space="preserve">РАЧУН </w:t>
      </w:r>
      <w:r w:rsidR="00912AF6" w:rsidRPr="003F1B50">
        <w:rPr>
          <w:sz w:val="24"/>
          <w:szCs w:val="24"/>
        </w:rPr>
        <w:t>ФИНАНСИРАЊ</w:t>
      </w:r>
      <w:r w:rsidR="003F1B50" w:rsidRPr="003F1B50">
        <w:rPr>
          <w:sz w:val="24"/>
          <w:szCs w:val="24"/>
        </w:rPr>
        <w:t>А ЗА ПЕРИОД 01.01-3</w:t>
      </w:r>
      <w:r w:rsidR="007E0360">
        <w:rPr>
          <w:sz w:val="24"/>
          <w:szCs w:val="24"/>
        </w:rPr>
        <w:t>1.12</w:t>
      </w:r>
      <w:r w:rsidR="00640DE2">
        <w:rPr>
          <w:sz w:val="24"/>
          <w:szCs w:val="24"/>
        </w:rPr>
        <w:t>.2020</w:t>
      </w:r>
      <w:r w:rsidR="003F1B50" w:rsidRPr="003F1B50">
        <w:rPr>
          <w:sz w:val="24"/>
          <w:szCs w:val="24"/>
        </w:rPr>
        <w:t>. ГОДИНЕ</w:t>
      </w:r>
      <w:bookmarkEnd w:id="80"/>
      <w:bookmarkEnd w:id="81"/>
    </w:p>
    <w:p w14:paraId="76B774CC" w14:textId="77777777" w:rsidR="00912AF6" w:rsidRPr="00632927" w:rsidRDefault="00912AF6" w:rsidP="00912AF6">
      <w:pPr>
        <w:ind w:left="0" w:firstLine="0"/>
        <w:rPr>
          <w:rFonts w:eastAsia="Calibri"/>
          <w:i/>
        </w:rPr>
      </w:pPr>
    </w:p>
    <w:p w14:paraId="7708A4ED" w14:textId="77777777" w:rsidR="00912AF6" w:rsidRDefault="00912AF6" w:rsidP="00912AF6">
      <w:pPr>
        <w:ind w:left="0" w:firstLine="0"/>
        <w:rPr>
          <w:lang w:val="sr-Cyrl-BA"/>
        </w:rPr>
      </w:pPr>
      <w:r w:rsidRPr="006759A3">
        <w:rPr>
          <w:lang w:val="sr-Latn-CS"/>
        </w:rPr>
        <w:tab/>
      </w:r>
      <w:r w:rsidRPr="006759A3">
        <w:t xml:space="preserve">Буџет општине, </w:t>
      </w:r>
      <w:r>
        <w:t xml:space="preserve">као и </w:t>
      </w:r>
      <w:proofErr w:type="spellStart"/>
      <w:r>
        <w:t>извјештај</w:t>
      </w:r>
      <w:r w:rsidR="00E52C21">
        <w:t>и</w:t>
      </w:r>
      <w:proofErr w:type="spellEnd"/>
      <w:r>
        <w:t xml:space="preserve"> о извршењу буџета, </w:t>
      </w:r>
      <w:r w:rsidRPr="006759A3">
        <w:t>поред</w:t>
      </w:r>
      <w:r w:rsidR="00A93E4E">
        <w:rPr>
          <w:lang w:val="sr-Cyrl-RS"/>
        </w:rPr>
        <w:t xml:space="preserve"> </w:t>
      </w:r>
      <w:r w:rsidRPr="006759A3">
        <w:rPr>
          <w:lang w:val="sr-Cyrl-BA"/>
        </w:rPr>
        <w:t xml:space="preserve">буџетских прихода и примитака </w:t>
      </w:r>
      <w:r>
        <w:rPr>
          <w:lang w:val="sr-Cyrl-BA"/>
        </w:rPr>
        <w:t xml:space="preserve">за </w:t>
      </w:r>
      <w:proofErr w:type="spellStart"/>
      <w:r>
        <w:rPr>
          <w:lang w:val="sr-Cyrl-BA"/>
        </w:rPr>
        <w:t>нефинансијску</w:t>
      </w:r>
      <w:proofErr w:type="spellEnd"/>
      <w:r>
        <w:rPr>
          <w:lang w:val="sr-Cyrl-BA"/>
        </w:rPr>
        <w:t xml:space="preserve"> имовину, те буџетских расхода и издатака за </w:t>
      </w:r>
      <w:proofErr w:type="spellStart"/>
      <w:r>
        <w:rPr>
          <w:lang w:val="sr-Cyrl-BA"/>
        </w:rPr>
        <w:t>нефинансијску</w:t>
      </w:r>
      <w:proofErr w:type="spellEnd"/>
      <w:r>
        <w:rPr>
          <w:lang w:val="sr-Cyrl-BA"/>
        </w:rPr>
        <w:t xml:space="preserve"> имовину, укључује и рачун финансирања, у оквиру којег се приказују нето ефекти ос</w:t>
      </w:r>
      <w:r w:rsidR="00DE1F2C">
        <w:rPr>
          <w:lang w:val="sr-Cyrl-BA"/>
        </w:rPr>
        <w:t>тварени од финансијске имовине,</w:t>
      </w:r>
      <w:r>
        <w:rPr>
          <w:lang w:val="sr-Cyrl-BA"/>
        </w:rPr>
        <w:t xml:space="preserve"> нето ефекти остварени </w:t>
      </w:r>
      <w:r w:rsidR="00DE1F2C">
        <w:rPr>
          <w:lang w:val="sr-Cyrl-BA"/>
        </w:rPr>
        <w:t>од задуживања и отплате дугова, нето ефекти од осталих примитака и издатака и расподјела суфицита из ранијих периода.</w:t>
      </w:r>
    </w:p>
    <w:p w14:paraId="21AC0AD1" w14:textId="77777777" w:rsidR="00912AF6" w:rsidRDefault="00912AF6" w:rsidP="00912AF6">
      <w:pPr>
        <w:ind w:left="0" w:firstLine="0"/>
        <w:rPr>
          <w:lang w:val="sr-Cyrl-BA"/>
        </w:rPr>
      </w:pPr>
    </w:p>
    <w:p w14:paraId="6027AAFF" w14:textId="77777777" w:rsidR="0015226C" w:rsidRDefault="00044BE1" w:rsidP="00912AF6">
      <w:pPr>
        <w:ind w:left="0" w:firstLine="0"/>
      </w:pPr>
      <w:r>
        <w:rPr>
          <w:lang w:val="sr-Cyrl-BA"/>
        </w:rPr>
        <w:tab/>
        <w:t>У периоду</w:t>
      </w:r>
      <w:r w:rsidR="003436CC">
        <w:rPr>
          <w:lang w:val="sr-Cyrl-BA"/>
        </w:rPr>
        <w:t xml:space="preserve"> 01.01-3</w:t>
      </w:r>
      <w:r w:rsidR="007E0360">
        <w:t>1</w:t>
      </w:r>
      <w:r w:rsidR="007E0360">
        <w:rPr>
          <w:lang w:val="sr-Cyrl-BA"/>
        </w:rPr>
        <w:t>.12</w:t>
      </w:r>
      <w:r w:rsidR="003436CC">
        <w:rPr>
          <w:lang w:val="sr-Cyrl-BA"/>
        </w:rPr>
        <w:t>.2020</w:t>
      </w:r>
      <w:r w:rsidR="00A67B5D">
        <w:rPr>
          <w:lang w:val="sr-Cyrl-BA"/>
        </w:rPr>
        <w:t xml:space="preserve">. године остварени су </w:t>
      </w:r>
      <w:r w:rsidR="007E0360">
        <w:rPr>
          <w:b/>
          <w:lang w:val="sr-Cyrl-BA"/>
        </w:rPr>
        <w:t>позитивни</w:t>
      </w:r>
      <w:r w:rsidR="00A67B5D" w:rsidRPr="00A01B4C">
        <w:rPr>
          <w:b/>
          <w:lang w:val="sr-Cyrl-BA"/>
        </w:rPr>
        <w:t xml:space="preserve"> ефекти из финансирања у износу од </w:t>
      </w:r>
      <w:r w:rsidR="007E0360">
        <w:rPr>
          <w:b/>
          <w:lang w:val="sr-Cyrl-BA"/>
        </w:rPr>
        <w:t>345.902,30</w:t>
      </w:r>
      <w:r w:rsidR="00A67B5D" w:rsidRPr="00A01B4C">
        <w:rPr>
          <w:b/>
          <w:lang w:val="sr-Cyrl-BA"/>
        </w:rPr>
        <w:t xml:space="preserve"> КМ</w:t>
      </w:r>
      <w:r w:rsidR="00A67B5D">
        <w:rPr>
          <w:lang w:val="sr-Cyrl-BA"/>
        </w:rPr>
        <w:t xml:space="preserve">, а који су настали као збир </w:t>
      </w:r>
      <w:r w:rsidR="00166912">
        <w:rPr>
          <w:lang w:val="sr-Cyrl-BA"/>
        </w:rPr>
        <w:t>позитивних ефеката од финансијске имовине у износу од 70.</w:t>
      </w:r>
      <w:r w:rsidR="007E0360">
        <w:rPr>
          <w:lang w:val="sr-Cyrl-BA"/>
        </w:rPr>
        <w:t>577,58</w:t>
      </w:r>
      <w:r w:rsidR="00166912">
        <w:rPr>
          <w:lang w:val="sr-Cyrl-BA"/>
        </w:rPr>
        <w:t xml:space="preserve"> КМ, </w:t>
      </w:r>
      <w:r w:rsidR="002944E2">
        <w:rPr>
          <w:lang w:val="sr-Cyrl-BA"/>
        </w:rPr>
        <w:t>негативних ефеката</w:t>
      </w:r>
      <w:r w:rsidR="00A90562">
        <w:rPr>
          <w:lang w:val="sr-Cyrl-BA"/>
        </w:rPr>
        <w:t xml:space="preserve"> </w:t>
      </w:r>
      <w:r w:rsidR="002944E2">
        <w:rPr>
          <w:lang w:val="sr-Cyrl-BA"/>
        </w:rPr>
        <w:t xml:space="preserve">из задуживања у износу од </w:t>
      </w:r>
      <w:r w:rsidR="007E0360">
        <w:rPr>
          <w:lang w:val="sr-Cyrl-BA"/>
        </w:rPr>
        <w:t xml:space="preserve">                     </w:t>
      </w:r>
      <w:r w:rsidR="002944E2">
        <w:rPr>
          <w:lang w:val="sr-Cyrl-BA"/>
        </w:rPr>
        <w:t>-</w:t>
      </w:r>
      <w:r w:rsidR="007E0360">
        <w:rPr>
          <w:lang w:val="sr-Cyrl-RS"/>
        </w:rPr>
        <w:t>1.000.261,27</w:t>
      </w:r>
      <w:r w:rsidR="00AC752D">
        <w:rPr>
          <w:lang w:val="sr-Cyrl-BA"/>
        </w:rPr>
        <w:t xml:space="preserve"> КМ,</w:t>
      </w:r>
      <w:r w:rsidR="007E0360">
        <w:rPr>
          <w:lang w:val="sr-Cyrl-BA"/>
        </w:rPr>
        <w:t xml:space="preserve"> </w:t>
      </w:r>
      <w:r w:rsidR="007E0360">
        <w:rPr>
          <w:lang w:val="sr-Cyrl-RS"/>
        </w:rPr>
        <w:t>позитивних</w:t>
      </w:r>
      <w:r w:rsidR="00500E2E">
        <w:rPr>
          <w:lang w:val="sr-Cyrl-BA"/>
        </w:rPr>
        <w:t xml:space="preserve"> ефеката од осталих прим</w:t>
      </w:r>
      <w:r w:rsidR="00AC752D">
        <w:rPr>
          <w:lang w:val="sr-Cyrl-BA"/>
        </w:rPr>
        <w:t>ита</w:t>
      </w:r>
      <w:r w:rsidR="00783959">
        <w:rPr>
          <w:lang w:val="sr-Cyrl-BA"/>
        </w:rPr>
        <w:t xml:space="preserve">ка </w:t>
      </w:r>
      <w:r w:rsidR="00166912">
        <w:rPr>
          <w:lang w:val="sr-Cyrl-BA"/>
        </w:rPr>
        <w:t>и издатака у износу од</w:t>
      </w:r>
      <w:r w:rsidR="007E0360">
        <w:rPr>
          <w:lang w:val="sr-Cyrl-BA"/>
        </w:rPr>
        <w:t xml:space="preserve"> 1.072.504,02</w:t>
      </w:r>
      <w:r w:rsidR="00AC752D">
        <w:rPr>
          <w:lang w:val="sr-Cyrl-BA"/>
        </w:rPr>
        <w:t xml:space="preserve"> КМ </w:t>
      </w:r>
      <w:r w:rsidR="00AC752D">
        <w:t xml:space="preserve">и </w:t>
      </w:r>
      <w:proofErr w:type="spellStart"/>
      <w:r w:rsidR="00AC752D">
        <w:t>расподјеле</w:t>
      </w:r>
      <w:proofErr w:type="spellEnd"/>
      <w:r w:rsidR="00AC752D">
        <w:t xml:space="preserve"> суфицита из ранијих периода у износу од </w:t>
      </w:r>
      <w:r w:rsidR="007E0360">
        <w:rPr>
          <w:lang w:val="sr-Cyrl-RS"/>
        </w:rPr>
        <w:t>203.081,97</w:t>
      </w:r>
      <w:r w:rsidR="00AC752D">
        <w:t xml:space="preserve"> КМ.</w:t>
      </w:r>
    </w:p>
    <w:p w14:paraId="6CD7E5E1" w14:textId="77777777" w:rsidR="00EB7DBE" w:rsidRDefault="00EB7DBE" w:rsidP="00912AF6">
      <w:pPr>
        <w:ind w:left="0" w:firstLine="0"/>
      </w:pPr>
    </w:p>
    <w:p w14:paraId="319AE27F" w14:textId="77777777" w:rsidR="00470F0F" w:rsidRDefault="00C94A58" w:rsidP="00A01B4C">
      <w:pPr>
        <w:ind w:left="0" w:firstLine="0"/>
      </w:pPr>
      <w:r>
        <w:tab/>
      </w:r>
      <w:r w:rsidR="00184DAE" w:rsidRPr="00EB7DBE">
        <w:rPr>
          <w:b/>
          <w:lang w:val="sr-Cyrl-RS"/>
        </w:rPr>
        <w:t xml:space="preserve">Нето ефекти од финансијске имовине </w:t>
      </w:r>
      <w:r w:rsidR="00184DAE">
        <w:rPr>
          <w:lang w:val="sr-Cyrl-RS"/>
        </w:rPr>
        <w:t xml:space="preserve">остварени су у износу од </w:t>
      </w:r>
      <w:r w:rsidR="00184DAE">
        <w:rPr>
          <w:lang w:val="sr-Latn-RS"/>
        </w:rPr>
        <w:t>70.577,58</w:t>
      </w:r>
      <w:r w:rsidR="00184DAE">
        <w:rPr>
          <w:lang w:val="sr-Cyrl-RS"/>
        </w:rPr>
        <w:t xml:space="preserve"> КМ</w:t>
      </w:r>
      <w:r w:rsidR="00184DAE">
        <w:rPr>
          <w:lang w:val="sr-Latn-RS"/>
        </w:rPr>
        <w:t>,</w:t>
      </w:r>
      <w:r w:rsidR="00184DAE">
        <w:t xml:space="preserve"> a</w:t>
      </w:r>
      <w:r w:rsidR="00D31626">
        <w:t xml:space="preserve"> односе се на </w:t>
      </w:r>
      <w:r w:rsidR="007E0360">
        <w:rPr>
          <w:lang w:val="sr-Cyrl-BA"/>
        </w:rPr>
        <w:t xml:space="preserve">примитке по основу обвезница РС чији је општина Прњавор власник (главница дуга) у износу од 181,90 КМ и </w:t>
      </w:r>
      <w:r w:rsidR="00D31626">
        <w:t>наплаћена потраживања од Буџета РС за 2018. и 2019. годину по основу јавних прихода наплаћених обвезницама РС</w:t>
      </w:r>
      <w:r w:rsidR="007E0360">
        <w:rPr>
          <w:lang w:val="sr-Cyrl-RS"/>
        </w:rPr>
        <w:t xml:space="preserve"> у износу од 70.395,68 КМ</w:t>
      </w:r>
      <w:r w:rsidR="00D31626">
        <w:t xml:space="preserve">. Како у </w:t>
      </w:r>
      <w:proofErr w:type="spellStart"/>
      <w:r w:rsidR="00D31626">
        <w:t>извјештајном</w:t>
      </w:r>
      <w:proofErr w:type="spellEnd"/>
      <w:r w:rsidR="00D31626">
        <w:t xml:space="preserve"> периоду није било остварења издатака за финансијску имовину, нето ефекти од финансијске имовине једнаки су оствареним примицима од финансијске имовине.</w:t>
      </w:r>
    </w:p>
    <w:p w14:paraId="1DF0026C" w14:textId="77777777" w:rsidR="00184DAE" w:rsidRPr="00D31626" w:rsidRDefault="00184DAE" w:rsidP="00A01B4C">
      <w:pPr>
        <w:ind w:left="0" w:firstLine="0"/>
      </w:pPr>
    </w:p>
    <w:p w14:paraId="1B99AC5F" w14:textId="77777777" w:rsidR="00A01B4C" w:rsidRDefault="00B9213C" w:rsidP="00470F0F">
      <w:pPr>
        <w:ind w:left="0" w:firstLine="720"/>
      </w:pPr>
      <w:r w:rsidRPr="00B9213C">
        <w:rPr>
          <w:b/>
          <w:lang w:val="sr-Cyrl-RS"/>
        </w:rPr>
        <w:t>Нето ефекти од задуживања</w:t>
      </w:r>
      <w:r>
        <w:rPr>
          <w:lang w:val="sr-Cyrl-RS"/>
        </w:rPr>
        <w:t xml:space="preserve"> </w:t>
      </w:r>
      <w:r>
        <w:rPr>
          <w:lang w:val="sr-Cyrl-BA"/>
        </w:rPr>
        <w:t xml:space="preserve">остварени су у износу од -1.000.261,27 КМ, и једнаки су издацима за отплату </w:t>
      </w:r>
      <w:r w:rsidR="00A90562">
        <w:rPr>
          <w:lang w:val="sr-Cyrl-BA"/>
        </w:rPr>
        <w:t>дугова, будући да у</w:t>
      </w:r>
      <w:r w:rsidR="00A01B4C" w:rsidRPr="00FF7418">
        <w:rPr>
          <w:lang w:val="sr-Cyrl-BA"/>
        </w:rPr>
        <w:t xml:space="preserve"> извјештајном периоду нису остварени п</w:t>
      </w:r>
      <w:proofErr w:type="spellStart"/>
      <w:r w:rsidR="00A90562">
        <w:t>римици</w:t>
      </w:r>
      <w:proofErr w:type="spellEnd"/>
      <w:r w:rsidR="00A90562">
        <w:t xml:space="preserve"> од задуживања. </w:t>
      </w:r>
      <w:r w:rsidR="00A01B4C" w:rsidRPr="00FF7418">
        <w:t xml:space="preserve">Остварени издаци за отплату дугова односе се на издатке за отплату главнице дуга по домаћем кредиту од 7 </w:t>
      </w:r>
      <w:proofErr w:type="spellStart"/>
      <w:r w:rsidR="00A01B4C" w:rsidRPr="00FF7418">
        <w:t>мил</w:t>
      </w:r>
      <w:proofErr w:type="spellEnd"/>
      <w:r w:rsidR="00A01B4C" w:rsidRPr="00FF7418">
        <w:t xml:space="preserve">. КМ у износу од </w:t>
      </w:r>
      <w:r w:rsidR="007E0360">
        <w:rPr>
          <w:lang w:val="sr-Cyrl-RS"/>
        </w:rPr>
        <w:t>823.536,47</w:t>
      </w:r>
      <w:r w:rsidR="00A01B4C" w:rsidRPr="00FF7418">
        <w:t xml:space="preserve"> КМ, и издатке за отплату главнице дуга по кредиту Краљевине Шпаније у износу од </w:t>
      </w:r>
      <w:r w:rsidR="00D31626">
        <w:t>176.724,8</w:t>
      </w:r>
      <w:r w:rsidR="00A01B4C" w:rsidRPr="00FF7418">
        <w:t>0 КМ.</w:t>
      </w:r>
    </w:p>
    <w:p w14:paraId="717688C2" w14:textId="77777777" w:rsidR="00A90562" w:rsidRPr="00FF7418" w:rsidRDefault="00A90562" w:rsidP="00470F0F">
      <w:pPr>
        <w:ind w:left="0" w:firstLine="720"/>
      </w:pPr>
    </w:p>
    <w:p w14:paraId="6B6968EB" w14:textId="77777777" w:rsidR="00A90562" w:rsidRDefault="00A01B4C" w:rsidP="00A01B4C">
      <w:pPr>
        <w:ind w:left="0" w:firstLine="0"/>
      </w:pPr>
      <w:r w:rsidRPr="00FF7418">
        <w:tab/>
      </w:r>
      <w:r w:rsidR="00A90562" w:rsidRPr="005E4B2A">
        <w:rPr>
          <w:b/>
          <w:lang w:val="sr-Cyrl-RS"/>
        </w:rPr>
        <w:t>Нето ефекти од осталих примитака и издатака</w:t>
      </w:r>
      <w:r w:rsidR="00A90562">
        <w:rPr>
          <w:lang w:val="sr-Cyrl-RS"/>
        </w:rPr>
        <w:t xml:space="preserve"> остварени су у износу од    1.072.504,02 КМ, као разлика између остварених осталих примитака у износу од      1.239.276,81</w:t>
      </w:r>
      <w:r w:rsidR="00A90562" w:rsidRPr="00FF7418">
        <w:t xml:space="preserve"> </w:t>
      </w:r>
      <w:r w:rsidR="00A90562">
        <w:rPr>
          <w:lang w:val="sr-Cyrl-RS"/>
        </w:rPr>
        <w:t>КМ, и осталих издатака у износу од 166.772,79</w:t>
      </w:r>
      <w:r w:rsidR="00A90562" w:rsidRPr="00FF7418">
        <w:t xml:space="preserve"> </w:t>
      </w:r>
      <w:r w:rsidR="00A90562">
        <w:rPr>
          <w:lang w:val="sr-Cyrl-RS"/>
        </w:rPr>
        <w:t xml:space="preserve">КМ. </w:t>
      </w:r>
    </w:p>
    <w:p w14:paraId="45EAF5AF" w14:textId="77777777" w:rsidR="00A90562" w:rsidRDefault="00A01B4C" w:rsidP="00A90562">
      <w:pPr>
        <w:spacing w:before="120"/>
        <w:ind w:left="0" w:firstLine="720"/>
        <w:rPr>
          <w:lang w:val="sr-Cyrl-RS"/>
        </w:rPr>
      </w:pPr>
      <w:r w:rsidRPr="00FF7418">
        <w:t>Остали примици се односе на</w:t>
      </w:r>
      <w:r w:rsidR="00A90562">
        <w:rPr>
          <w:lang w:val="sr-Cyrl-RS"/>
        </w:rPr>
        <w:t>:</w:t>
      </w:r>
    </w:p>
    <w:p w14:paraId="61E00D38" w14:textId="77777777" w:rsidR="00A90562" w:rsidRPr="00586DCE" w:rsidRDefault="00A01B4C" w:rsidP="00586DCE">
      <w:pPr>
        <w:pStyle w:val="Pasussalistom"/>
        <w:numPr>
          <w:ilvl w:val="0"/>
          <w:numId w:val="25"/>
        </w:numPr>
        <w:tabs>
          <w:tab w:val="right" w:leader="dot" w:pos="9214"/>
        </w:tabs>
        <w:ind w:left="1276" w:hanging="283"/>
        <w:rPr>
          <w:lang w:val="sr-Cyrl-RS"/>
        </w:rPr>
      </w:pPr>
      <w:r w:rsidRPr="00586DCE">
        <w:rPr>
          <w:lang w:val="sr-Cyrl-RS"/>
        </w:rPr>
        <w:t xml:space="preserve">примитке </w:t>
      </w:r>
      <w:r w:rsidR="007E0360" w:rsidRPr="00586DCE">
        <w:rPr>
          <w:lang w:val="sr-Cyrl-RS"/>
        </w:rPr>
        <w:t xml:space="preserve">по основу пореза на додату </w:t>
      </w:r>
      <w:proofErr w:type="spellStart"/>
      <w:r w:rsidR="007E0360" w:rsidRPr="00586DCE">
        <w:rPr>
          <w:lang w:val="sr-Cyrl-RS"/>
        </w:rPr>
        <w:t>вриједност</w:t>
      </w:r>
      <w:proofErr w:type="spellEnd"/>
      <w:r w:rsidR="007E0360" w:rsidRPr="00586DCE">
        <w:rPr>
          <w:lang w:val="sr-Cyrl-RS"/>
        </w:rPr>
        <w:t xml:space="preserve"> </w:t>
      </w:r>
      <w:r w:rsidR="00DD114F" w:rsidRPr="00586DCE">
        <w:rPr>
          <w:lang w:val="sr-Cyrl-RS"/>
        </w:rPr>
        <w:t xml:space="preserve">у </w:t>
      </w:r>
      <w:r w:rsidR="007E0360" w:rsidRPr="00586DCE">
        <w:rPr>
          <w:lang w:val="sr-Cyrl-RS"/>
        </w:rPr>
        <w:t>износ</w:t>
      </w:r>
      <w:r w:rsidR="00DD114F" w:rsidRPr="00586DCE">
        <w:rPr>
          <w:lang w:val="sr-Cyrl-RS"/>
        </w:rPr>
        <w:t>у</w:t>
      </w:r>
      <w:r w:rsidR="007E0360" w:rsidRPr="00586DCE">
        <w:rPr>
          <w:lang w:val="sr-Cyrl-RS"/>
        </w:rPr>
        <w:t xml:space="preserve"> од 22.658,96 КМ</w:t>
      </w:r>
      <w:r w:rsidR="00A90562" w:rsidRPr="00586DCE">
        <w:rPr>
          <w:lang w:val="sr-Cyrl-RS"/>
        </w:rPr>
        <w:t xml:space="preserve"> (</w:t>
      </w:r>
      <w:proofErr w:type="spellStart"/>
      <w:r w:rsidR="00A90562" w:rsidRPr="00586DCE">
        <w:rPr>
          <w:lang w:val="sr-Cyrl-RS"/>
        </w:rPr>
        <w:t>поврат</w:t>
      </w:r>
      <w:proofErr w:type="spellEnd"/>
      <w:r w:rsidR="00586DCE">
        <w:rPr>
          <w:lang w:val="sr-Cyrl-RS"/>
        </w:rPr>
        <w:t xml:space="preserve"> </w:t>
      </w:r>
      <w:r w:rsidR="00DD114F" w:rsidRPr="00586DCE">
        <w:rPr>
          <w:lang w:val="sr-Cyrl-RS"/>
        </w:rPr>
        <w:t xml:space="preserve">ПДВ-а од Управе за индиректно опорезивање по основу средстава МЕГ/УНДП уложених у изградњу дистрибутивног </w:t>
      </w:r>
      <w:proofErr w:type="spellStart"/>
      <w:r w:rsidR="00DD114F" w:rsidRPr="00586DCE">
        <w:rPr>
          <w:lang w:val="sr-Cyrl-RS"/>
        </w:rPr>
        <w:t>цјевовода</w:t>
      </w:r>
      <w:proofErr w:type="spellEnd"/>
      <w:r w:rsidR="00DD114F" w:rsidRPr="00586DCE">
        <w:rPr>
          <w:lang w:val="sr-Cyrl-RS"/>
        </w:rPr>
        <w:t xml:space="preserve"> за </w:t>
      </w:r>
      <w:proofErr w:type="spellStart"/>
      <w:r w:rsidR="00DD114F" w:rsidRPr="00586DCE">
        <w:rPr>
          <w:lang w:val="sr-Cyrl-RS"/>
        </w:rPr>
        <w:t>водоснабдијевање</w:t>
      </w:r>
      <w:proofErr w:type="spellEnd"/>
      <w:r w:rsidR="00DD114F" w:rsidRPr="00586DCE">
        <w:rPr>
          <w:lang w:val="sr-Cyrl-RS"/>
        </w:rPr>
        <w:t xml:space="preserve"> индустријске зоне Вијака)</w:t>
      </w:r>
      <w:r w:rsidR="007E0360" w:rsidRPr="00586DCE">
        <w:rPr>
          <w:lang w:val="sr-Cyrl-RS"/>
        </w:rPr>
        <w:t xml:space="preserve">, </w:t>
      </w:r>
    </w:p>
    <w:p w14:paraId="6B680498" w14:textId="77777777" w:rsidR="00A90562" w:rsidRPr="00586DCE" w:rsidRDefault="00DD114F" w:rsidP="00586DCE">
      <w:pPr>
        <w:pStyle w:val="Pasussalistom"/>
        <w:numPr>
          <w:ilvl w:val="0"/>
          <w:numId w:val="25"/>
        </w:numPr>
        <w:tabs>
          <w:tab w:val="right" w:leader="dot" w:pos="9214"/>
        </w:tabs>
        <w:ind w:left="1276" w:hanging="283"/>
        <w:rPr>
          <w:lang w:val="sr-Cyrl-RS"/>
        </w:rPr>
      </w:pPr>
      <w:r w:rsidRPr="00586DCE">
        <w:rPr>
          <w:lang w:val="sr-Cyrl-RS"/>
        </w:rPr>
        <w:t xml:space="preserve">примитке по основу аванса </w:t>
      </w:r>
      <w:r w:rsidR="00DA4692">
        <w:rPr>
          <w:lang w:val="sr-Cyrl-RS"/>
        </w:rPr>
        <w:t xml:space="preserve">који се затварају у сљедећој години </w:t>
      </w:r>
      <w:r w:rsidRPr="00586DCE">
        <w:rPr>
          <w:lang w:val="sr-Cyrl-RS"/>
        </w:rPr>
        <w:t>у износу од 1.098.415,10 КМ (</w:t>
      </w:r>
      <w:r w:rsidR="0019032C" w:rsidRPr="00586DCE">
        <w:rPr>
          <w:lang w:val="sr-Cyrl-RS"/>
        </w:rPr>
        <w:t>односи се на уплаћена средства по основу одлука СО-е о продаји непокретности у својини општине Прњавор, у случајевима када процедура прода</w:t>
      </w:r>
      <w:r w:rsidR="00A90562" w:rsidRPr="00586DCE">
        <w:rPr>
          <w:lang w:val="sr-Cyrl-RS"/>
        </w:rPr>
        <w:t>је није окончана у 2020. години). Н</w:t>
      </w:r>
      <w:r w:rsidR="0019032C" w:rsidRPr="00586DCE">
        <w:rPr>
          <w:lang w:val="sr-Cyrl-RS"/>
        </w:rPr>
        <w:t xml:space="preserve">ајвећи </w:t>
      </w:r>
      <w:proofErr w:type="spellStart"/>
      <w:r w:rsidR="0019032C" w:rsidRPr="00586DCE">
        <w:rPr>
          <w:lang w:val="sr-Cyrl-RS"/>
        </w:rPr>
        <w:t>дио</w:t>
      </w:r>
      <w:proofErr w:type="spellEnd"/>
      <w:r w:rsidR="0019032C" w:rsidRPr="00586DCE">
        <w:rPr>
          <w:lang w:val="sr-Cyrl-RS"/>
        </w:rPr>
        <w:t xml:space="preserve"> у износу од 1.090.000,00 КМ се односи на примитке по основу Одлуке о начину и условима продаје непокретности (</w:t>
      </w:r>
      <w:proofErr w:type="spellStart"/>
      <w:r w:rsidR="0019032C" w:rsidRPr="00586DCE">
        <w:rPr>
          <w:lang w:val="sr-Cyrl-RS"/>
        </w:rPr>
        <w:t>к.ч</w:t>
      </w:r>
      <w:proofErr w:type="spellEnd"/>
      <w:r w:rsidR="0019032C" w:rsidRPr="00586DCE">
        <w:rPr>
          <w:lang w:val="sr-Cyrl-RS"/>
        </w:rPr>
        <w:t xml:space="preserve">. бр. 429/1, 431/1, 431/2 и 432 </w:t>
      </w:r>
      <w:proofErr w:type="spellStart"/>
      <w:r w:rsidR="0019032C" w:rsidRPr="00586DCE">
        <w:rPr>
          <w:lang w:val="sr-Cyrl-RS"/>
        </w:rPr>
        <w:t>к.о</w:t>
      </w:r>
      <w:proofErr w:type="spellEnd"/>
      <w:r w:rsidR="0019032C" w:rsidRPr="00586DCE">
        <w:rPr>
          <w:lang w:val="sr-Cyrl-RS"/>
        </w:rPr>
        <w:t xml:space="preserve">. Горњи </w:t>
      </w:r>
      <w:proofErr w:type="spellStart"/>
      <w:r w:rsidR="0019032C" w:rsidRPr="00586DCE">
        <w:rPr>
          <w:lang w:val="sr-Cyrl-RS"/>
        </w:rPr>
        <w:t>Штрпци</w:t>
      </w:r>
      <w:proofErr w:type="spellEnd"/>
      <w:r w:rsidR="0019032C" w:rsidRPr="00586DCE">
        <w:rPr>
          <w:lang w:val="sr-Cyrl-RS"/>
        </w:rPr>
        <w:t xml:space="preserve">) у својини општине Прњавор </w:t>
      </w:r>
      <w:r w:rsidR="0019032C" w:rsidRPr="00586DCE">
        <w:rPr>
          <w:lang w:val="sr-Cyrl-RS"/>
        </w:rPr>
        <w:lastRenderedPageBreak/>
        <w:t>(„Службени гласник општине Прњавор“, број 36/20)</w:t>
      </w:r>
      <w:r w:rsidR="00DA4692">
        <w:rPr>
          <w:lang w:val="sr-Cyrl-RS"/>
        </w:rPr>
        <w:t>. Уплаћена средства у 2020. години у износу од 1.098.415,10 КМ ће се у 2021. години евидентирати на конту 631112 – Издаци за затварање аванса примљених у претходним годинама и</w:t>
      </w:r>
    </w:p>
    <w:p w14:paraId="1085209A" w14:textId="77777777" w:rsidR="00A90562" w:rsidRPr="00586DCE" w:rsidRDefault="0019032C" w:rsidP="00586DCE">
      <w:pPr>
        <w:pStyle w:val="Pasussalistom"/>
        <w:numPr>
          <w:ilvl w:val="0"/>
          <w:numId w:val="25"/>
        </w:numPr>
        <w:tabs>
          <w:tab w:val="right" w:leader="dot" w:pos="9214"/>
        </w:tabs>
        <w:ind w:left="1276" w:hanging="283"/>
        <w:rPr>
          <w:lang w:val="sr-Cyrl-RS"/>
        </w:rPr>
      </w:pPr>
      <w:r w:rsidRPr="00586DCE">
        <w:rPr>
          <w:lang w:val="sr-Cyrl-RS"/>
        </w:rPr>
        <w:t xml:space="preserve">примитке </w:t>
      </w:r>
      <w:r w:rsidR="00A01B4C" w:rsidRPr="00586DCE">
        <w:rPr>
          <w:lang w:val="sr-Cyrl-RS"/>
        </w:rPr>
        <w:t xml:space="preserve">од фондова обавезног социјалног осигурања по основу рефундације исплаћених нето плата за </w:t>
      </w:r>
      <w:proofErr w:type="spellStart"/>
      <w:r w:rsidR="00A01B4C" w:rsidRPr="00586DCE">
        <w:rPr>
          <w:lang w:val="sr-Cyrl-RS"/>
        </w:rPr>
        <w:t>вријеме</w:t>
      </w:r>
      <w:proofErr w:type="spellEnd"/>
      <w:r w:rsidR="00A01B4C" w:rsidRPr="00586DCE">
        <w:rPr>
          <w:lang w:val="sr-Cyrl-RS"/>
        </w:rPr>
        <w:t xml:space="preserve"> боловања и породиљског одсуства</w:t>
      </w:r>
      <w:r w:rsidRPr="00586DCE">
        <w:rPr>
          <w:lang w:val="sr-Cyrl-RS"/>
        </w:rPr>
        <w:t xml:space="preserve"> у износу од 118.202,75 КМ</w:t>
      </w:r>
      <w:r w:rsidR="00A90562" w:rsidRPr="00586DCE">
        <w:rPr>
          <w:lang w:val="sr-Cyrl-RS"/>
        </w:rPr>
        <w:t>.</w:t>
      </w:r>
    </w:p>
    <w:p w14:paraId="5E405E47" w14:textId="77777777" w:rsidR="00A90562" w:rsidRDefault="00A90562" w:rsidP="00A90562">
      <w:pPr>
        <w:tabs>
          <w:tab w:val="right" w:leader="dot" w:pos="9214"/>
        </w:tabs>
        <w:spacing w:before="120"/>
        <w:ind w:left="709" w:hanging="284"/>
        <w:rPr>
          <w:lang w:val="sr-Cyrl-RS"/>
        </w:rPr>
      </w:pPr>
      <w:r>
        <w:rPr>
          <w:lang w:val="sr-Cyrl-RS"/>
        </w:rPr>
        <w:tab/>
        <w:t>Остали издаци се односе на:</w:t>
      </w:r>
    </w:p>
    <w:p w14:paraId="666DBBAF" w14:textId="77777777" w:rsidR="00933D97" w:rsidRPr="00327958" w:rsidRDefault="00A01B4C" w:rsidP="00586DCE">
      <w:pPr>
        <w:pStyle w:val="Pasussalistom"/>
        <w:numPr>
          <w:ilvl w:val="0"/>
          <w:numId w:val="24"/>
        </w:numPr>
        <w:tabs>
          <w:tab w:val="right" w:leader="dot" w:pos="9214"/>
        </w:tabs>
        <w:ind w:left="1276" w:hanging="283"/>
        <w:rPr>
          <w:lang w:val="sr-Cyrl-RS"/>
        </w:rPr>
      </w:pPr>
      <w:r w:rsidRPr="00327958">
        <w:rPr>
          <w:lang w:val="sr-Cyrl-RS"/>
        </w:rPr>
        <w:t>издатке</w:t>
      </w:r>
      <w:r w:rsidR="00154311" w:rsidRPr="00327958">
        <w:rPr>
          <w:lang w:val="sr-Cyrl-RS"/>
        </w:rPr>
        <w:t xml:space="preserve"> по основу аванса </w:t>
      </w:r>
      <w:r w:rsidR="00197BB8" w:rsidRPr="00327958">
        <w:rPr>
          <w:lang w:val="sr-Cyrl-RS"/>
        </w:rPr>
        <w:t>у</w:t>
      </w:r>
      <w:r w:rsidR="00154311" w:rsidRPr="00327958">
        <w:rPr>
          <w:lang w:val="sr-Cyrl-RS"/>
        </w:rPr>
        <w:t xml:space="preserve"> износ</w:t>
      </w:r>
      <w:r w:rsidR="00197BB8" w:rsidRPr="00327958">
        <w:rPr>
          <w:lang w:val="sr-Cyrl-RS"/>
        </w:rPr>
        <w:t>у</w:t>
      </w:r>
      <w:r w:rsidRPr="00327958">
        <w:rPr>
          <w:lang w:val="sr-Cyrl-RS"/>
        </w:rPr>
        <w:t xml:space="preserve"> од </w:t>
      </w:r>
      <w:r w:rsidR="0054649A" w:rsidRPr="00327958">
        <w:rPr>
          <w:lang w:val="sr-Cyrl-RS"/>
        </w:rPr>
        <w:t>3.239</w:t>
      </w:r>
      <w:r w:rsidRPr="00327958">
        <w:rPr>
          <w:lang w:val="sr-Cyrl-RS"/>
        </w:rPr>
        <w:t>,00 КМ</w:t>
      </w:r>
      <w:r w:rsidR="00A93E4E">
        <w:rPr>
          <w:lang w:val="sr-Cyrl-RS"/>
        </w:rPr>
        <w:t xml:space="preserve"> (издаци по основу затварања аванса примљених у претходним годинама)</w:t>
      </w:r>
      <w:r w:rsidRPr="00327958">
        <w:rPr>
          <w:lang w:val="sr-Cyrl-RS"/>
        </w:rPr>
        <w:t xml:space="preserve">, </w:t>
      </w:r>
    </w:p>
    <w:p w14:paraId="1AC60603" w14:textId="77777777" w:rsidR="00933D97" w:rsidRPr="00327958" w:rsidRDefault="00A01B4C" w:rsidP="00586DCE">
      <w:pPr>
        <w:pStyle w:val="Pasussalistom"/>
        <w:numPr>
          <w:ilvl w:val="0"/>
          <w:numId w:val="24"/>
        </w:numPr>
        <w:tabs>
          <w:tab w:val="right" w:leader="dot" w:pos="9214"/>
        </w:tabs>
        <w:ind w:left="1276" w:hanging="283"/>
        <w:rPr>
          <w:lang w:val="sr-Cyrl-RS"/>
        </w:rPr>
      </w:pPr>
      <w:r w:rsidRPr="00327958">
        <w:rPr>
          <w:lang w:val="sr-Cyrl-RS"/>
        </w:rPr>
        <w:t xml:space="preserve">издатке по основу </w:t>
      </w:r>
      <w:proofErr w:type="spellStart"/>
      <w:r w:rsidRPr="00327958">
        <w:rPr>
          <w:lang w:val="sr-Cyrl-RS"/>
        </w:rPr>
        <w:t>поврата</w:t>
      </w:r>
      <w:proofErr w:type="spellEnd"/>
      <w:r w:rsidRPr="00327958">
        <w:rPr>
          <w:lang w:val="sr-Cyrl-RS"/>
        </w:rPr>
        <w:t xml:space="preserve">/прекњижавања јавних прихода наплаћених у ранијим годинама по </w:t>
      </w:r>
      <w:proofErr w:type="spellStart"/>
      <w:r w:rsidRPr="00327958">
        <w:rPr>
          <w:lang w:val="sr-Cyrl-RS"/>
        </w:rPr>
        <w:t>р</w:t>
      </w:r>
      <w:r w:rsidR="00154311" w:rsidRPr="00327958">
        <w:rPr>
          <w:lang w:val="sr-Cyrl-RS"/>
        </w:rPr>
        <w:t>јешењима</w:t>
      </w:r>
      <w:proofErr w:type="spellEnd"/>
      <w:r w:rsidR="00154311" w:rsidRPr="00327958">
        <w:rPr>
          <w:lang w:val="sr-Cyrl-RS"/>
        </w:rPr>
        <w:t xml:space="preserve"> Пореске управе </w:t>
      </w:r>
      <w:r w:rsidR="00197BB8" w:rsidRPr="00327958">
        <w:rPr>
          <w:lang w:val="sr-Cyrl-RS"/>
        </w:rPr>
        <w:t xml:space="preserve">у </w:t>
      </w:r>
      <w:r w:rsidR="00154311" w:rsidRPr="00327958">
        <w:rPr>
          <w:lang w:val="sr-Cyrl-RS"/>
        </w:rPr>
        <w:t>износ</w:t>
      </w:r>
      <w:r w:rsidR="00A93E4E">
        <w:rPr>
          <w:lang w:val="sr-Cyrl-RS"/>
        </w:rPr>
        <w:t>у</w:t>
      </w:r>
      <w:r w:rsidRPr="00327958">
        <w:rPr>
          <w:lang w:val="sr-Cyrl-RS"/>
        </w:rPr>
        <w:t xml:space="preserve"> од </w:t>
      </w:r>
      <w:r w:rsidR="00154311" w:rsidRPr="00327958">
        <w:rPr>
          <w:lang w:val="sr-Cyrl-RS"/>
        </w:rPr>
        <w:t>2.</w:t>
      </w:r>
      <w:r w:rsidR="00197BB8" w:rsidRPr="00327958">
        <w:rPr>
          <w:lang w:val="sr-Cyrl-RS"/>
        </w:rPr>
        <w:t>694,11</w:t>
      </w:r>
      <w:r w:rsidR="00154311" w:rsidRPr="00327958">
        <w:rPr>
          <w:lang w:val="sr-Cyrl-RS"/>
        </w:rPr>
        <w:t xml:space="preserve"> КМ,</w:t>
      </w:r>
      <w:r w:rsidR="00DD114F" w:rsidRPr="00327958">
        <w:rPr>
          <w:lang w:val="sr-Cyrl-RS"/>
        </w:rPr>
        <w:t xml:space="preserve"> </w:t>
      </w:r>
    </w:p>
    <w:p w14:paraId="39E167F9" w14:textId="77777777" w:rsidR="00933D97" w:rsidRPr="00327958" w:rsidRDefault="00A01B4C" w:rsidP="00586DCE">
      <w:pPr>
        <w:pStyle w:val="Pasussalistom"/>
        <w:numPr>
          <w:ilvl w:val="0"/>
          <w:numId w:val="24"/>
        </w:numPr>
        <w:tabs>
          <w:tab w:val="right" w:leader="dot" w:pos="9214"/>
        </w:tabs>
        <w:ind w:left="1276" w:hanging="283"/>
        <w:rPr>
          <w:lang w:val="sr-Cyrl-RS"/>
        </w:rPr>
      </w:pPr>
      <w:r w:rsidRPr="00327958">
        <w:rPr>
          <w:lang w:val="sr-Cyrl-RS"/>
        </w:rPr>
        <w:t xml:space="preserve">издатке за накнаде плата за породиљско одсуство и за </w:t>
      </w:r>
      <w:proofErr w:type="spellStart"/>
      <w:r w:rsidRPr="00327958">
        <w:rPr>
          <w:lang w:val="sr-Cyrl-RS"/>
        </w:rPr>
        <w:t>вријеме</w:t>
      </w:r>
      <w:proofErr w:type="spellEnd"/>
      <w:r w:rsidRPr="00327958">
        <w:rPr>
          <w:lang w:val="sr-Cyrl-RS"/>
        </w:rPr>
        <w:t xml:space="preserve"> боловања који се рефундирају од фондова </w:t>
      </w:r>
      <w:r w:rsidR="00154311" w:rsidRPr="00327958">
        <w:rPr>
          <w:lang w:val="sr-Cyrl-RS"/>
        </w:rPr>
        <w:t xml:space="preserve">обавезног социјалног осигурања </w:t>
      </w:r>
      <w:r w:rsidR="00197BB8" w:rsidRPr="00327958">
        <w:rPr>
          <w:lang w:val="sr-Cyrl-RS"/>
        </w:rPr>
        <w:t xml:space="preserve">у </w:t>
      </w:r>
      <w:r w:rsidR="00154311" w:rsidRPr="00327958">
        <w:rPr>
          <w:lang w:val="sr-Cyrl-RS"/>
        </w:rPr>
        <w:t>износ</w:t>
      </w:r>
      <w:r w:rsidR="00197BB8" w:rsidRPr="00327958">
        <w:rPr>
          <w:lang w:val="sr-Cyrl-RS"/>
        </w:rPr>
        <w:t>у</w:t>
      </w:r>
      <w:r w:rsidR="00933D97" w:rsidRPr="00327958">
        <w:rPr>
          <w:lang w:val="sr-Cyrl-RS"/>
        </w:rPr>
        <w:t xml:space="preserve"> од</w:t>
      </w:r>
      <w:r w:rsidR="00197BB8" w:rsidRPr="00327958">
        <w:rPr>
          <w:lang w:val="sr-Cyrl-RS"/>
        </w:rPr>
        <w:t xml:space="preserve"> </w:t>
      </w:r>
      <w:r w:rsidR="00586DCE">
        <w:rPr>
          <w:lang w:val="sr-Cyrl-RS"/>
        </w:rPr>
        <w:t xml:space="preserve">     </w:t>
      </w:r>
      <w:r w:rsidR="00197BB8" w:rsidRPr="00327958">
        <w:rPr>
          <w:lang w:val="sr-Cyrl-RS"/>
        </w:rPr>
        <w:t>160.833,92</w:t>
      </w:r>
      <w:r w:rsidR="00154311" w:rsidRPr="00327958">
        <w:rPr>
          <w:lang w:val="sr-Cyrl-RS"/>
        </w:rPr>
        <w:t xml:space="preserve"> КМ</w:t>
      </w:r>
      <w:r w:rsidR="00586DCE">
        <w:rPr>
          <w:lang w:val="sr-Cyrl-RS"/>
        </w:rPr>
        <w:t xml:space="preserve"> и</w:t>
      </w:r>
    </w:p>
    <w:p w14:paraId="175E8EDB" w14:textId="77777777" w:rsidR="00933D97" w:rsidRPr="00327958" w:rsidRDefault="00154311" w:rsidP="00586DCE">
      <w:pPr>
        <w:pStyle w:val="Pasussalistom"/>
        <w:numPr>
          <w:ilvl w:val="0"/>
          <w:numId w:val="24"/>
        </w:numPr>
        <w:tabs>
          <w:tab w:val="right" w:leader="dot" w:pos="9214"/>
        </w:tabs>
        <w:ind w:left="1276" w:hanging="283"/>
        <w:rPr>
          <w:lang w:val="sr-Cyrl-RS"/>
        </w:rPr>
      </w:pPr>
      <w:r w:rsidRPr="00327958">
        <w:rPr>
          <w:lang w:val="sr-Cyrl-RS"/>
        </w:rPr>
        <w:t xml:space="preserve">издатке </w:t>
      </w:r>
      <w:r w:rsidR="00F54CE8" w:rsidRPr="00327958">
        <w:rPr>
          <w:lang w:val="sr-Cyrl-RS"/>
        </w:rPr>
        <w:t>који се односе на</w:t>
      </w:r>
      <w:r w:rsidR="00A93E4E">
        <w:rPr>
          <w:lang w:val="sr-Cyrl-RS"/>
        </w:rPr>
        <w:t xml:space="preserve"> </w:t>
      </w:r>
      <w:r w:rsidR="00F54CE8" w:rsidRPr="00327958">
        <w:rPr>
          <w:lang w:val="sr-Cyrl-RS"/>
        </w:rPr>
        <w:t>рефундацију прихода по основу књ</w:t>
      </w:r>
      <w:r w:rsidRPr="00327958">
        <w:rPr>
          <w:lang w:val="sr-Cyrl-RS"/>
        </w:rPr>
        <w:t xml:space="preserve">ижних </w:t>
      </w:r>
      <w:proofErr w:type="spellStart"/>
      <w:r w:rsidRPr="00327958">
        <w:rPr>
          <w:lang w:val="sr-Cyrl-RS"/>
        </w:rPr>
        <w:t>обавјештења</w:t>
      </w:r>
      <w:proofErr w:type="spellEnd"/>
      <w:r w:rsidRPr="00327958">
        <w:rPr>
          <w:lang w:val="sr-Cyrl-RS"/>
        </w:rPr>
        <w:t xml:space="preserve"> </w:t>
      </w:r>
      <w:r w:rsidR="00327958" w:rsidRPr="00327958">
        <w:rPr>
          <w:lang w:val="sr-Cyrl-RS"/>
        </w:rPr>
        <w:t xml:space="preserve"> </w:t>
      </w:r>
      <w:r w:rsidRPr="00327958">
        <w:rPr>
          <w:lang w:val="sr-Cyrl-RS"/>
        </w:rPr>
        <w:t xml:space="preserve">добијених од Пореске управе </w:t>
      </w:r>
      <w:r w:rsidR="00197BB8" w:rsidRPr="00327958">
        <w:rPr>
          <w:lang w:val="sr-Cyrl-RS"/>
        </w:rPr>
        <w:t xml:space="preserve">у </w:t>
      </w:r>
      <w:r w:rsidRPr="00327958">
        <w:rPr>
          <w:lang w:val="sr-Cyrl-RS"/>
        </w:rPr>
        <w:t>износ</w:t>
      </w:r>
      <w:r w:rsidR="00197BB8" w:rsidRPr="00327958">
        <w:rPr>
          <w:lang w:val="sr-Cyrl-RS"/>
        </w:rPr>
        <w:t>у</w:t>
      </w:r>
      <w:r w:rsidRPr="00327958">
        <w:rPr>
          <w:lang w:val="sr-Cyrl-RS"/>
        </w:rPr>
        <w:t xml:space="preserve"> од 5,76 КМ.</w:t>
      </w:r>
      <w:r w:rsidR="00A01B4C" w:rsidRPr="00327958">
        <w:rPr>
          <w:lang w:val="sr-Cyrl-RS"/>
        </w:rPr>
        <w:t xml:space="preserve"> </w:t>
      </w:r>
    </w:p>
    <w:p w14:paraId="219B2168" w14:textId="77777777" w:rsidR="00933D97" w:rsidRDefault="00933D97" w:rsidP="00933D97">
      <w:pPr>
        <w:tabs>
          <w:tab w:val="right" w:leader="dot" w:pos="9214"/>
        </w:tabs>
        <w:ind w:left="993" w:hanging="284"/>
        <w:rPr>
          <w:lang w:val="sr-Cyrl-RS"/>
        </w:rPr>
      </w:pPr>
    </w:p>
    <w:p w14:paraId="575D4EF3" w14:textId="77777777" w:rsidR="00A01B4C" w:rsidRDefault="00A01B4C" w:rsidP="00933D97">
      <w:pPr>
        <w:ind w:left="0" w:firstLine="709"/>
      </w:pPr>
      <w:r w:rsidRPr="00933D97">
        <w:t>Важно је напоменути да се евидентирање осталих примитака и издатака врши на готовинском основу, те да су у јануару 2020. године наплаћена потраживања од Фонда здравственог осигурања РС из ранијих година у износу од</w:t>
      </w:r>
      <w:r w:rsidR="00DD114F" w:rsidRPr="00933D97">
        <w:t xml:space="preserve"> </w:t>
      </w:r>
      <w:r w:rsidRPr="00933D97">
        <w:t xml:space="preserve">36.306,18 КМ, која се односе на рефундацију исплаћених нето плата за </w:t>
      </w:r>
      <w:proofErr w:type="spellStart"/>
      <w:r w:rsidRPr="00933D97">
        <w:t>вр</w:t>
      </w:r>
      <w:r w:rsidR="00197BB8" w:rsidRPr="00933D97">
        <w:t>ијеме</w:t>
      </w:r>
      <w:proofErr w:type="spellEnd"/>
      <w:r w:rsidR="00197BB8" w:rsidRPr="00933D97">
        <w:t xml:space="preserve"> боловања дужег од 30 дана</w:t>
      </w:r>
      <w:r w:rsidRPr="00933D97">
        <w:t xml:space="preserve"> </w:t>
      </w:r>
      <w:r w:rsidR="00197BB8" w:rsidRPr="00933D97">
        <w:t>за</w:t>
      </w:r>
      <w:r w:rsidRPr="00933D97">
        <w:t xml:space="preserve"> период од децембра 2017. године до октобра 2019. године.</w:t>
      </w:r>
    </w:p>
    <w:p w14:paraId="31AA94A6" w14:textId="77777777" w:rsidR="00586DCE" w:rsidRPr="00933D97" w:rsidRDefault="00586DCE" w:rsidP="00933D97">
      <w:pPr>
        <w:ind w:left="0" w:firstLine="709"/>
      </w:pPr>
    </w:p>
    <w:p w14:paraId="78156C02" w14:textId="77777777" w:rsidR="00A01B4C" w:rsidRDefault="00A01B4C" w:rsidP="00A01B4C">
      <w:pPr>
        <w:ind w:left="0" w:firstLine="0"/>
        <w:rPr>
          <w:lang w:val="sr-Cyrl-RS"/>
        </w:rPr>
      </w:pPr>
      <w:r w:rsidRPr="00FF7418">
        <w:tab/>
        <w:t xml:space="preserve">Реализована средства по основу </w:t>
      </w:r>
      <w:proofErr w:type="spellStart"/>
      <w:r w:rsidRPr="00586DCE">
        <w:rPr>
          <w:b/>
        </w:rPr>
        <w:t>расподјеле</w:t>
      </w:r>
      <w:proofErr w:type="spellEnd"/>
      <w:r w:rsidRPr="00586DCE">
        <w:rPr>
          <w:b/>
        </w:rPr>
        <w:t xml:space="preserve"> суфицита из ранијег периода</w:t>
      </w:r>
      <w:r w:rsidRPr="00FF7418">
        <w:t xml:space="preserve"> у износу од </w:t>
      </w:r>
      <w:r w:rsidR="00197BB8">
        <w:rPr>
          <w:lang w:val="sr-Cyrl-RS"/>
        </w:rPr>
        <w:t>203.081,97</w:t>
      </w:r>
      <w:r w:rsidRPr="00FF7418">
        <w:t xml:space="preserve"> КМ односе се на утрошена пренесена </w:t>
      </w:r>
      <w:proofErr w:type="spellStart"/>
      <w:r w:rsidRPr="00FF7418">
        <w:t>намјенска</w:t>
      </w:r>
      <w:proofErr w:type="spellEnd"/>
      <w:r w:rsidRPr="00FF7418">
        <w:t xml:space="preserve"> средства из ранијих година, и то </w:t>
      </w:r>
      <w:r w:rsidR="0054649A">
        <w:t xml:space="preserve">средства од посебних накнада за воде у износу од </w:t>
      </w:r>
      <w:r w:rsidR="001A023A">
        <w:t>79.000,00</w:t>
      </w:r>
      <w:r w:rsidR="0054649A">
        <w:t xml:space="preserve"> КМ</w:t>
      </w:r>
      <w:r w:rsidR="00AE4709">
        <w:t xml:space="preserve">, </w:t>
      </w:r>
      <w:r w:rsidRPr="00FF7418">
        <w:t xml:space="preserve">средства за финансирање посебних </w:t>
      </w:r>
      <w:proofErr w:type="spellStart"/>
      <w:r w:rsidRPr="00FF7418">
        <w:t>мјера</w:t>
      </w:r>
      <w:proofErr w:type="spellEnd"/>
      <w:r w:rsidRPr="00FF7418">
        <w:t xml:space="preserve"> заштите од пожара</w:t>
      </w:r>
      <w:r w:rsidR="0054649A">
        <w:t xml:space="preserve"> у износу од 60.000,00 КМ</w:t>
      </w:r>
      <w:r w:rsidR="00197BB8">
        <w:rPr>
          <w:lang w:val="sr-Cyrl-RS"/>
        </w:rPr>
        <w:t>,</w:t>
      </w:r>
      <w:r w:rsidR="0054649A">
        <w:t xml:space="preserve"> трансфер Републичког </w:t>
      </w:r>
      <w:proofErr w:type="spellStart"/>
      <w:r w:rsidR="0054649A">
        <w:t>секретеријата</w:t>
      </w:r>
      <w:proofErr w:type="spellEnd"/>
      <w:r w:rsidR="0054649A">
        <w:t xml:space="preserve"> за расељена лица и миграције из 2019. године за изградњу улице Милана </w:t>
      </w:r>
      <w:proofErr w:type="spellStart"/>
      <w:r w:rsidR="0054649A">
        <w:t>Тепића</w:t>
      </w:r>
      <w:proofErr w:type="spellEnd"/>
      <w:r w:rsidR="0054649A">
        <w:t xml:space="preserve"> у износу од 50.000,00 КМ</w:t>
      </w:r>
      <w:r w:rsidR="00197BB8">
        <w:t xml:space="preserve"> и </w:t>
      </w:r>
      <w:proofErr w:type="spellStart"/>
      <w:r w:rsidR="00197BB8">
        <w:t>грант</w:t>
      </w:r>
      <w:proofErr w:type="spellEnd"/>
      <w:r w:rsidR="00197BB8">
        <w:t xml:space="preserve"> </w:t>
      </w:r>
      <w:proofErr w:type="spellStart"/>
      <w:r w:rsidR="00197BB8">
        <w:t>Савјета</w:t>
      </w:r>
      <w:proofErr w:type="spellEnd"/>
      <w:r w:rsidR="00197BB8">
        <w:t xml:space="preserve"> Европе </w:t>
      </w:r>
      <w:r w:rsidR="00197BB8">
        <w:rPr>
          <w:lang w:val="sr-Cyrl-RS"/>
        </w:rPr>
        <w:t xml:space="preserve">из 2019. године </w:t>
      </w:r>
      <w:r w:rsidR="00197BB8" w:rsidRPr="00197BB8">
        <w:t>за изградњу канализационе мреже по пројекту  "ROMACTED"</w:t>
      </w:r>
      <w:r w:rsidR="00197BB8">
        <w:rPr>
          <w:lang w:val="sr-Cyrl-RS"/>
        </w:rPr>
        <w:t xml:space="preserve"> у износу од 14.081,97 КМ.</w:t>
      </w:r>
    </w:p>
    <w:p w14:paraId="68DD8268" w14:textId="77777777" w:rsidR="00E312F9" w:rsidRDefault="00E312F9" w:rsidP="00A01B4C">
      <w:pPr>
        <w:ind w:left="0" w:firstLine="0"/>
        <w:rPr>
          <w:lang w:val="sr-Cyrl-RS"/>
        </w:rPr>
      </w:pPr>
    </w:p>
    <w:p w14:paraId="14E0CF63" w14:textId="77777777" w:rsidR="00E312F9" w:rsidRDefault="00E312F9" w:rsidP="00A01B4C">
      <w:pPr>
        <w:ind w:left="0" w:firstLine="0"/>
        <w:rPr>
          <w:lang w:val="sr-Cyrl-RS"/>
        </w:rPr>
      </w:pPr>
    </w:p>
    <w:p w14:paraId="0F80C942" w14:textId="77777777" w:rsidR="00E312F9" w:rsidRDefault="00E312F9" w:rsidP="00A01B4C">
      <w:pPr>
        <w:ind w:left="0" w:firstLine="0"/>
        <w:rPr>
          <w:lang w:val="sr-Cyrl-RS"/>
        </w:rPr>
      </w:pPr>
    </w:p>
    <w:p w14:paraId="5AB5969B" w14:textId="77777777" w:rsidR="00E312F9" w:rsidRDefault="00E312F9" w:rsidP="00A01B4C">
      <w:pPr>
        <w:ind w:left="0" w:firstLine="0"/>
        <w:rPr>
          <w:lang w:val="sr-Cyrl-RS"/>
        </w:rPr>
      </w:pPr>
    </w:p>
    <w:p w14:paraId="035FA9E7" w14:textId="77777777" w:rsidR="00E312F9" w:rsidRDefault="00E312F9" w:rsidP="00A01B4C">
      <w:pPr>
        <w:ind w:left="0" w:firstLine="0"/>
        <w:rPr>
          <w:lang w:val="sr-Cyrl-RS"/>
        </w:rPr>
      </w:pPr>
    </w:p>
    <w:p w14:paraId="0805C47C" w14:textId="77777777" w:rsidR="00E312F9" w:rsidRPr="00197BB8" w:rsidRDefault="00E312F9" w:rsidP="00A01B4C">
      <w:pPr>
        <w:ind w:left="0" w:firstLine="0"/>
        <w:rPr>
          <w:lang w:val="sr-Cyrl-RS"/>
        </w:rPr>
      </w:pPr>
    </w:p>
    <w:p w14:paraId="604F7A0C" w14:textId="77777777" w:rsidR="00996840" w:rsidRDefault="00996840" w:rsidP="00912AF6">
      <w:pPr>
        <w:ind w:left="0" w:firstLine="0"/>
        <w:rPr>
          <w:lang w:val="sr-Cyrl-BA"/>
        </w:rPr>
      </w:pPr>
    </w:p>
    <w:p w14:paraId="640A169E" w14:textId="77777777" w:rsidR="003F1B50" w:rsidRDefault="003F1B50" w:rsidP="003F1B50">
      <w:pPr>
        <w:pStyle w:val="Podnaslovi1"/>
        <w:jc w:val="left"/>
        <w:rPr>
          <w:sz w:val="24"/>
          <w:szCs w:val="24"/>
        </w:rPr>
      </w:pPr>
      <w:r>
        <w:rPr>
          <w:sz w:val="24"/>
          <w:szCs w:val="24"/>
        </w:rPr>
        <w:tab/>
      </w:r>
      <w:bookmarkStart w:id="82" w:name="_Toc530745893"/>
      <w:bookmarkStart w:id="83" w:name="_Toc50641210"/>
      <w:r w:rsidR="00A90040" w:rsidRPr="003F1B50">
        <w:rPr>
          <w:sz w:val="24"/>
          <w:szCs w:val="24"/>
        </w:rPr>
        <w:t>3.</w:t>
      </w:r>
      <w:r w:rsidRPr="003F1B50">
        <w:rPr>
          <w:sz w:val="24"/>
          <w:szCs w:val="24"/>
        </w:rPr>
        <w:t>1.</w:t>
      </w:r>
      <w:r w:rsidR="00A90040" w:rsidRPr="003F1B50">
        <w:rPr>
          <w:sz w:val="24"/>
          <w:szCs w:val="24"/>
        </w:rPr>
        <w:t xml:space="preserve">5. </w:t>
      </w:r>
      <w:r w:rsidR="008C238F" w:rsidRPr="003F1B50">
        <w:rPr>
          <w:sz w:val="24"/>
          <w:szCs w:val="24"/>
        </w:rPr>
        <w:t>БУЏЕТСКИ ИЗДАЦИ ПО КОРИСНИЦИМА</w:t>
      </w:r>
      <w:bookmarkStart w:id="84" w:name="_Toc491329741"/>
      <w:bookmarkEnd w:id="82"/>
      <w:bookmarkEnd w:id="83"/>
    </w:p>
    <w:p w14:paraId="721299B1" w14:textId="77777777" w:rsidR="008C238F" w:rsidRPr="003F1B50" w:rsidRDefault="00B45B2B" w:rsidP="003F1B50">
      <w:pPr>
        <w:pStyle w:val="Podnaslovi1"/>
        <w:spacing w:before="0"/>
        <w:jc w:val="left"/>
        <w:rPr>
          <w:sz w:val="24"/>
          <w:szCs w:val="24"/>
        </w:rPr>
      </w:pPr>
      <w:bookmarkStart w:id="85" w:name="_Toc530745894"/>
      <w:bookmarkStart w:id="86" w:name="_Toc50641211"/>
      <w:r>
        <w:rPr>
          <w:sz w:val="24"/>
          <w:szCs w:val="24"/>
          <w:lang w:val="sr-Cyrl-RS"/>
        </w:rPr>
        <w:t xml:space="preserve">                     </w:t>
      </w:r>
      <w:r w:rsidR="008C238F" w:rsidRPr="003F1B50">
        <w:rPr>
          <w:sz w:val="24"/>
          <w:szCs w:val="24"/>
        </w:rPr>
        <w:t>– ОРГАНИЗАЦИОНА КЛАСИФИКАЦИЈА</w:t>
      </w:r>
      <w:bookmarkEnd w:id="84"/>
      <w:bookmarkEnd w:id="85"/>
      <w:bookmarkEnd w:id="86"/>
    </w:p>
    <w:p w14:paraId="4E9F0387" w14:textId="77777777" w:rsidR="008C238F" w:rsidRDefault="008C238F" w:rsidP="00044BE1">
      <w:pPr>
        <w:tabs>
          <w:tab w:val="left" w:pos="5103"/>
        </w:tabs>
        <w:ind w:left="0" w:firstLine="0"/>
        <w:jc w:val="left"/>
        <w:rPr>
          <w:b/>
          <w:i/>
        </w:rPr>
      </w:pPr>
    </w:p>
    <w:p w14:paraId="45571EFF" w14:textId="77777777" w:rsidR="00522DF9" w:rsidRDefault="008C238F" w:rsidP="001A023A">
      <w:pPr>
        <w:ind w:left="0" w:firstLine="720"/>
      </w:pPr>
      <w:r>
        <w:t>Скраћени преглед буџетске потрошње по организацион</w:t>
      </w:r>
      <w:r w:rsidR="00ED4F84">
        <w:t xml:space="preserve">им </w:t>
      </w:r>
      <w:r w:rsidR="00B45B2B">
        <w:t>јединицама у периоду 01.01-31.12</w:t>
      </w:r>
      <w:r>
        <w:t>.</w:t>
      </w:r>
      <w:r w:rsidR="00AE4709">
        <w:t>2020</w:t>
      </w:r>
      <w:r>
        <w:t xml:space="preserve">. године дат је у следећем табеларном прегледу, </w:t>
      </w:r>
      <w:proofErr w:type="spellStart"/>
      <w:r>
        <w:t>гдје</w:t>
      </w:r>
      <w:proofErr w:type="spellEnd"/>
      <w:r>
        <w:t xml:space="preserve"> су приказани усвојени</w:t>
      </w:r>
      <w:r w:rsidR="00B45B2B">
        <w:rPr>
          <w:lang w:val="sr-Cyrl-RS"/>
        </w:rPr>
        <w:t xml:space="preserve"> ребаланс</w:t>
      </w:r>
      <w:r>
        <w:t xml:space="preserve"> </w:t>
      </w:r>
      <w:r w:rsidR="00AE4709">
        <w:t>буџет</w:t>
      </w:r>
      <w:r w:rsidR="00B45B2B">
        <w:rPr>
          <w:lang w:val="sr-Cyrl-RS"/>
        </w:rPr>
        <w:t xml:space="preserve">а </w:t>
      </w:r>
      <w:r w:rsidR="00AE4709">
        <w:t>за 2020</w:t>
      </w:r>
      <w:r>
        <w:t xml:space="preserve">. годину, </w:t>
      </w:r>
      <w:r w:rsidR="00B45B2B">
        <w:rPr>
          <w:lang w:val="sr-Cyrl-RS"/>
        </w:rPr>
        <w:t>ребаланс</w:t>
      </w:r>
      <w:r w:rsidR="00AE4709" w:rsidRPr="00FF7418">
        <w:t xml:space="preserve"> са извршеним </w:t>
      </w:r>
      <w:proofErr w:type="spellStart"/>
      <w:r w:rsidR="00AE4709" w:rsidRPr="00FF7418">
        <w:t>реалокац</w:t>
      </w:r>
      <w:r w:rsidR="00881588">
        <w:t>ијама</w:t>
      </w:r>
      <w:proofErr w:type="spellEnd"/>
      <w:r w:rsidR="00AE4709" w:rsidRPr="00FF7418">
        <w:t xml:space="preserve">, оперативни </w:t>
      </w:r>
      <w:r w:rsidR="00AE4709">
        <w:t>буџет за пер</w:t>
      </w:r>
      <w:r w:rsidR="00B45B2B">
        <w:t>иод 01.01-31.12</w:t>
      </w:r>
      <w:r w:rsidR="00AE4709" w:rsidRPr="00FF7418">
        <w:t>.2020. године и извршење буџета по организационим јединицама з</w:t>
      </w:r>
      <w:r w:rsidR="00B45B2B">
        <w:t>а период 01.01-31.12</w:t>
      </w:r>
      <w:r w:rsidR="00AE4709" w:rsidRPr="00FF7418">
        <w:t>.2020. године</w:t>
      </w:r>
      <w:r w:rsidR="00AE4709">
        <w:t xml:space="preserve">. </w:t>
      </w:r>
    </w:p>
    <w:p w14:paraId="3A4CE505" w14:textId="77777777" w:rsidR="00522DF9" w:rsidRDefault="00522DF9" w:rsidP="00D631C3">
      <w:pPr>
        <w:ind w:left="0" w:firstLine="0"/>
      </w:pPr>
    </w:p>
    <w:p w14:paraId="32FAB620" w14:textId="77777777" w:rsidR="00D960EE" w:rsidRDefault="00586DCE" w:rsidP="00622C31">
      <w:pPr>
        <w:ind w:left="0" w:firstLine="0"/>
        <w:jc w:val="center"/>
      </w:pPr>
      <w:r>
        <w:t>Табела бр. 12</w:t>
      </w:r>
      <w:r w:rsidR="00D960EE">
        <w:t>. Извршење буџета по организационим јединицама</w:t>
      </w:r>
    </w:p>
    <w:p w14:paraId="5729C423" w14:textId="77777777" w:rsidR="00D960EE" w:rsidRDefault="00B45B2B" w:rsidP="00622C31">
      <w:pPr>
        <w:ind w:left="0" w:firstLine="0"/>
        <w:jc w:val="center"/>
      </w:pPr>
      <w:r>
        <w:t>за период 01.01-31.12</w:t>
      </w:r>
      <w:r w:rsidR="00AE4709">
        <w:t>.2020</w:t>
      </w:r>
      <w:r w:rsidR="00D960EE">
        <w:t>. године</w:t>
      </w:r>
    </w:p>
    <w:tbl>
      <w:tblPr>
        <w:tblW w:w="9930" w:type="dxa"/>
        <w:tblInd w:w="-34" w:type="dxa"/>
        <w:tblLook w:val="04A0" w:firstRow="1" w:lastRow="0" w:firstColumn="1" w:lastColumn="0" w:noHBand="0" w:noVBand="1"/>
      </w:tblPr>
      <w:tblGrid>
        <w:gridCol w:w="579"/>
        <w:gridCol w:w="3519"/>
        <w:gridCol w:w="1418"/>
        <w:gridCol w:w="1598"/>
        <w:gridCol w:w="1450"/>
        <w:gridCol w:w="1366"/>
      </w:tblGrid>
      <w:tr w:rsidR="000E49F6" w:rsidRPr="000E49F6" w14:paraId="3B8A85FF" w14:textId="77777777" w:rsidTr="00871384">
        <w:trPr>
          <w:cantSplit/>
          <w:trHeight w:val="960"/>
          <w:tblHeader/>
        </w:trPr>
        <w:tc>
          <w:tcPr>
            <w:tcW w:w="579"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78565CBC" w14:textId="77777777" w:rsidR="000E49F6" w:rsidRPr="000E49F6" w:rsidRDefault="000E49F6" w:rsidP="000E49F6">
            <w:pPr>
              <w:ind w:left="0" w:right="0" w:firstLine="0"/>
              <w:jc w:val="center"/>
              <w:rPr>
                <w:b/>
                <w:bCs/>
                <w:sz w:val="20"/>
                <w:szCs w:val="20"/>
                <w:lang w:val="sr-Latn-RS" w:eastAsia="sr-Latn-RS"/>
              </w:rPr>
            </w:pPr>
            <w:proofErr w:type="spellStart"/>
            <w:r w:rsidRPr="000E49F6">
              <w:rPr>
                <w:b/>
                <w:bCs/>
                <w:sz w:val="20"/>
                <w:szCs w:val="20"/>
                <w:lang w:val="sr-Latn-RS" w:eastAsia="sr-Latn-RS"/>
              </w:rPr>
              <w:lastRenderedPageBreak/>
              <w:t>Ред</w:t>
            </w:r>
            <w:proofErr w:type="spellEnd"/>
            <w:r w:rsidRPr="000E49F6">
              <w:rPr>
                <w:b/>
                <w:bCs/>
                <w:sz w:val="20"/>
                <w:szCs w:val="20"/>
                <w:lang w:val="sr-Latn-RS" w:eastAsia="sr-Latn-RS"/>
              </w:rPr>
              <w:t xml:space="preserve">. </w:t>
            </w:r>
            <w:proofErr w:type="spellStart"/>
            <w:r w:rsidRPr="000E49F6">
              <w:rPr>
                <w:b/>
                <w:bCs/>
                <w:sz w:val="20"/>
                <w:szCs w:val="20"/>
                <w:lang w:val="sr-Latn-RS" w:eastAsia="sr-Latn-RS"/>
              </w:rPr>
              <w:t>бр</w:t>
            </w:r>
            <w:proofErr w:type="spellEnd"/>
            <w:r w:rsidRPr="000E49F6">
              <w:rPr>
                <w:b/>
                <w:bCs/>
                <w:sz w:val="20"/>
                <w:szCs w:val="20"/>
                <w:lang w:val="sr-Latn-RS" w:eastAsia="sr-Latn-RS"/>
              </w:rPr>
              <w:t>.</w:t>
            </w:r>
          </w:p>
        </w:tc>
        <w:tc>
          <w:tcPr>
            <w:tcW w:w="3532"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14:paraId="24309953" w14:textId="77777777" w:rsidR="000E49F6" w:rsidRPr="000E49F6" w:rsidRDefault="000E49F6" w:rsidP="000E49F6">
            <w:pPr>
              <w:ind w:left="0" w:right="0" w:firstLine="0"/>
              <w:jc w:val="center"/>
              <w:rPr>
                <w:b/>
                <w:bCs/>
                <w:sz w:val="20"/>
                <w:szCs w:val="20"/>
                <w:lang w:val="sr-Latn-RS" w:eastAsia="sr-Latn-RS"/>
              </w:rPr>
            </w:pPr>
            <w:proofErr w:type="spellStart"/>
            <w:r w:rsidRPr="000E49F6">
              <w:rPr>
                <w:b/>
                <w:bCs/>
                <w:sz w:val="20"/>
                <w:szCs w:val="20"/>
                <w:lang w:val="sr-Latn-RS" w:eastAsia="sr-Latn-RS"/>
              </w:rPr>
              <w:t>Назив</w:t>
            </w:r>
            <w:proofErr w:type="spellEnd"/>
            <w:r w:rsidRPr="000E49F6">
              <w:rPr>
                <w:b/>
                <w:bCs/>
                <w:sz w:val="20"/>
                <w:szCs w:val="20"/>
                <w:lang w:val="sr-Latn-RS" w:eastAsia="sr-Latn-RS"/>
              </w:rPr>
              <w:t xml:space="preserve"> </w:t>
            </w:r>
            <w:proofErr w:type="spellStart"/>
            <w:r w:rsidRPr="000E49F6">
              <w:rPr>
                <w:b/>
                <w:bCs/>
                <w:sz w:val="20"/>
                <w:szCs w:val="20"/>
                <w:lang w:val="sr-Latn-RS" w:eastAsia="sr-Latn-RS"/>
              </w:rPr>
              <w:t>потрошачке</w:t>
            </w:r>
            <w:proofErr w:type="spellEnd"/>
            <w:r w:rsidRPr="000E49F6">
              <w:rPr>
                <w:b/>
                <w:bCs/>
                <w:sz w:val="20"/>
                <w:szCs w:val="20"/>
                <w:lang w:val="sr-Latn-RS" w:eastAsia="sr-Latn-RS"/>
              </w:rPr>
              <w:t xml:space="preserve"> </w:t>
            </w:r>
            <w:proofErr w:type="spellStart"/>
            <w:r w:rsidRPr="000E49F6">
              <w:rPr>
                <w:b/>
                <w:bCs/>
                <w:sz w:val="20"/>
                <w:szCs w:val="20"/>
                <w:lang w:val="sr-Latn-RS" w:eastAsia="sr-Latn-RS"/>
              </w:rPr>
              <w:t>јединице</w:t>
            </w:r>
            <w:proofErr w:type="spellEnd"/>
          </w:p>
        </w:tc>
        <w:tc>
          <w:tcPr>
            <w:tcW w:w="1418"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14:paraId="7776D6E5" w14:textId="77777777" w:rsidR="000E49F6" w:rsidRPr="000E49F6" w:rsidRDefault="000E49F6" w:rsidP="000E49F6">
            <w:pPr>
              <w:ind w:left="0" w:right="0" w:firstLine="0"/>
              <w:jc w:val="center"/>
              <w:rPr>
                <w:b/>
                <w:bCs/>
                <w:sz w:val="20"/>
                <w:szCs w:val="20"/>
                <w:lang w:val="sr-Latn-RS" w:eastAsia="sr-Latn-RS"/>
              </w:rPr>
            </w:pPr>
            <w:proofErr w:type="spellStart"/>
            <w:r w:rsidRPr="000E49F6">
              <w:rPr>
                <w:b/>
                <w:bCs/>
                <w:sz w:val="20"/>
                <w:szCs w:val="20"/>
                <w:lang w:val="sr-Latn-RS" w:eastAsia="sr-Latn-RS"/>
              </w:rPr>
              <w:t>Ребаланс</w:t>
            </w:r>
            <w:proofErr w:type="spellEnd"/>
            <w:r w:rsidRPr="000E49F6">
              <w:rPr>
                <w:b/>
                <w:bCs/>
                <w:sz w:val="20"/>
                <w:szCs w:val="20"/>
                <w:lang w:val="sr-Latn-RS" w:eastAsia="sr-Latn-RS"/>
              </w:rPr>
              <w:t xml:space="preserve"> </w:t>
            </w:r>
            <w:proofErr w:type="spellStart"/>
            <w:r w:rsidRPr="000E49F6">
              <w:rPr>
                <w:b/>
                <w:bCs/>
                <w:sz w:val="20"/>
                <w:szCs w:val="20"/>
                <w:lang w:val="sr-Latn-RS" w:eastAsia="sr-Latn-RS"/>
              </w:rPr>
              <w:t>буџета</w:t>
            </w:r>
            <w:proofErr w:type="spellEnd"/>
            <w:r w:rsidRPr="000E49F6">
              <w:rPr>
                <w:b/>
                <w:bCs/>
                <w:sz w:val="20"/>
                <w:szCs w:val="20"/>
                <w:lang w:val="sr-Latn-RS" w:eastAsia="sr-Latn-RS"/>
              </w:rPr>
              <w:t xml:space="preserve"> </w:t>
            </w:r>
            <w:proofErr w:type="spellStart"/>
            <w:r w:rsidRPr="000E49F6">
              <w:rPr>
                <w:b/>
                <w:bCs/>
                <w:sz w:val="20"/>
                <w:szCs w:val="20"/>
                <w:lang w:val="sr-Latn-RS" w:eastAsia="sr-Latn-RS"/>
              </w:rPr>
              <w:t>за</w:t>
            </w:r>
            <w:proofErr w:type="spellEnd"/>
            <w:r w:rsidRPr="000E49F6">
              <w:rPr>
                <w:b/>
                <w:bCs/>
                <w:sz w:val="20"/>
                <w:szCs w:val="20"/>
                <w:lang w:val="sr-Latn-RS" w:eastAsia="sr-Latn-RS"/>
              </w:rPr>
              <w:t xml:space="preserve"> 2020. </w:t>
            </w:r>
            <w:proofErr w:type="spellStart"/>
            <w:r w:rsidRPr="000E49F6">
              <w:rPr>
                <w:b/>
                <w:bCs/>
                <w:sz w:val="20"/>
                <w:szCs w:val="20"/>
                <w:lang w:val="sr-Latn-RS" w:eastAsia="sr-Latn-RS"/>
              </w:rPr>
              <w:t>годину</w:t>
            </w:r>
            <w:proofErr w:type="spellEnd"/>
          </w:p>
        </w:tc>
        <w:tc>
          <w:tcPr>
            <w:tcW w:w="1598"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14:paraId="251F15EA" w14:textId="77777777" w:rsidR="000E49F6" w:rsidRPr="000E49F6" w:rsidRDefault="000E49F6" w:rsidP="000E49F6">
            <w:pPr>
              <w:ind w:left="0" w:right="0" w:firstLine="0"/>
              <w:jc w:val="center"/>
              <w:rPr>
                <w:b/>
                <w:bCs/>
                <w:sz w:val="20"/>
                <w:szCs w:val="20"/>
                <w:lang w:val="sr-Latn-RS" w:eastAsia="sr-Latn-RS"/>
              </w:rPr>
            </w:pPr>
            <w:proofErr w:type="spellStart"/>
            <w:r>
              <w:rPr>
                <w:b/>
                <w:bCs/>
                <w:sz w:val="20"/>
                <w:szCs w:val="20"/>
                <w:lang w:val="sr-Latn-RS" w:eastAsia="sr-Latn-RS"/>
              </w:rPr>
              <w:t>Ребаланс</w:t>
            </w:r>
            <w:proofErr w:type="spellEnd"/>
            <w:r>
              <w:rPr>
                <w:b/>
                <w:bCs/>
                <w:sz w:val="20"/>
                <w:szCs w:val="20"/>
                <w:lang w:val="sr-Latn-RS" w:eastAsia="sr-Latn-RS"/>
              </w:rPr>
              <w:t xml:space="preserve"> </w:t>
            </w:r>
            <w:proofErr w:type="spellStart"/>
            <w:r w:rsidRPr="000E49F6">
              <w:rPr>
                <w:b/>
                <w:bCs/>
                <w:sz w:val="20"/>
                <w:szCs w:val="20"/>
                <w:lang w:val="sr-Latn-RS" w:eastAsia="sr-Latn-RS"/>
              </w:rPr>
              <w:t>са</w:t>
            </w:r>
            <w:proofErr w:type="spellEnd"/>
            <w:r w:rsidRPr="000E49F6">
              <w:rPr>
                <w:b/>
                <w:bCs/>
                <w:sz w:val="20"/>
                <w:szCs w:val="20"/>
                <w:lang w:val="sr-Latn-RS" w:eastAsia="sr-Latn-RS"/>
              </w:rPr>
              <w:t xml:space="preserve"> </w:t>
            </w:r>
            <w:proofErr w:type="spellStart"/>
            <w:r w:rsidRPr="000E49F6">
              <w:rPr>
                <w:b/>
                <w:bCs/>
                <w:sz w:val="20"/>
                <w:szCs w:val="20"/>
                <w:lang w:val="sr-Latn-RS" w:eastAsia="sr-Latn-RS"/>
              </w:rPr>
              <w:t>реалокацијама</w:t>
            </w:r>
            <w:proofErr w:type="spellEnd"/>
            <w:r w:rsidRPr="000E49F6">
              <w:rPr>
                <w:b/>
                <w:bCs/>
                <w:sz w:val="20"/>
                <w:szCs w:val="20"/>
                <w:lang w:val="sr-Latn-RS" w:eastAsia="sr-Latn-RS"/>
              </w:rPr>
              <w:t xml:space="preserve"> </w:t>
            </w:r>
            <w:proofErr w:type="spellStart"/>
            <w:r w:rsidRPr="000E49F6">
              <w:rPr>
                <w:b/>
                <w:bCs/>
                <w:sz w:val="20"/>
                <w:szCs w:val="20"/>
                <w:lang w:val="sr-Latn-RS" w:eastAsia="sr-Latn-RS"/>
              </w:rPr>
              <w:t>извршеним</w:t>
            </w:r>
            <w:proofErr w:type="spellEnd"/>
            <w:r w:rsidRPr="000E49F6">
              <w:rPr>
                <w:b/>
                <w:bCs/>
                <w:sz w:val="20"/>
                <w:szCs w:val="20"/>
                <w:lang w:val="sr-Latn-RS" w:eastAsia="sr-Latn-RS"/>
              </w:rPr>
              <w:t xml:space="preserve"> </w:t>
            </w:r>
            <w:proofErr w:type="spellStart"/>
            <w:r w:rsidRPr="000E49F6">
              <w:rPr>
                <w:b/>
                <w:bCs/>
                <w:sz w:val="20"/>
                <w:szCs w:val="20"/>
                <w:lang w:val="sr-Latn-RS" w:eastAsia="sr-Latn-RS"/>
              </w:rPr>
              <w:t>након</w:t>
            </w:r>
            <w:proofErr w:type="spellEnd"/>
            <w:r w:rsidRPr="000E49F6">
              <w:rPr>
                <w:b/>
                <w:bCs/>
                <w:sz w:val="20"/>
                <w:szCs w:val="20"/>
                <w:lang w:val="sr-Latn-RS" w:eastAsia="sr-Latn-RS"/>
              </w:rPr>
              <w:t xml:space="preserve"> </w:t>
            </w:r>
            <w:proofErr w:type="spellStart"/>
            <w:r w:rsidRPr="000E49F6">
              <w:rPr>
                <w:b/>
                <w:bCs/>
                <w:sz w:val="20"/>
                <w:szCs w:val="20"/>
                <w:lang w:val="sr-Latn-RS" w:eastAsia="sr-Latn-RS"/>
              </w:rPr>
              <w:t>ребаланса</w:t>
            </w:r>
            <w:proofErr w:type="spellEnd"/>
          </w:p>
        </w:tc>
        <w:tc>
          <w:tcPr>
            <w:tcW w:w="1451" w:type="dxa"/>
            <w:vMerge w:val="restart"/>
            <w:tcBorders>
              <w:top w:val="double" w:sz="6" w:space="0" w:color="auto"/>
              <w:left w:val="single" w:sz="4" w:space="0" w:color="auto"/>
              <w:bottom w:val="single" w:sz="4" w:space="0" w:color="auto"/>
              <w:right w:val="nil"/>
            </w:tcBorders>
            <w:shd w:val="clear" w:color="auto" w:fill="auto"/>
            <w:vAlign w:val="center"/>
            <w:hideMark/>
          </w:tcPr>
          <w:p w14:paraId="34987C43" w14:textId="77777777" w:rsidR="000E49F6" w:rsidRPr="000E49F6" w:rsidRDefault="000E49F6" w:rsidP="000E49F6">
            <w:pPr>
              <w:ind w:left="0" w:right="0" w:firstLine="0"/>
              <w:jc w:val="center"/>
              <w:rPr>
                <w:b/>
                <w:bCs/>
                <w:sz w:val="20"/>
                <w:szCs w:val="20"/>
                <w:lang w:val="sr-Latn-RS" w:eastAsia="sr-Latn-RS"/>
              </w:rPr>
            </w:pPr>
            <w:proofErr w:type="spellStart"/>
            <w:r w:rsidRPr="000E49F6">
              <w:rPr>
                <w:b/>
                <w:bCs/>
                <w:sz w:val="20"/>
                <w:szCs w:val="20"/>
                <w:lang w:val="sr-Latn-RS" w:eastAsia="sr-Latn-RS"/>
              </w:rPr>
              <w:t>Оперативни</w:t>
            </w:r>
            <w:proofErr w:type="spellEnd"/>
            <w:r w:rsidRPr="000E49F6">
              <w:rPr>
                <w:b/>
                <w:bCs/>
                <w:sz w:val="20"/>
                <w:szCs w:val="20"/>
                <w:lang w:val="sr-Latn-RS" w:eastAsia="sr-Latn-RS"/>
              </w:rPr>
              <w:t xml:space="preserve"> </w:t>
            </w:r>
            <w:proofErr w:type="spellStart"/>
            <w:r w:rsidRPr="000E49F6">
              <w:rPr>
                <w:b/>
                <w:bCs/>
                <w:sz w:val="20"/>
                <w:szCs w:val="20"/>
                <w:lang w:val="sr-Latn-RS" w:eastAsia="sr-Latn-RS"/>
              </w:rPr>
              <w:t>буџет</w:t>
            </w:r>
            <w:proofErr w:type="spellEnd"/>
            <w:r w:rsidRPr="000E49F6">
              <w:rPr>
                <w:b/>
                <w:bCs/>
                <w:sz w:val="20"/>
                <w:szCs w:val="20"/>
                <w:lang w:val="sr-Latn-RS" w:eastAsia="sr-Latn-RS"/>
              </w:rPr>
              <w:t xml:space="preserve"> </w:t>
            </w:r>
            <w:proofErr w:type="spellStart"/>
            <w:r w:rsidRPr="000E49F6">
              <w:rPr>
                <w:b/>
                <w:bCs/>
                <w:sz w:val="20"/>
                <w:szCs w:val="20"/>
                <w:lang w:val="sr-Latn-RS" w:eastAsia="sr-Latn-RS"/>
              </w:rPr>
              <w:t>за</w:t>
            </w:r>
            <w:proofErr w:type="spellEnd"/>
            <w:r w:rsidRPr="000E49F6">
              <w:rPr>
                <w:b/>
                <w:bCs/>
                <w:sz w:val="20"/>
                <w:szCs w:val="20"/>
                <w:lang w:val="sr-Latn-RS" w:eastAsia="sr-Latn-RS"/>
              </w:rPr>
              <w:t xml:space="preserve"> </w:t>
            </w:r>
            <w:proofErr w:type="spellStart"/>
            <w:r w:rsidRPr="000E49F6">
              <w:rPr>
                <w:b/>
                <w:bCs/>
                <w:sz w:val="20"/>
                <w:szCs w:val="20"/>
                <w:lang w:val="sr-Latn-RS" w:eastAsia="sr-Latn-RS"/>
              </w:rPr>
              <w:t>период</w:t>
            </w:r>
            <w:proofErr w:type="spellEnd"/>
            <w:r w:rsidRPr="000E49F6">
              <w:rPr>
                <w:b/>
                <w:bCs/>
                <w:sz w:val="20"/>
                <w:szCs w:val="20"/>
                <w:lang w:val="sr-Latn-RS" w:eastAsia="sr-Latn-RS"/>
              </w:rPr>
              <w:t xml:space="preserve"> </w:t>
            </w:r>
            <w:r w:rsidRPr="000E49F6">
              <w:rPr>
                <w:b/>
                <w:bCs/>
                <w:sz w:val="20"/>
                <w:szCs w:val="20"/>
                <w:lang w:val="sr-Latn-RS" w:eastAsia="sr-Latn-RS"/>
              </w:rPr>
              <w:br/>
              <w:t xml:space="preserve">01.01-31.12.2020. </w:t>
            </w:r>
            <w:proofErr w:type="spellStart"/>
            <w:r w:rsidRPr="000E49F6">
              <w:rPr>
                <w:b/>
                <w:bCs/>
                <w:sz w:val="20"/>
                <w:szCs w:val="20"/>
                <w:lang w:val="sr-Latn-RS" w:eastAsia="sr-Latn-RS"/>
              </w:rPr>
              <w:t>године</w:t>
            </w:r>
            <w:proofErr w:type="spellEnd"/>
          </w:p>
        </w:tc>
        <w:tc>
          <w:tcPr>
            <w:tcW w:w="1352" w:type="dxa"/>
            <w:vMerge w:val="restart"/>
            <w:tcBorders>
              <w:top w:val="double" w:sz="6" w:space="0" w:color="auto"/>
              <w:left w:val="single" w:sz="4" w:space="0" w:color="auto"/>
              <w:bottom w:val="single" w:sz="4" w:space="0" w:color="auto"/>
              <w:right w:val="double" w:sz="6" w:space="0" w:color="auto"/>
            </w:tcBorders>
            <w:shd w:val="clear" w:color="auto" w:fill="auto"/>
            <w:vAlign w:val="center"/>
            <w:hideMark/>
          </w:tcPr>
          <w:p w14:paraId="58E3F067" w14:textId="77777777" w:rsidR="000E49F6" w:rsidRPr="000E49F6" w:rsidRDefault="000E49F6" w:rsidP="000E49F6">
            <w:pPr>
              <w:ind w:left="0" w:right="0" w:firstLine="0"/>
              <w:jc w:val="center"/>
              <w:rPr>
                <w:b/>
                <w:bCs/>
                <w:sz w:val="20"/>
                <w:szCs w:val="20"/>
                <w:lang w:val="sr-Latn-RS" w:eastAsia="sr-Latn-RS"/>
              </w:rPr>
            </w:pPr>
            <w:proofErr w:type="spellStart"/>
            <w:r w:rsidRPr="000E49F6">
              <w:rPr>
                <w:b/>
                <w:bCs/>
                <w:sz w:val="20"/>
                <w:szCs w:val="20"/>
                <w:lang w:val="sr-Latn-RS" w:eastAsia="sr-Latn-RS"/>
              </w:rPr>
              <w:t>Извршење</w:t>
            </w:r>
            <w:proofErr w:type="spellEnd"/>
            <w:r w:rsidRPr="000E49F6">
              <w:rPr>
                <w:b/>
                <w:bCs/>
                <w:sz w:val="20"/>
                <w:szCs w:val="20"/>
                <w:lang w:val="sr-Latn-RS" w:eastAsia="sr-Latn-RS"/>
              </w:rPr>
              <w:br/>
              <w:t xml:space="preserve">01.01-31.12.2020. </w:t>
            </w:r>
            <w:proofErr w:type="spellStart"/>
            <w:r w:rsidRPr="000E49F6">
              <w:rPr>
                <w:b/>
                <w:bCs/>
                <w:sz w:val="20"/>
                <w:szCs w:val="20"/>
                <w:lang w:val="sr-Latn-RS" w:eastAsia="sr-Latn-RS"/>
              </w:rPr>
              <w:t>године</w:t>
            </w:r>
            <w:proofErr w:type="spellEnd"/>
          </w:p>
        </w:tc>
      </w:tr>
      <w:tr w:rsidR="000E49F6" w:rsidRPr="000E49F6" w14:paraId="032052D4" w14:textId="77777777" w:rsidTr="00871384">
        <w:trPr>
          <w:cantSplit/>
          <w:trHeight w:val="276"/>
          <w:tblHeader/>
        </w:trPr>
        <w:tc>
          <w:tcPr>
            <w:tcW w:w="579" w:type="dxa"/>
            <w:vMerge/>
            <w:tcBorders>
              <w:top w:val="double" w:sz="6" w:space="0" w:color="auto"/>
              <w:left w:val="double" w:sz="6" w:space="0" w:color="auto"/>
              <w:bottom w:val="single" w:sz="4" w:space="0" w:color="auto"/>
              <w:right w:val="single" w:sz="4" w:space="0" w:color="auto"/>
            </w:tcBorders>
            <w:vAlign w:val="center"/>
            <w:hideMark/>
          </w:tcPr>
          <w:p w14:paraId="4C4354AA" w14:textId="77777777" w:rsidR="000E49F6" w:rsidRPr="000E49F6" w:rsidRDefault="000E49F6" w:rsidP="000E49F6">
            <w:pPr>
              <w:ind w:left="0" w:right="0" w:firstLine="0"/>
              <w:jc w:val="left"/>
              <w:rPr>
                <w:b/>
                <w:bCs/>
                <w:sz w:val="20"/>
                <w:szCs w:val="20"/>
                <w:lang w:val="sr-Latn-RS" w:eastAsia="sr-Latn-RS"/>
              </w:rPr>
            </w:pPr>
          </w:p>
        </w:tc>
        <w:tc>
          <w:tcPr>
            <w:tcW w:w="3532" w:type="dxa"/>
            <w:vMerge/>
            <w:tcBorders>
              <w:top w:val="double" w:sz="6" w:space="0" w:color="auto"/>
              <w:left w:val="single" w:sz="4" w:space="0" w:color="auto"/>
              <w:bottom w:val="single" w:sz="4" w:space="0" w:color="auto"/>
              <w:right w:val="single" w:sz="4" w:space="0" w:color="auto"/>
            </w:tcBorders>
            <w:vAlign w:val="center"/>
            <w:hideMark/>
          </w:tcPr>
          <w:p w14:paraId="4E13CD1B" w14:textId="77777777" w:rsidR="000E49F6" w:rsidRPr="000E49F6" w:rsidRDefault="000E49F6" w:rsidP="000E49F6">
            <w:pPr>
              <w:ind w:left="0" w:right="0" w:firstLine="0"/>
              <w:jc w:val="left"/>
              <w:rPr>
                <w:b/>
                <w:bCs/>
                <w:sz w:val="20"/>
                <w:szCs w:val="20"/>
                <w:lang w:val="sr-Latn-RS" w:eastAsia="sr-Latn-RS"/>
              </w:rPr>
            </w:pPr>
          </w:p>
        </w:tc>
        <w:tc>
          <w:tcPr>
            <w:tcW w:w="1418" w:type="dxa"/>
            <w:vMerge/>
            <w:tcBorders>
              <w:top w:val="double" w:sz="6" w:space="0" w:color="auto"/>
              <w:left w:val="single" w:sz="4" w:space="0" w:color="auto"/>
              <w:bottom w:val="single" w:sz="4" w:space="0" w:color="auto"/>
              <w:right w:val="single" w:sz="4" w:space="0" w:color="auto"/>
            </w:tcBorders>
            <w:vAlign w:val="center"/>
            <w:hideMark/>
          </w:tcPr>
          <w:p w14:paraId="68B06C5B" w14:textId="77777777" w:rsidR="000E49F6" w:rsidRPr="000E49F6" w:rsidRDefault="000E49F6" w:rsidP="000E49F6">
            <w:pPr>
              <w:ind w:left="0" w:right="0" w:firstLine="0"/>
              <w:jc w:val="left"/>
              <w:rPr>
                <w:b/>
                <w:bCs/>
                <w:sz w:val="20"/>
                <w:szCs w:val="20"/>
                <w:lang w:val="sr-Latn-RS" w:eastAsia="sr-Latn-RS"/>
              </w:rPr>
            </w:pPr>
          </w:p>
        </w:tc>
        <w:tc>
          <w:tcPr>
            <w:tcW w:w="1598" w:type="dxa"/>
            <w:vMerge/>
            <w:tcBorders>
              <w:top w:val="double" w:sz="6" w:space="0" w:color="auto"/>
              <w:left w:val="single" w:sz="4" w:space="0" w:color="auto"/>
              <w:bottom w:val="single" w:sz="4" w:space="0" w:color="auto"/>
              <w:right w:val="single" w:sz="4" w:space="0" w:color="auto"/>
            </w:tcBorders>
            <w:vAlign w:val="center"/>
            <w:hideMark/>
          </w:tcPr>
          <w:p w14:paraId="5339E04F" w14:textId="77777777" w:rsidR="000E49F6" w:rsidRPr="000E49F6" w:rsidRDefault="000E49F6" w:rsidP="000E49F6">
            <w:pPr>
              <w:ind w:left="0" w:right="0" w:firstLine="0"/>
              <w:jc w:val="left"/>
              <w:rPr>
                <w:b/>
                <w:bCs/>
                <w:sz w:val="20"/>
                <w:szCs w:val="20"/>
                <w:lang w:val="sr-Latn-RS" w:eastAsia="sr-Latn-RS"/>
              </w:rPr>
            </w:pPr>
          </w:p>
        </w:tc>
        <w:tc>
          <w:tcPr>
            <w:tcW w:w="1451" w:type="dxa"/>
            <w:vMerge/>
            <w:tcBorders>
              <w:top w:val="double" w:sz="6" w:space="0" w:color="auto"/>
              <w:left w:val="single" w:sz="4" w:space="0" w:color="auto"/>
              <w:bottom w:val="single" w:sz="4" w:space="0" w:color="auto"/>
              <w:right w:val="nil"/>
            </w:tcBorders>
            <w:vAlign w:val="center"/>
            <w:hideMark/>
          </w:tcPr>
          <w:p w14:paraId="6E5F1D33" w14:textId="77777777" w:rsidR="000E49F6" w:rsidRPr="000E49F6" w:rsidRDefault="000E49F6" w:rsidP="000E49F6">
            <w:pPr>
              <w:ind w:left="0" w:right="0" w:firstLine="0"/>
              <w:jc w:val="left"/>
              <w:rPr>
                <w:b/>
                <w:bCs/>
                <w:sz w:val="20"/>
                <w:szCs w:val="20"/>
                <w:lang w:val="sr-Latn-RS" w:eastAsia="sr-Latn-RS"/>
              </w:rPr>
            </w:pPr>
          </w:p>
        </w:tc>
        <w:tc>
          <w:tcPr>
            <w:tcW w:w="1352" w:type="dxa"/>
            <w:vMerge/>
            <w:tcBorders>
              <w:top w:val="double" w:sz="6" w:space="0" w:color="auto"/>
              <w:left w:val="single" w:sz="4" w:space="0" w:color="auto"/>
              <w:bottom w:val="single" w:sz="4" w:space="0" w:color="auto"/>
              <w:right w:val="double" w:sz="6" w:space="0" w:color="auto"/>
            </w:tcBorders>
            <w:vAlign w:val="center"/>
            <w:hideMark/>
          </w:tcPr>
          <w:p w14:paraId="51F019F3" w14:textId="77777777" w:rsidR="000E49F6" w:rsidRPr="000E49F6" w:rsidRDefault="000E49F6" w:rsidP="000E49F6">
            <w:pPr>
              <w:ind w:left="0" w:right="0" w:firstLine="0"/>
              <w:jc w:val="left"/>
              <w:rPr>
                <w:b/>
                <w:bCs/>
                <w:sz w:val="20"/>
                <w:szCs w:val="20"/>
                <w:lang w:val="sr-Latn-RS" w:eastAsia="sr-Latn-RS"/>
              </w:rPr>
            </w:pPr>
          </w:p>
        </w:tc>
      </w:tr>
      <w:tr w:rsidR="000E49F6" w:rsidRPr="000E49F6" w14:paraId="5AD4558C" w14:textId="77777777" w:rsidTr="00871384">
        <w:trPr>
          <w:cantSplit/>
          <w:trHeight w:val="255"/>
          <w:tblHeader/>
        </w:trPr>
        <w:tc>
          <w:tcPr>
            <w:tcW w:w="579" w:type="dxa"/>
            <w:tcBorders>
              <w:top w:val="nil"/>
              <w:left w:val="double" w:sz="6" w:space="0" w:color="auto"/>
              <w:bottom w:val="single" w:sz="4" w:space="0" w:color="auto"/>
              <w:right w:val="single" w:sz="4" w:space="0" w:color="auto"/>
            </w:tcBorders>
            <w:shd w:val="clear" w:color="auto" w:fill="auto"/>
            <w:vAlign w:val="center"/>
            <w:hideMark/>
          </w:tcPr>
          <w:p w14:paraId="0A163070" w14:textId="77777777" w:rsidR="000E49F6" w:rsidRPr="000E49F6" w:rsidRDefault="000E49F6" w:rsidP="000E49F6">
            <w:pPr>
              <w:ind w:left="0" w:right="0" w:firstLine="0"/>
              <w:jc w:val="center"/>
              <w:rPr>
                <w:b/>
                <w:bCs/>
                <w:sz w:val="18"/>
                <w:szCs w:val="18"/>
                <w:lang w:val="sr-Latn-RS" w:eastAsia="sr-Latn-RS"/>
              </w:rPr>
            </w:pPr>
            <w:r w:rsidRPr="000E49F6">
              <w:rPr>
                <w:b/>
                <w:bCs/>
                <w:sz w:val="18"/>
                <w:szCs w:val="18"/>
                <w:lang w:val="sr-Latn-RS" w:eastAsia="sr-Latn-RS"/>
              </w:rPr>
              <w:t>1</w:t>
            </w:r>
          </w:p>
        </w:tc>
        <w:tc>
          <w:tcPr>
            <w:tcW w:w="3532" w:type="dxa"/>
            <w:tcBorders>
              <w:top w:val="nil"/>
              <w:left w:val="nil"/>
              <w:bottom w:val="single" w:sz="4" w:space="0" w:color="auto"/>
              <w:right w:val="single" w:sz="4" w:space="0" w:color="auto"/>
            </w:tcBorders>
            <w:shd w:val="clear" w:color="auto" w:fill="auto"/>
            <w:vAlign w:val="center"/>
            <w:hideMark/>
          </w:tcPr>
          <w:p w14:paraId="104CEC9E" w14:textId="77777777" w:rsidR="000E49F6" w:rsidRPr="000E49F6" w:rsidRDefault="000E49F6" w:rsidP="000E49F6">
            <w:pPr>
              <w:ind w:left="0" w:right="0" w:firstLine="0"/>
              <w:jc w:val="center"/>
              <w:rPr>
                <w:b/>
                <w:bCs/>
                <w:sz w:val="18"/>
                <w:szCs w:val="18"/>
                <w:lang w:val="sr-Latn-RS" w:eastAsia="sr-Latn-RS"/>
              </w:rPr>
            </w:pPr>
            <w:r w:rsidRPr="000E49F6">
              <w:rPr>
                <w:b/>
                <w:bCs/>
                <w:sz w:val="18"/>
                <w:szCs w:val="18"/>
                <w:lang w:val="sr-Latn-RS" w:eastAsia="sr-Latn-RS"/>
              </w:rPr>
              <w:t>2</w:t>
            </w:r>
          </w:p>
        </w:tc>
        <w:tc>
          <w:tcPr>
            <w:tcW w:w="1418" w:type="dxa"/>
            <w:tcBorders>
              <w:top w:val="nil"/>
              <w:left w:val="nil"/>
              <w:bottom w:val="single" w:sz="4" w:space="0" w:color="auto"/>
              <w:right w:val="single" w:sz="4" w:space="0" w:color="auto"/>
            </w:tcBorders>
            <w:shd w:val="clear" w:color="auto" w:fill="auto"/>
            <w:vAlign w:val="center"/>
            <w:hideMark/>
          </w:tcPr>
          <w:p w14:paraId="721E2F25" w14:textId="77777777" w:rsidR="000E49F6" w:rsidRPr="000E49F6" w:rsidRDefault="000E49F6" w:rsidP="000E49F6">
            <w:pPr>
              <w:ind w:left="0" w:right="0" w:firstLine="0"/>
              <w:jc w:val="center"/>
              <w:rPr>
                <w:b/>
                <w:bCs/>
                <w:sz w:val="18"/>
                <w:szCs w:val="18"/>
                <w:lang w:val="sr-Latn-RS" w:eastAsia="sr-Latn-RS"/>
              </w:rPr>
            </w:pPr>
            <w:r w:rsidRPr="000E49F6">
              <w:rPr>
                <w:b/>
                <w:bCs/>
                <w:sz w:val="18"/>
                <w:szCs w:val="18"/>
                <w:lang w:val="sr-Latn-RS" w:eastAsia="sr-Latn-RS"/>
              </w:rPr>
              <w:t>3</w:t>
            </w:r>
          </w:p>
        </w:tc>
        <w:tc>
          <w:tcPr>
            <w:tcW w:w="1598" w:type="dxa"/>
            <w:tcBorders>
              <w:top w:val="nil"/>
              <w:left w:val="nil"/>
              <w:bottom w:val="single" w:sz="4" w:space="0" w:color="auto"/>
              <w:right w:val="single" w:sz="4" w:space="0" w:color="auto"/>
            </w:tcBorders>
            <w:shd w:val="clear" w:color="auto" w:fill="auto"/>
            <w:vAlign w:val="center"/>
            <w:hideMark/>
          </w:tcPr>
          <w:p w14:paraId="0B039385" w14:textId="77777777" w:rsidR="000E49F6" w:rsidRPr="000E49F6" w:rsidRDefault="000E49F6" w:rsidP="000E49F6">
            <w:pPr>
              <w:ind w:left="0" w:right="0" w:firstLine="0"/>
              <w:jc w:val="center"/>
              <w:rPr>
                <w:b/>
                <w:bCs/>
                <w:sz w:val="18"/>
                <w:szCs w:val="18"/>
                <w:lang w:val="sr-Latn-RS" w:eastAsia="sr-Latn-RS"/>
              </w:rPr>
            </w:pPr>
            <w:r w:rsidRPr="000E49F6">
              <w:rPr>
                <w:b/>
                <w:bCs/>
                <w:sz w:val="18"/>
                <w:szCs w:val="18"/>
                <w:lang w:val="sr-Latn-RS" w:eastAsia="sr-Latn-RS"/>
              </w:rPr>
              <w:t>4</w:t>
            </w:r>
          </w:p>
        </w:tc>
        <w:tc>
          <w:tcPr>
            <w:tcW w:w="1451" w:type="dxa"/>
            <w:tcBorders>
              <w:top w:val="nil"/>
              <w:left w:val="nil"/>
              <w:bottom w:val="single" w:sz="4" w:space="0" w:color="auto"/>
              <w:right w:val="nil"/>
            </w:tcBorders>
            <w:shd w:val="clear" w:color="auto" w:fill="auto"/>
            <w:vAlign w:val="center"/>
            <w:hideMark/>
          </w:tcPr>
          <w:p w14:paraId="233F14EF" w14:textId="77777777" w:rsidR="000E49F6" w:rsidRPr="000E49F6" w:rsidRDefault="000E49F6" w:rsidP="000E49F6">
            <w:pPr>
              <w:ind w:left="0" w:right="0" w:firstLine="0"/>
              <w:jc w:val="center"/>
              <w:rPr>
                <w:b/>
                <w:bCs/>
                <w:sz w:val="18"/>
                <w:szCs w:val="18"/>
                <w:lang w:val="sr-Latn-RS" w:eastAsia="sr-Latn-RS"/>
              </w:rPr>
            </w:pPr>
            <w:r w:rsidRPr="000E49F6">
              <w:rPr>
                <w:b/>
                <w:bCs/>
                <w:sz w:val="18"/>
                <w:szCs w:val="18"/>
                <w:lang w:val="sr-Latn-RS" w:eastAsia="sr-Latn-RS"/>
              </w:rPr>
              <w:t>5</w:t>
            </w:r>
          </w:p>
        </w:tc>
        <w:tc>
          <w:tcPr>
            <w:tcW w:w="1352" w:type="dxa"/>
            <w:tcBorders>
              <w:top w:val="nil"/>
              <w:left w:val="single" w:sz="4" w:space="0" w:color="auto"/>
              <w:bottom w:val="single" w:sz="4" w:space="0" w:color="auto"/>
              <w:right w:val="double" w:sz="6" w:space="0" w:color="auto"/>
            </w:tcBorders>
            <w:shd w:val="clear" w:color="auto" w:fill="auto"/>
            <w:vAlign w:val="center"/>
            <w:hideMark/>
          </w:tcPr>
          <w:p w14:paraId="4612D078" w14:textId="77777777" w:rsidR="000E49F6" w:rsidRPr="000E49F6" w:rsidRDefault="000E49F6" w:rsidP="000E49F6">
            <w:pPr>
              <w:ind w:left="0" w:right="0" w:firstLine="0"/>
              <w:jc w:val="center"/>
              <w:rPr>
                <w:b/>
                <w:bCs/>
                <w:sz w:val="18"/>
                <w:szCs w:val="18"/>
                <w:lang w:val="sr-Latn-RS" w:eastAsia="sr-Latn-RS"/>
              </w:rPr>
            </w:pPr>
            <w:r w:rsidRPr="000E49F6">
              <w:rPr>
                <w:b/>
                <w:bCs/>
                <w:sz w:val="18"/>
                <w:szCs w:val="18"/>
                <w:lang w:val="sr-Latn-RS" w:eastAsia="sr-Latn-RS"/>
              </w:rPr>
              <w:t>6</w:t>
            </w:r>
          </w:p>
        </w:tc>
      </w:tr>
      <w:tr w:rsidR="000E49F6" w:rsidRPr="000E49F6" w14:paraId="2E2E8CD1" w14:textId="77777777" w:rsidTr="00C41EC6">
        <w:trPr>
          <w:cantSplit/>
          <w:trHeight w:val="255"/>
        </w:trPr>
        <w:tc>
          <w:tcPr>
            <w:tcW w:w="579" w:type="dxa"/>
            <w:tcBorders>
              <w:top w:val="nil"/>
              <w:left w:val="double" w:sz="6" w:space="0" w:color="auto"/>
              <w:bottom w:val="single" w:sz="4" w:space="0" w:color="auto"/>
              <w:right w:val="single" w:sz="4" w:space="0" w:color="auto"/>
            </w:tcBorders>
            <w:shd w:val="clear" w:color="auto" w:fill="auto"/>
            <w:vAlign w:val="center"/>
            <w:hideMark/>
          </w:tcPr>
          <w:p w14:paraId="1EE2C06A" w14:textId="77777777" w:rsidR="000E49F6" w:rsidRPr="000E49F6" w:rsidRDefault="000E49F6" w:rsidP="000E49F6">
            <w:pPr>
              <w:ind w:left="0" w:right="0" w:firstLine="0"/>
              <w:jc w:val="center"/>
              <w:rPr>
                <w:sz w:val="18"/>
                <w:szCs w:val="18"/>
                <w:lang w:val="sr-Latn-RS" w:eastAsia="sr-Latn-RS"/>
              </w:rPr>
            </w:pPr>
            <w:r w:rsidRPr="000E49F6">
              <w:rPr>
                <w:sz w:val="18"/>
                <w:szCs w:val="18"/>
                <w:lang w:val="sr-Latn-RS" w:eastAsia="sr-Latn-RS"/>
              </w:rPr>
              <w:t>1</w:t>
            </w:r>
          </w:p>
        </w:tc>
        <w:tc>
          <w:tcPr>
            <w:tcW w:w="3532" w:type="dxa"/>
            <w:tcBorders>
              <w:top w:val="nil"/>
              <w:left w:val="nil"/>
              <w:bottom w:val="single" w:sz="4" w:space="0" w:color="auto"/>
              <w:right w:val="single" w:sz="4" w:space="0" w:color="auto"/>
            </w:tcBorders>
            <w:shd w:val="clear" w:color="auto" w:fill="auto"/>
            <w:vAlign w:val="center"/>
            <w:hideMark/>
          </w:tcPr>
          <w:p w14:paraId="7BFC7334" w14:textId="77777777" w:rsidR="000E49F6" w:rsidRPr="000E49F6" w:rsidRDefault="000E49F6" w:rsidP="000E49F6">
            <w:pPr>
              <w:ind w:left="0" w:right="0" w:firstLine="0"/>
              <w:jc w:val="left"/>
              <w:rPr>
                <w:sz w:val="18"/>
                <w:szCs w:val="18"/>
                <w:lang w:val="sr-Latn-RS" w:eastAsia="sr-Latn-RS"/>
              </w:rPr>
            </w:pPr>
            <w:proofErr w:type="spellStart"/>
            <w:r w:rsidRPr="000E49F6">
              <w:rPr>
                <w:sz w:val="18"/>
                <w:szCs w:val="18"/>
                <w:lang w:val="sr-Latn-RS" w:eastAsia="sr-Latn-RS"/>
              </w:rPr>
              <w:t>Скупштина</w:t>
            </w:r>
            <w:proofErr w:type="spellEnd"/>
            <w:r w:rsidRPr="000E49F6">
              <w:rPr>
                <w:sz w:val="18"/>
                <w:szCs w:val="18"/>
                <w:lang w:val="sr-Latn-RS" w:eastAsia="sr-Latn-RS"/>
              </w:rPr>
              <w:t xml:space="preserve"> </w:t>
            </w:r>
            <w:proofErr w:type="spellStart"/>
            <w:r w:rsidRPr="000E49F6">
              <w:rPr>
                <w:sz w:val="18"/>
                <w:szCs w:val="18"/>
                <w:lang w:val="sr-Latn-RS" w:eastAsia="sr-Latn-RS"/>
              </w:rPr>
              <w:t>општине</w:t>
            </w:r>
            <w:proofErr w:type="spellEnd"/>
            <w:r w:rsidRPr="000E49F6">
              <w:rPr>
                <w:sz w:val="18"/>
                <w:szCs w:val="18"/>
                <w:lang w:val="sr-Latn-RS" w:eastAsia="sr-Latn-RS"/>
              </w:rPr>
              <w:t xml:space="preserve"> и </w:t>
            </w:r>
            <w:proofErr w:type="spellStart"/>
            <w:r w:rsidRPr="000E49F6">
              <w:rPr>
                <w:sz w:val="18"/>
                <w:szCs w:val="18"/>
                <w:lang w:val="sr-Latn-RS" w:eastAsia="sr-Latn-RS"/>
              </w:rPr>
              <w:t>Стручна</w:t>
            </w:r>
            <w:proofErr w:type="spellEnd"/>
            <w:r w:rsidRPr="000E49F6">
              <w:rPr>
                <w:sz w:val="18"/>
                <w:szCs w:val="18"/>
                <w:lang w:val="sr-Latn-RS" w:eastAsia="sr-Latn-RS"/>
              </w:rPr>
              <w:t xml:space="preserve"> </w:t>
            </w:r>
            <w:proofErr w:type="spellStart"/>
            <w:r w:rsidRPr="000E49F6">
              <w:rPr>
                <w:sz w:val="18"/>
                <w:szCs w:val="18"/>
                <w:lang w:val="sr-Latn-RS" w:eastAsia="sr-Latn-RS"/>
              </w:rPr>
              <w:t>служба</w:t>
            </w:r>
            <w:proofErr w:type="spellEnd"/>
            <w:r w:rsidRPr="000E49F6">
              <w:rPr>
                <w:b/>
                <w:bCs/>
                <w:sz w:val="18"/>
                <w:szCs w:val="18"/>
                <w:lang w:val="sr-Latn-RS" w:eastAsia="sr-Latn-RS"/>
              </w:rPr>
              <w:t xml:space="preserve"> </w:t>
            </w:r>
            <w:r w:rsidRPr="000E49F6">
              <w:rPr>
                <w:sz w:val="18"/>
                <w:szCs w:val="18"/>
                <w:lang w:val="sr-Latn-RS" w:eastAsia="sr-Latn-RS"/>
              </w:rPr>
              <w:t>СО –е</w:t>
            </w:r>
          </w:p>
        </w:tc>
        <w:tc>
          <w:tcPr>
            <w:tcW w:w="1418" w:type="dxa"/>
            <w:tcBorders>
              <w:top w:val="nil"/>
              <w:left w:val="nil"/>
              <w:bottom w:val="single" w:sz="4" w:space="0" w:color="auto"/>
              <w:right w:val="single" w:sz="4" w:space="0" w:color="auto"/>
            </w:tcBorders>
            <w:shd w:val="clear" w:color="auto" w:fill="auto"/>
            <w:vAlign w:val="center"/>
            <w:hideMark/>
          </w:tcPr>
          <w:p w14:paraId="1EDC83C9" w14:textId="77777777" w:rsidR="000E49F6" w:rsidRPr="000E49F6" w:rsidRDefault="000E49F6" w:rsidP="000E49F6">
            <w:pPr>
              <w:ind w:left="0" w:right="0" w:firstLine="0"/>
              <w:jc w:val="right"/>
              <w:rPr>
                <w:sz w:val="18"/>
                <w:szCs w:val="18"/>
                <w:lang w:val="sr-Latn-RS" w:eastAsia="sr-Latn-RS"/>
              </w:rPr>
            </w:pPr>
            <w:r w:rsidRPr="000E49F6">
              <w:rPr>
                <w:sz w:val="18"/>
                <w:szCs w:val="18"/>
                <w:lang w:val="sr-Latn-RS" w:eastAsia="sr-Latn-RS"/>
              </w:rPr>
              <w:t>399.060,00</w:t>
            </w:r>
          </w:p>
        </w:tc>
        <w:tc>
          <w:tcPr>
            <w:tcW w:w="1598" w:type="dxa"/>
            <w:tcBorders>
              <w:top w:val="nil"/>
              <w:left w:val="nil"/>
              <w:bottom w:val="single" w:sz="4" w:space="0" w:color="auto"/>
              <w:right w:val="single" w:sz="4" w:space="0" w:color="auto"/>
            </w:tcBorders>
            <w:shd w:val="clear" w:color="auto" w:fill="auto"/>
            <w:vAlign w:val="center"/>
            <w:hideMark/>
          </w:tcPr>
          <w:p w14:paraId="0CB86D18" w14:textId="77777777" w:rsidR="000E49F6" w:rsidRPr="000E49F6" w:rsidRDefault="000E49F6" w:rsidP="000E49F6">
            <w:pPr>
              <w:ind w:left="0" w:right="0" w:firstLine="0"/>
              <w:jc w:val="right"/>
              <w:rPr>
                <w:sz w:val="18"/>
                <w:szCs w:val="18"/>
                <w:lang w:val="sr-Latn-RS" w:eastAsia="sr-Latn-RS"/>
              </w:rPr>
            </w:pPr>
            <w:r w:rsidRPr="000E49F6">
              <w:rPr>
                <w:sz w:val="18"/>
                <w:szCs w:val="18"/>
                <w:lang w:val="sr-Latn-RS" w:eastAsia="sr-Latn-RS"/>
              </w:rPr>
              <w:t>399.060,00</w:t>
            </w:r>
          </w:p>
        </w:tc>
        <w:tc>
          <w:tcPr>
            <w:tcW w:w="1451" w:type="dxa"/>
            <w:tcBorders>
              <w:top w:val="nil"/>
              <w:left w:val="nil"/>
              <w:bottom w:val="single" w:sz="4" w:space="0" w:color="auto"/>
              <w:right w:val="nil"/>
            </w:tcBorders>
            <w:shd w:val="clear" w:color="auto" w:fill="auto"/>
            <w:vAlign w:val="center"/>
            <w:hideMark/>
          </w:tcPr>
          <w:p w14:paraId="1A3DF89B" w14:textId="77777777" w:rsidR="000E49F6" w:rsidRPr="000E49F6" w:rsidRDefault="000E49F6" w:rsidP="000E49F6">
            <w:pPr>
              <w:ind w:left="0" w:right="0" w:firstLine="0"/>
              <w:jc w:val="right"/>
              <w:rPr>
                <w:sz w:val="18"/>
                <w:szCs w:val="18"/>
                <w:lang w:val="sr-Latn-RS" w:eastAsia="sr-Latn-RS"/>
              </w:rPr>
            </w:pPr>
            <w:r w:rsidRPr="000E49F6">
              <w:rPr>
                <w:sz w:val="18"/>
                <w:szCs w:val="18"/>
                <w:lang w:val="sr-Latn-RS" w:eastAsia="sr-Latn-RS"/>
              </w:rPr>
              <w:t>399.060,00</w:t>
            </w:r>
          </w:p>
        </w:tc>
        <w:tc>
          <w:tcPr>
            <w:tcW w:w="1352" w:type="dxa"/>
            <w:tcBorders>
              <w:top w:val="nil"/>
              <w:left w:val="single" w:sz="4" w:space="0" w:color="auto"/>
              <w:bottom w:val="single" w:sz="4" w:space="0" w:color="auto"/>
              <w:right w:val="double" w:sz="6" w:space="0" w:color="auto"/>
            </w:tcBorders>
            <w:shd w:val="clear" w:color="auto" w:fill="auto"/>
            <w:vAlign w:val="center"/>
            <w:hideMark/>
          </w:tcPr>
          <w:p w14:paraId="5676FF57" w14:textId="77777777" w:rsidR="000E49F6" w:rsidRPr="000E49F6" w:rsidRDefault="000E49F6" w:rsidP="000E49F6">
            <w:pPr>
              <w:ind w:left="0" w:right="0" w:firstLine="0"/>
              <w:jc w:val="right"/>
              <w:rPr>
                <w:sz w:val="18"/>
                <w:szCs w:val="18"/>
                <w:lang w:val="sr-Latn-RS" w:eastAsia="sr-Latn-RS"/>
              </w:rPr>
            </w:pPr>
            <w:r w:rsidRPr="000E49F6">
              <w:rPr>
                <w:sz w:val="18"/>
                <w:szCs w:val="18"/>
                <w:lang w:val="sr-Latn-RS" w:eastAsia="sr-Latn-RS"/>
              </w:rPr>
              <w:t>374.297,17</w:t>
            </w:r>
          </w:p>
        </w:tc>
      </w:tr>
      <w:tr w:rsidR="000E49F6" w:rsidRPr="000E49F6" w14:paraId="6675AD17" w14:textId="77777777" w:rsidTr="00C41EC6">
        <w:trPr>
          <w:cantSplit/>
          <w:trHeight w:val="255"/>
        </w:trPr>
        <w:tc>
          <w:tcPr>
            <w:tcW w:w="579" w:type="dxa"/>
            <w:tcBorders>
              <w:top w:val="nil"/>
              <w:left w:val="double" w:sz="6" w:space="0" w:color="auto"/>
              <w:bottom w:val="single" w:sz="4" w:space="0" w:color="auto"/>
              <w:right w:val="single" w:sz="4" w:space="0" w:color="auto"/>
            </w:tcBorders>
            <w:shd w:val="clear" w:color="auto" w:fill="auto"/>
            <w:vAlign w:val="center"/>
            <w:hideMark/>
          </w:tcPr>
          <w:p w14:paraId="4ADCEA18" w14:textId="77777777" w:rsidR="000E49F6" w:rsidRPr="000E49F6" w:rsidRDefault="000E49F6" w:rsidP="000E49F6">
            <w:pPr>
              <w:ind w:left="0" w:right="0" w:firstLine="0"/>
              <w:jc w:val="center"/>
              <w:rPr>
                <w:sz w:val="18"/>
                <w:szCs w:val="18"/>
                <w:lang w:val="sr-Latn-RS" w:eastAsia="sr-Latn-RS"/>
              </w:rPr>
            </w:pPr>
            <w:r w:rsidRPr="000E49F6">
              <w:rPr>
                <w:sz w:val="18"/>
                <w:szCs w:val="18"/>
                <w:lang w:val="sr-Latn-RS" w:eastAsia="sr-Latn-RS"/>
              </w:rPr>
              <w:t>2</w:t>
            </w:r>
          </w:p>
        </w:tc>
        <w:tc>
          <w:tcPr>
            <w:tcW w:w="3532" w:type="dxa"/>
            <w:tcBorders>
              <w:top w:val="nil"/>
              <w:left w:val="nil"/>
              <w:bottom w:val="single" w:sz="4" w:space="0" w:color="auto"/>
              <w:right w:val="single" w:sz="4" w:space="0" w:color="auto"/>
            </w:tcBorders>
            <w:shd w:val="clear" w:color="auto" w:fill="auto"/>
            <w:vAlign w:val="center"/>
            <w:hideMark/>
          </w:tcPr>
          <w:p w14:paraId="180D6F17" w14:textId="77777777" w:rsidR="000E49F6" w:rsidRPr="000E49F6" w:rsidRDefault="000E49F6" w:rsidP="000E49F6">
            <w:pPr>
              <w:ind w:left="0" w:right="0" w:firstLine="0"/>
              <w:jc w:val="left"/>
              <w:rPr>
                <w:sz w:val="18"/>
                <w:szCs w:val="18"/>
                <w:lang w:val="sr-Latn-RS" w:eastAsia="sr-Latn-RS"/>
              </w:rPr>
            </w:pPr>
            <w:proofErr w:type="spellStart"/>
            <w:r w:rsidRPr="000E49F6">
              <w:rPr>
                <w:sz w:val="18"/>
                <w:szCs w:val="18"/>
                <w:lang w:val="sr-Latn-RS" w:eastAsia="sr-Latn-RS"/>
              </w:rPr>
              <w:t>Кабинет</w:t>
            </w:r>
            <w:proofErr w:type="spellEnd"/>
            <w:r w:rsidRPr="000E49F6">
              <w:rPr>
                <w:sz w:val="18"/>
                <w:szCs w:val="18"/>
                <w:lang w:val="sr-Latn-RS" w:eastAsia="sr-Latn-RS"/>
              </w:rPr>
              <w:t xml:space="preserve"> </w:t>
            </w:r>
            <w:proofErr w:type="spellStart"/>
            <w:r w:rsidRPr="000E49F6">
              <w:rPr>
                <w:sz w:val="18"/>
                <w:szCs w:val="18"/>
                <w:lang w:val="sr-Latn-RS" w:eastAsia="sr-Latn-RS"/>
              </w:rPr>
              <w:t>начелника</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566B8D10" w14:textId="77777777" w:rsidR="000E49F6" w:rsidRPr="000E49F6" w:rsidRDefault="000E49F6" w:rsidP="000E49F6">
            <w:pPr>
              <w:ind w:left="0" w:right="0" w:firstLine="0"/>
              <w:jc w:val="right"/>
              <w:rPr>
                <w:sz w:val="18"/>
                <w:szCs w:val="18"/>
                <w:lang w:val="sr-Latn-RS" w:eastAsia="sr-Latn-RS"/>
              </w:rPr>
            </w:pPr>
            <w:r w:rsidRPr="000E49F6">
              <w:rPr>
                <w:sz w:val="18"/>
                <w:szCs w:val="18"/>
                <w:lang w:val="sr-Latn-RS" w:eastAsia="sr-Latn-RS"/>
              </w:rPr>
              <w:t>112.100,00</w:t>
            </w:r>
          </w:p>
        </w:tc>
        <w:tc>
          <w:tcPr>
            <w:tcW w:w="1598" w:type="dxa"/>
            <w:tcBorders>
              <w:top w:val="nil"/>
              <w:left w:val="nil"/>
              <w:bottom w:val="single" w:sz="4" w:space="0" w:color="auto"/>
              <w:right w:val="single" w:sz="4" w:space="0" w:color="auto"/>
            </w:tcBorders>
            <w:shd w:val="clear" w:color="auto" w:fill="auto"/>
            <w:vAlign w:val="center"/>
            <w:hideMark/>
          </w:tcPr>
          <w:p w14:paraId="770F7221" w14:textId="77777777" w:rsidR="000E49F6" w:rsidRPr="000E49F6" w:rsidRDefault="000E49F6" w:rsidP="000E49F6">
            <w:pPr>
              <w:ind w:left="0" w:right="0" w:firstLine="0"/>
              <w:jc w:val="right"/>
              <w:rPr>
                <w:sz w:val="18"/>
                <w:szCs w:val="18"/>
                <w:lang w:val="sr-Latn-RS" w:eastAsia="sr-Latn-RS"/>
              </w:rPr>
            </w:pPr>
            <w:r w:rsidRPr="000E49F6">
              <w:rPr>
                <w:sz w:val="18"/>
                <w:szCs w:val="18"/>
                <w:lang w:val="sr-Latn-RS" w:eastAsia="sr-Latn-RS"/>
              </w:rPr>
              <w:t>112.100,00</w:t>
            </w:r>
          </w:p>
        </w:tc>
        <w:tc>
          <w:tcPr>
            <w:tcW w:w="1451" w:type="dxa"/>
            <w:tcBorders>
              <w:top w:val="nil"/>
              <w:left w:val="nil"/>
              <w:bottom w:val="single" w:sz="4" w:space="0" w:color="auto"/>
              <w:right w:val="single" w:sz="4" w:space="0" w:color="auto"/>
            </w:tcBorders>
            <w:shd w:val="clear" w:color="auto" w:fill="auto"/>
            <w:vAlign w:val="center"/>
            <w:hideMark/>
          </w:tcPr>
          <w:p w14:paraId="269A5B98" w14:textId="77777777" w:rsidR="000E49F6" w:rsidRPr="000E49F6" w:rsidRDefault="000E49F6" w:rsidP="000E49F6">
            <w:pPr>
              <w:ind w:left="0" w:right="0" w:firstLine="0"/>
              <w:jc w:val="right"/>
              <w:rPr>
                <w:sz w:val="18"/>
                <w:szCs w:val="18"/>
                <w:lang w:val="sr-Latn-RS" w:eastAsia="sr-Latn-RS"/>
              </w:rPr>
            </w:pPr>
            <w:r w:rsidRPr="000E49F6">
              <w:rPr>
                <w:sz w:val="18"/>
                <w:szCs w:val="18"/>
                <w:lang w:val="sr-Latn-RS" w:eastAsia="sr-Latn-RS"/>
              </w:rPr>
              <w:t>112.100,00</w:t>
            </w:r>
          </w:p>
        </w:tc>
        <w:tc>
          <w:tcPr>
            <w:tcW w:w="1352" w:type="dxa"/>
            <w:tcBorders>
              <w:top w:val="nil"/>
              <w:left w:val="nil"/>
              <w:bottom w:val="single" w:sz="4" w:space="0" w:color="auto"/>
              <w:right w:val="double" w:sz="6" w:space="0" w:color="auto"/>
            </w:tcBorders>
            <w:shd w:val="clear" w:color="auto" w:fill="auto"/>
            <w:vAlign w:val="center"/>
            <w:hideMark/>
          </w:tcPr>
          <w:p w14:paraId="0AB89696" w14:textId="77777777" w:rsidR="000E49F6" w:rsidRPr="000E49F6" w:rsidRDefault="000E49F6" w:rsidP="000E49F6">
            <w:pPr>
              <w:ind w:left="0" w:right="0" w:firstLine="0"/>
              <w:jc w:val="right"/>
              <w:rPr>
                <w:sz w:val="18"/>
                <w:szCs w:val="18"/>
                <w:lang w:val="sr-Latn-RS" w:eastAsia="sr-Latn-RS"/>
              </w:rPr>
            </w:pPr>
            <w:r w:rsidRPr="000E49F6">
              <w:rPr>
                <w:sz w:val="18"/>
                <w:szCs w:val="18"/>
                <w:lang w:val="sr-Latn-RS" w:eastAsia="sr-Latn-RS"/>
              </w:rPr>
              <w:t>90.857,31</w:t>
            </w:r>
          </w:p>
        </w:tc>
      </w:tr>
      <w:tr w:rsidR="000E49F6" w:rsidRPr="000E49F6" w14:paraId="2B93F299" w14:textId="77777777" w:rsidTr="00C41EC6">
        <w:trPr>
          <w:cantSplit/>
          <w:trHeight w:val="255"/>
        </w:trPr>
        <w:tc>
          <w:tcPr>
            <w:tcW w:w="579" w:type="dxa"/>
            <w:tcBorders>
              <w:top w:val="nil"/>
              <w:left w:val="double" w:sz="6" w:space="0" w:color="auto"/>
              <w:bottom w:val="single" w:sz="4" w:space="0" w:color="auto"/>
              <w:right w:val="single" w:sz="4" w:space="0" w:color="auto"/>
            </w:tcBorders>
            <w:shd w:val="clear" w:color="auto" w:fill="auto"/>
            <w:vAlign w:val="center"/>
            <w:hideMark/>
          </w:tcPr>
          <w:p w14:paraId="4B7E38D3" w14:textId="77777777" w:rsidR="000E49F6" w:rsidRPr="000E49F6" w:rsidRDefault="000E49F6" w:rsidP="000E49F6">
            <w:pPr>
              <w:ind w:left="0" w:right="0" w:firstLine="0"/>
              <w:jc w:val="center"/>
              <w:rPr>
                <w:sz w:val="20"/>
                <w:szCs w:val="20"/>
                <w:lang w:val="sr-Latn-RS" w:eastAsia="sr-Latn-RS"/>
              </w:rPr>
            </w:pPr>
            <w:r w:rsidRPr="000E49F6">
              <w:rPr>
                <w:sz w:val="20"/>
                <w:szCs w:val="20"/>
                <w:lang w:val="sr-Latn-RS" w:eastAsia="sr-Latn-RS"/>
              </w:rPr>
              <w:t>3</w:t>
            </w:r>
          </w:p>
        </w:tc>
        <w:tc>
          <w:tcPr>
            <w:tcW w:w="3532" w:type="dxa"/>
            <w:tcBorders>
              <w:top w:val="nil"/>
              <w:left w:val="nil"/>
              <w:bottom w:val="single" w:sz="4" w:space="0" w:color="auto"/>
              <w:right w:val="single" w:sz="4" w:space="0" w:color="auto"/>
            </w:tcBorders>
            <w:shd w:val="clear" w:color="auto" w:fill="auto"/>
            <w:vAlign w:val="center"/>
            <w:hideMark/>
          </w:tcPr>
          <w:p w14:paraId="4456DEF4" w14:textId="77777777" w:rsidR="000E49F6" w:rsidRPr="000E49F6" w:rsidRDefault="000E49F6" w:rsidP="000E49F6">
            <w:pPr>
              <w:ind w:left="0" w:right="0" w:firstLine="0"/>
              <w:jc w:val="left"/>
              <w:rPr>
                <w:sz w:val="20"/>
                <w:szCs w:val="20"/>
                <w:lang w:val="sr-Latn-RS" w:eastAsia="sr-Latn-RS"/>
              </w:rPr>
            </w:pPr>
            <w:proofErr w:type="spellStart"/>
            <w:r w:rsidRPr="000E49F6">
              <w:rPr>
                <w:sz w:val="20"/>
                <w:szCs w:val="20"/>
                <w:lang w:val="sr-Latn-RS" w:eastAsia="sr-Latn-RS"/>
              </w:rPr>
              <w:t>Територијална</w:t>
            </w:r>
            <w:proofErr w:type="spellEnd"/>
            <w:r w:rsidRPr="000E49F6">
              <w:rPr>
                <w:sz w:val="20"/>
                <w:szCs w:val="20"/>
                <w:lang w:val="sr-Latn-RS" w:eastAsia="sr-Latn-RS"/>
              </w:rPr>
              <w:t xml:space="preserve"> </w:t>
            </w:r>
            <w:proofErr w:type="spellStart"/>
            <w:r w:rsidRPr="000E49F6">
              <w:rPr>
                <w:sz w:val="20"/>
                <w:szCs w:val="20"/>
                <w:lang w:val="sr-Latn-RS" w:eastAsia="sr-Latn-RS"/>
              </w:rPr>
              <w:t>ватрогасна</w:t>
            </w:r>
            <w:proofErr w:type="spellEnd"/>
            <w:r w:rsidRPr="000E49F6">
              <w:rPr>
                <w:sz w:val="20"/>
                <w:szCs w:val="20"/>
                <w:lang w:val="sr-Latn-RS" w:eastAsia="sr-Latn-RS"/>
              </w:rPr>
              <w:t xml:space="preserve"> </w:t>
            </w:r>
            <w:proofErr w:type="spellStart"/>
            <w:r w:rsidRPr="000E49F6">
              <w:rPr>
                <w:sz w:val="20"/>
                <w:szCs w:val="20"/>
                <w:lang w:val="sr-Latn-RS" w:eastAsia="sr-Latn-RS"/>
              </w:rPr>
              <w:t>јединица</w:t>
            </w:r>
            <w:proofErr w:type="spellEnd"/>
            <w:r w:rsidRPr="000E49F6">
              <w:rPr>
                <w:sz w:val="20"/>
                <w:szCs w:val="20"/>
                <w:lang w:val="sr-Latn-RS" w:eastAsia="sr-Latn-RS"/>
              </w:rPr>
              <w:t xml:space="preserve"> </w:t>
            </w:r>
            <w:proofErr w:type="spellStart"/>
            <w:r w:rsidRPr="000E49F6">
              <w:rPr>
                <w:sz w:val="20"/>
                <w:szCs w:val="20"/>
                <w:lang w:val="sr-Latn-RS" w:eastAsia="sr-Latn-RS"/>
              </w:rPr>
              <w:t>Прњавор</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53B40A7C"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215.100,00</w:t>
            </w:r>
          </w:p>
        </w:tc>
        <w:tc>
          <w:tcPr>
            <w:tcW w:w="1598" w:type="dxa"/>
            <w:tcBorders>
              <w:top w:val="nil"/>
              <w:left w:val="nil"/>
              <w:bottom w:val="single" w:sz="4" w:space="0" w:color="auto"/>
              <w:right w:val="single" w:sz="4" w:space="0" w:color="auto"/>
            </w:tcBorders>
            <w:shd w:val="clear" w:color="auto" w:fill="auto"/>
            <w:vAlign w:val="center"/>
            <w:hideMark/>
          </w:tcPr>
          <w:p w14:paraId="3D031AB4"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221.800,00</w:t>
            </w:r>
          </w:p>
        </w:tc>
        <w:tc>
          <w:tcPr>
            <w:tcW w:w="1451" w:type="dxa"/>
            <w:tcBorders>
              <w:top w:val="nil"/>
              <w:left w:val="nil"/>
              <w:bottom w:val="single" w:sz="4" w:space="0" w:color="auto"/>
              <w:right w:val="nil"/>
            </w:tcBorders>
            <w:shd w:val="clear" w:color="auto" w:fill="auto"/>
            <w:vAlign w:val="center"/>
            <w:hideMark/>
          </w:tcPr>
          <w:p w14:paraId="3B243532"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221.800,00</w:t>
            </w:r>
          </w:p>
        </w:tc>
        <w:tc>
          <w:tcPr>
            <w:tcW w:w="1352" w:type="dxa"/>
            <w:tcBorders>
              <w:top w:val="nil"/>
              <w:left w:val="single" w:sz="4" w:space="0" w:color="auto"/>
              <w:bottom w:val="single" w:sz="4" w:space="0" w:color="auto"/>
              <w:right w:val="double" w:sz="6" w:space="0" w:color="auto"/>
            </w:tcBorders>
            <w:shd w:val="clear" w:color="auto" w:fill="auto"/>
            <w:vAlign w:val="center"/>
            <w:hideMark/>
          </w:tcPr>
          <w:p w14:paraId="771995C7"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220.566,13</w:t>
            </w:r>
          </w:p>
        </w:tc>
      </w:tr>
      <w:tr w:rsidR="000E49F6" w:rsidRPr="000E49F6" w14:paraId="220FFCE7" w14:textId="77777777" w:rsidTr="00C41EC6">
        <w:trPr>
          <w:cantSplit/>
          <w:trHeight w:val="255"/>
        </w:trPr>
        <w:tc>
          <w:tcPr>
            <w:tcW w:w="579" w:type="dxa"/>
            <w:tcBorders>
              <w:top w:val="nil"/>
              <w:left w:val="double" w:sz="6" w:space="0" w:color="auto"/>
              <w:bottom w:val="single" w:sz="4" w:space="0" w:color="auto"/>
              <w:right w:val="single" w:sz="4" w:space="0" w:color="auto"/>
            </w:tcBorders>
            <w:shd w:val="clear" w:color="auto" w:fill="auto"/>
            <w:vAlign w:val="center"/>
            <w:hideMark/>
          </w:tcPr>
          <w:p w14:paraId="65CEA26F" w14:textId="77777777" w:rsidR="000E49F6" w:rsidRPr="000E49F6" w:rsidRDefault="000E49F6" w:rsidP="000E49F6">
            <w:pPr>
              <w:ind w:left="0" w:right="0" w:firstLine="0"/>
              <w:jc w:val="center"/>
              <w:rPr>
                <w:sz w:val="20"/>
                <w:szCs w:val="20"/>
                <w:lang w:val="sr-Latn-RS" w:eastAsia="sr-Latn-RS"/>
              </w:rPr>
            </w:pPr>
            <w:r w:rsidRPr="000E49F6">
              <w:rPr>
                <w:sz w:val="20"/>
                <w:szCs w:val="20"/>
                <w:lang w:val="sr-Latn-RS" w:eastAsia="sr-Latn-RS"/>
              </w:rPr>
              <w:t>4</w:t>
            </w:r>
          </w:p>
        </w:tc>
        <w:tc>
          <w:tcPr>
            <w:tcW w:w="3532" w:type="dxa"/>
            <w:tcBorders>
              <w:top w:val="nil"/>
              <w:left w:val="nil"/>
              <w:bottom w:val="single" w:sz="4" w:space="0" w:color="auto"/>
              <w:right w:val="single" w:sz="4" w:space="0" w:color="auto"/>
            </w:tcBorders>
            <w:shd w:val="clear" w:color="auto" w:fill="auto"/>
            <w:vAlign w:val="center"/>
            <w:hideMark/>
          </w:tcPr>
          <w:p w14:paraId="433A67C6" w14:textId="77777777" w:rsidR="000E49F6" w:rsidRPr="000E49F6" w:rsidRDefault="000E49F6" w:rsidP="000E49F6">
            <w:pPr>
              <w:ind w:left="0" w:right="0" w:firstLine="0"/>
              <w:jc w:val="left"/>
              <w:rPr>
                <w:sz w:val="20"/>
                <w:szCs w:val="20"/>
                <w:lang w:val="sr-Latn-RS" w:eastAsia="sr-Latn-RS"/>
              </w:rPr>
            </w:pPr>
            <w:proofErr w:type="spellStart"/>
            <w:r w:rsidRPr="000E49F6">
              <w:rPr>
                <w:sz w:val="20"/>
                <w:szCs w:val="20"/>
                <w:lang w:val="sr-Latn-RS" w:eastAsia="sr-Latn-RS"/>
              </w:rPr>
              <w:t>Одсјек</w:t>
            </w:r>
            <w:proofErr w:type="spellEnd"/>
            <w:r w:rsidRPr="000E49F6">
              <w:rPr>
                <w:sz w:val="20"/>
                <w:szCs w:val="20"/>
                <w:lang w:val="sr-Latn-RS" w:eastAsia="sr-Latn-RS"/>
              </w:rPr>
              <w:t xml:space="preserve"> </w:t>
            </w:r>
            <w:proofErr w:type="spellStart"/>
            <w:r w:rsidRPr="000E49F6">
              <w:rPr>
                <w:sz w:val="20"/>
                <w:szCs w:val="20"/>
                <w:lang w:val="sr-Latn-RS" w:eastAsia="sr-Latn-RS"/>
              </w:rPr>
              <w:t>за</w:t>
            </w:r>
            <w:proofErr w:type="spellEnd"/>
            <w:r w:rsidRPr="000E49F6">
              <w:rPr>
                <w:sz w:val="20"/>
                <w:szCs w:val="20"/>
                <w:lang w:val="sr-Latn-RS" w:eastAsia="sr-Latn-RS"/>
              </w:rPr>
              <w:t xml:space="preserve"> </w:t>
            </w:r>
            <w:proofErr w:type="spellStart"/>
            <w:r w:rsidRPr="000E49F6">
              <w:rPr>
                <w:sz w:val="20"/>
                <w:szCs w:val="20"/>
                <w:lang w:val="sr-Latn-RS" w:eastAsia="sr-Latn-RS"/>
              </w:rPr>
              <w:t>цивилну</w:t>
            </w:r>
            <w:proofErr w:type="spellEnd"/>
            <w:r w:rsidRPr="000E49F6">
              <w:rPr>
                <w:sz w:val="20"/>
                <w:szCs w:val="20"/>
                <w:lang w:val="sr-Latn-RS" w:eastAsia="sr-Latn-RS"/>
              </w:rPr>
              <w:t xml:space="preserve"> </w:t>
            </w:r>
            <w:proofErr w:type="spellStart"/>
            <w:r w:rsidRPr="000E49F6">
              <w:rPr>
                <w:sz w:val="20"/>
                <w:szCs w:val="20"/>
                <w:lang w:val="sr-Latn-RS" w:eastAsia="sr-Latn-RS"/>
              </w:rPr>
              <w:t>заштиту</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32ABDC8A"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59.420,00</w:t>
            </w:r>
          </w:p>
        </w:tc>
        <w:tc>
          <w:tcPr>
            <w:tcW w:w="1598" w:type="dxa"/>
            <w:tcBorders>
              <w:top w:val="nil"/>
              <w:left w:val="nil"/>
              <w:bottom w:val="single" w:sz="4" w:space="0" w:color="auto"/>
              <w:right w:val="single" w:sz="4" w:space="0" w:color="auto"/>
            </w:tcBorders>
            <w:shd w:val="clear" w:color="auto" w:fill="auto"/>
            <w:vAlign w:val="center"/>
            <w:hideMark/>
          </w:tcPr>
          <w:p w14:paraId="06386A29"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59.420,00</w:t>
            </w:r>
          </w:p>
        </w:tc>
        <w:tc>
          <w:tcPr>
            <w:tcW w:w="1451" w:type="dxa"/>
            <w:tcBorders>
              <w:top w:val="nil"/>
              <w:left w:val="nil"/>
              <w:bottom w:val="single" w:sz="4" w:space="0" w:color="auto"/>
              <w:right w:val="nil"/>
            </w:tcBorders>
            <w:shd w:val="clear" w:color="auto" w:fill="auto"/>
            <w:vAlign w:val="center"/>
            <w:hideMark/>
          </w:tcPr>
          <w:p w14:paraId="3D4D5A12"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59.420,00</w:t>
            </w:r>
          </w:p>
        </w:tc>
        <w:tc>
          <w:tcPr>
            <w:tcW w:w="1352" w:type="dxa"/>
            <w:tcBorders>
              <w:top w:val="nil"/>
              <w:left w:val="single" w:sz="4" w:space="0" w:color="auto"/>
              <w:bottom w:val="single" w:sz="4" w:space="0" w:color="auto"/>
              <w:right w:val="double" w:sz="6" w:space="0" w:color="auto"/>
            </w:tcBorders>
            <w:shd w:val="clear" w:color="auto" w:fill="auto"/>
            <w:vAlign w:val="center"/>
            <w:hideMark/>
          </w:tcPr>
          <w:p w14:paraId="5B8540B3"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50.365,05</w:t>
            </w:r>
          </w:p>
        </w:tc>
      </w:tr>
      <w:tr w:rsidR="000E49F6" w:rsidRPr="000E49F6" w14:paraId="4B71AB3C" w14:textId="77777777" w:rsidTr="00C41EC6">
        <w:trPr>
          <w:cantSplit/>
          <w:trHeight w:val="255"/>
        </w:trPr>
        <w:tc>
          <w:tcPr>
            <w:tcW w:w="579" w:type="dxa"/>
            <w:tcBorders>
              <w:top w:val="nil"/>
              <w:left w:val="double" w:sz="6" w:space="0" w:color="auto"/>
              <w:bottom w:val="single" w:sz="4" w:space="0" w:color="auto"/>
              <w:right w:val="single" w:sz="4" w:space="0" w:color="auto"/>
            </w:tcBorders>
            <w:shd w:val="clear" w:color="auto" w:fill="auto"/>
            <w:vAlign w:val="center"/>
            <w:hideMark/>
          </w:tcPr>
          <w:p w14:paraId="5A65F6A5" w14:textId="77777777" w:rsidR="000E49F6" w:rsidRPr="000E49F6" w:rsidRDefault="000E49F6" w:rsidP="000E49F6">
            <w:pPr>
              <w:ind w:left="0" w:right="0" w:firstLine="0"/>
              <w:jc w:val="center"/>
              <w:rPr>
                <w:sz w:val="20"/>
                <w:szCs w:val="20"/>
                <w:lang w:val="sr-Latn-RS" w:eastAsia="sr-Latn-RS"/>
              </w:rPr>
            </w:pPr>
            <w:r w:rsidRPr="000E49F6">
              <w:rPr>
                <w:sz w:val="20"/>
                <w:szCs w:val="20"/>
                <w:lang w:val="sr-Latn-RS" w:eastAsia="sr-Latn-RS"/>
              </w:rPr>
              <w:t>5</w:t>
            </w:r>
          </w:p>
        </w:tc>
        <w:tc>
          <w:tcPr>
            <w:tcW w:w="3532" w:type="dxa"/>
            <w:tcBorders>
              <w:top w:val="nil"/>
              <w:left w:val="nil"/>
              <w:bottom w:val="single" w:sz="4" w:space="0" w:color="auto"/>
              <w:right w:val="single" w:sz="4" w:space="0" w:color="auto"/>
            </w:tcBorders>
            <w:shd w:val="clear" w:color="auto" w:fill="auto"/>
            <w:vAlign w:val="center"/>
            <w:hideMark/>
          </w:tcPr>
          <w:p w14:paraId="14B3F1C9" w14:textId="77777777" w:rsidR="000E49F6" w:rsidRPr="000E49F6" w:rsidRDefault="000E49F6" w:rsidP="000E49F6">
            <w:pPr>
              <w:ind w:left="0" w:right="0" w:firstLine="0"/>
              <w:jc w:val="left"/>
              <w:rPr>
                <w:sz w:val="20"/>
                <w:szCs w:val="20"/>
                <w:lang w:val="sr-Latn-RS" w:eastAsia="sr-Latn-RS"/>
              </w:rPr>
            </w:pPr>
            <w:proofErr w:type="spellStart"/>
            <w:r w:rsidRPr="000E49F6">
              <w:rPr>
                <w:sz w:val="20"/>
                <w:szCs w:val="20"/>
                <w:lang w:val="sr-Latn-RS" w:eastAsia="sr-Latn-RS"/>
              </w:rPr>
              <w:t>Одјељење</w:t>
            </w:r>
            <w:proofErr w:type="spellEnd"/>
            <w:r w:rsidRPr="000E49F6">
              <w:rPr>
                <w:sz w:val="20"/>
                <w:szCs w:val="20"/>
                <w:lang w:val="sr-Latn-RS" w:eastAsia="sr-Latn-RS"/>
              </w:rPr>
              <w:t xml:space="preserve"> </w:t>
            </w:r>
            <w:proofErr w:type="spellStart"/>
            <w:r w:rsidRPr="000E49F6">
              <w:rPr>
                <w:sz w:val="20"/>
                <w:szCs w:val="20"/>
                <w:lang w:val="sr-Latn-RS" w:eastAsia="sr-Latn-RS"/>
              </w:rPr>
              <w:t>за</w:t>
            </w:r>
            <w:proofErr w:type="spellEnd"/>
            <w:r w:rsidRPr="000E49F6">
              <w:rPr>
                <w:sz w:val="20"/>
                <w:szCs w:val="20"/>
                <w:lang w:val="sr-Latn-RS" w:eastAsia="sr-Latn-RS"/>
              </w:rPr>
              <w:t xml:space="preserve"> </w:t>
            </w:r>
            <w:proofErr w:type="spellStart"/>
            <w:r w:rsidRPr="000E49F6">
              <w:rPr>
                <w:sz w:val="20"/>
                <w:szCs w:val="20"/>
                <w:lang w:val="sr-Latn-RS" w:eastAsia="sr-Latn-RS"/>
              </w:rPr>
              <w:t>општу</w:t>
            </w:r>
            <w:proofErr w:type="spellEnd"/>
            <w:r w:rsidRPr="000E49F6">
              <w:rPr>
                <w:sz w:val="20"/>
                <w:szCs w:val="20"/>
                <w:lang w:val="sr-Latn-RS" w:eastAsia="sr-Latn-RS"/>
              </w:rPr>
              <w:t xml:space="preserve"> </w:t>
            </w:r>
            <w:proofErr w:type="spellStart"/>
            <w:r w:rsidRPr="000E49F6">
              <w:rPr>
                <w:sz w:val="20"/>
                <w:szCs w:val="20"/>
                <w:lang w:val="sr-Latn-RS" w:eastAsia="sr-Latn-RS"/>
              </w:rPr>
              <w:t>управу</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564F5754"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35.100,00</w:t>
            </w:r>
          </w:p>
        </w:tc>
        <w:tc>
          <w:tcPr>
            <w:tcW w:w="1598" w:type="dxa"/>
            <w:tcBorders>
              <w:top w:val="nil"/>
              <w:left w:val="nil"/>
              <w:bottom w:val="single" w:sz="4" w:space="0" w:color="auto"/>
              <w:right w:val="single" w:sz="4" w:space="0" w:color="auto"/>
            </w:tcBorders>
            <w:shd w:val="clear" w:color="auto" w:fill="auto"/>
            <w:vAlign w:val="center"/>
            <w:hideMark/>
          </w:tcPr>
          <w:p w14:paraId="3CD60AE8"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35.100,00</w:t>
            </w:r>
          </w:p>
        </w:tc>
        <w:tc>
          <w:tcPr>
            <w:tcW w:w="1451" w:type="dxa"/>
            <w:tcBorders>
              <w:top w:val="nil"/>
              <w:left w:val="nil"/>
              <w:bottom w:val="single" w:sz="4" w:space="0" w:color="auto"/>
              <w:right w:val="nil"/>
            </w:tcBorders>
            <w:shd w:val="clear" w:color="auto" w:fill="auto"/>
            <w:vAlign w:val="center"/>
            <w:hideMark/>
          </w:tcPr>
          <w:p w14:paraId="7A6D3481"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35.100,00</w:t>
            </w:r>
          </w:p>
        </w:tc>
        <w:tc>
          <w:tcPr>
            <w:tcW w:w="1352" w:type="dxa"/>
            <w:tcBorders>
              <w:top w:val="nil"/>
              <w:left w:val="single" w:sz="4" w:space="0" w:color="auto"/>
              <w:bottom w:val="single" w:sz="4" w:space="0" w:color="auto"/>
              <w:right w:val="double" w:sz="6" w:space="0" w:color="auto"/>
            </w:tcBorders>
            <w:shd w:val="clear" w:color="auto" w:fill="auto"/>
            <w:vAlign w:val="center"/>
            <w:hideMark/>
          </w:tcPr>
          <w:p w14:paraId="4A842AFB"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31.883,06</w:t>
            </w:r>
          </w:p>
        </w:tc>
      </w:tr>
      <w:tr w:rsidR="000E49F6" w:rsidRPr="000E49F6" w14:paraId="2818EB20" w14:textId="77777777" w:rsidTr="00C41EC6">
        <w:trPr>
          <w:cantSplit/>
          <w:trHeight w:val="255"/>
        </w:trPr>
        <w:tc>
          <w:tcPr>
            <w:tcW w:w="579" w:type="dxa"/>
            <w:tcBorders>
              <w:top w:val="nil"/>
              <w:left w:val="double" w:sz="6" w:space="0" w:color="auto"/>
              <w:bottom w:val="single" w:sz="4" w:space="0" w:color="auto"/>
              <w:right w:val="single" w:sz="4" w:space="0" w:color="auto"/>
            </w:tcBorders>
            <w:shd w:val="clear" w:color="auto" w:fill="auto"/>
            <w:vAlign w:val="center"/>
            <w:hideMark/>
          </w:tcPr>
          <w:p w14:paraId="62C304A5" w14:textId="77777777" w:rsidR="000E49F6" w:rsidRPr="000E49F6" w:rsidRDefault="000E49F6" w:rsidP="000E49F6">
            <w:pPr>
              <w:ind w:left="0" w:right="0" w:firstLine="0"/>
              <w:jc w:val="center"/>
              <w:rPr>
                <w:sz w:val="20"/>
                <w:szCs w:val="20"/>
                <w:lang w:val="sr-Latn-RS" w:eastAsia="sr-Latn-RS"/>
              </w:rPr>
            </w:pPr>
            <w:r w:rsidRPr="000E49F6">
              <w:rPr>
                <w:sz w:val="20"/>
                <w:szCs w:val="20"/>
                <w:lang w:val="sr-Latn-RS" w:eastAsia="sr-Latn-RS"/>
              </w:rPr>
              <w:t>6</w:t>
            </w:r>
          </w:p>
        </w:tc>
        <w:tc>
          <w:tcPr>
            <w:tcW w:w="3532" w:type="dxa"/>
            <w:tcBorders>
              <w:top w:val="nil"/>
              <w:left w:val="nil"/>
              <w:bottom w:val="single" w:sz="4" w:space="0" w:color="auto"/>
              <w:right w:val="single" w:sz="4" w:space="0" w:color="auto"/>
            </w:tcBorders>
            <w:shd w:val="clear" w:color="auto" w:fill="auto"/>
            <w:vAlign w:val="center"/>
            <w:hideMark/>
          </w:tcPr>
          <w:p w14:paraId="6E9624B3" w14:textId="77777777" w:rsidR="000E49F6" w:rsidRPr="000E49F6" w:rsidRDefault="000E49F6" w:rsidP="000E49F6">
            <w:pPr>
              <w:ind w:left="0" w:right="0" w:firstLine="0"/>
              <w:jc w:val="left"/>
              <w:rPr>
                <w:sz w:val="20"/>
                <w:szCs w:val="20"/>
                <w:lang w:val="sr-Latn-RS" w:eastAsia="sr-Latn-RS"/>
              </w:rPr>
            </w:pPr>
            <w:proofErr w:type="spellStart"/>
            <w:r w:rsidRPr="000E49F6">
              <w:rPr>
                <w:sz w:val="20"/>
                <w:szCs w:val="20"/>
                <w:lang w:val="sr-Latn-RS" w:eastAsia="sr-Latn-RS"/>
              </w:rPr>
              <w:t>Одјељење</w:t>
            </w:r>
            <w:proofErr w:type="spellEnd"/>
            <w:r w:rsidRPr="000E49F6">
              <w:rPr>
                <w:sz w:val="20"/>
                <w:szCs w:val="20"/>
                <w:lang w:val="sr-Latn-RS" w:eastAsia="sr-Latn-RS"/>
              </w:rPr>
              <w:t xml:space="preserve"> </w:t>
            </w:r>
            <w:proofErr w:type="spellStart"/>
            <w:r w:rsidRPr="000E49F6">
              <w:rPr>
                <w:sz w:val="20"/>
                <w:szCs w:val="20"/>
                <w:lang w:val="sr-Latn-RS" w:eastAsia="sr-Latn-RS"/>
              </w:rPr>
              <w:t>за</w:t>
            </w:r>
            <w:proofErr w:type="spellEnd"/>
            <w:r w:rsidRPr="000E49F6">
              <w:rPr>
                <w:sz w:val="20"/>
                <w:szCs w:val="20"/>
                <w:lang w:val="sr-Latn-RS" w:eastAsia="sr-Latn-RS"/>
              </w:rPr>
              <w:t xml:space="preserve"> </w:t>
            </w:r>
            <w:proofErr w:type="spellStart"/>
            <w:r w:rsidRPr="000E49F6">
              <w:rPr>
                <w:sz w:val="20"/>
                <w:szCs w:val="20"/>
                <w:lang w:val="sr-Latn-RS" w:eastAsia="sr-Latn-RS"/>
              </w:rPr>
              <w:t>финансије</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110AE369"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3.625.562,69</w:t>
            </w:r>
          </w:p>
        </w:tc>
        <w:tc>
          <w:tcPr>
            <w:tcW w:w="1598" w:type="dxa"/>
            <w:tcBorders>
              <w:top w:val="nil"/>
              <w:left w:val="nil"/>
              <w:bottom w:val="single" w:sz="4" w:space="0" w:color="auto"/>
              <w:right w:val="single" w:sz="4" w:space="0" w:color="auto"/>
            </w:tcBorders>
            <w:shd w:val="clear" w:color="auto" w:fill="auto"/>
            <w:vAlign w:val="center"/>
            <w:hideMark/>
          </w:tcPr>
          <w:p w14:paraId="69C2FAB3"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3.631.162,69</w:t>
            </w:r>
          </w:p>
        </w:tc>
        <w:tc>
          <w:tcPr>
            <w:tcW w:w="1451" w:type="dxa"/>
            <w:tcBorders>
              <w:top w:val="nil"/>
              <w:left w:val="nil"/>
              <w:bottom w:val="single" w:sz="4" w:space="0" w:color="auto"/>
              <w:right w:val="single" w:sz="4" w:space="0" w:color="auto"/>
            </w:tcBorders>
            <w:shd w:val="clear" w:color="auto" w:fill="auto"/>
            <w:vAlign w:val="center"/>
            <w:hideMark/>
          </w:tcPr>
          <w:p w14:paraId="781890C5"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3.631.162,69</w:t>
            </w:r>
          </w:p>
        </w:tc>
        <w:tc>
          <w:tcPr>
            <w:tcW w:w="1352" w:type="dxa"/>
            <w:tcBorders>
              <w:top w:val="nil"/>
              <w:left w:val="nil"/>
              <w:bottom w:val="single" w:sz="4" w:space="0" w:color="auto"/>
              <w:right w:val="double" w:sz="6" w:space="0" w:color="auto"/>
            </w:tcBorders>
            <w:shd w:val="clear" w:color="auto" w:fill="auto"/>
            <w:vAlign w:val="center"/>
            <w:hideMark/>
          </w:tcPr>
          <w:p w14:paraId="6176DD69"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3.612.348,51</w:t>
            </w:r>
          </w:p>
        </w:tc>
      </w:tr>
      <w:tr w:rsidR="000E49F6" w:rsidRPr="000E49F6" w14:paraId="2AB5A99F" w14:textId="77777777" w:rsidTr="00C41EC6">
        <w:trPr>
          <w:cantSplit/>
          <w:trHeight w:val="255"/>
        </w:trPr>
        <w:tc>
          <w:tcPr>
            <w:tcW w:w="579" w:type="dxa"/>
            <w:tcBorders>
              <w:top w:val="nil"/>
              <w:left w:val="double" w:sz="6" w:space="0" w:color="auto"/>
              <w:bottom w:val="single" w:sz="4" w:space="0" w:color="auto"/>
              <w:right w:val="single" w:sz="4" w:space="0" w:color="auto"/>
            </w:tcBorders>
            <w:shd w:val="clear" w:color="auto" w:fill="auto"/>
            <w:vAlign w:val="center"/>
            <w:hideMark/>
          </w:tcPr>
          <w:p w14:paraId="5F00E644" w14:textId="77777777" w:rsidR="000E49F6" w:rsidRPr="000E49F6" w:rsidRDefault="000E49F6" w:rsidP="000E49F6">
            <w:pPr>
              <w:ind w:left="0" w:right="0" w:firstLine="0"/>
              <w:jc w:val="center"/>
              <w:rPr>
                <w:sz w:val="20"/>
                <w:szCs w:val="20"/>
                <w:lang w:val="sr-Latn-RS" w:eastAsia="sr-Latn-RS"/>
              </w:rPr>
            </w:pPr>
            <w:r w:rsidRPr="000E49F6">
              <w:rPr>
                <w:sz w:val="20"/>
                <w:szCs w:val="20"/>
                <w:lang w:val="sr-Latn-RS" w:eastAsia="sr-Latn-RS"/>
              </w:rPr>
              <w:t>7</w:t>
            </w:r>
          </w:p>
        </w:tc>
        <w:tc>
          <w:tcPr>
            <w:tcW w:w="3532" w:type="dxa"/>
            <w:tcBorders>
              <w:top w:val="nil"/>
              <w:left w:val="nil"/>
              <w:bottom w:val="single" w:sz="4" w:space="0" w:color="auto"/>
              <w:right w:val="single" w:sz="4" w:space="0" w:color="auto"/>
            </w:tcBorders>
            <w:shd w:val="clear" w:color="auto" w:fill="auto"/>
            <w:vAlign w:val="center"/>
            <w:hideMark/>
          </w:tcPr>
          <w:p w14:paraId="408EAF05" w14:textId="77777777" w:rsidR="000E49F6" w:rsidRPr="000E49F6" w:rsidRDefault="000E49F6" w:rsidP="000E49F6">
            <w:pPr>
              <w:ind w:left="0" w:right="0" w:firstLine="0"/>
              <w:jc w:val="left"/>
              <w:rPr>
                <w:sz w:val="20"/>
                <w:szCs w:val="20"/>
                <w:lang w:val="sr-Latn-RS" w:eastAsia="sr-Latn-RS"/>
              </w:rPr>
            </w:pPr>
            <w:proofErr w:type="spellStart"/>
            <w:r w:rsidRPr="000E49F6">
              <w:rPr>
                <w:sz w:val="20"/>
                <w:szCs w:val="20"/>
                <w:lang w:val="sr-Latn-RS" w:eastAsia="sr-Latn-RS"/>
              </w:rPr>
              <w:t>Одјељење</w:t>
            </w:r>
            <w:proofErr w:type="spellEnd"/>
            <w:r w:rsidRPr="000E49F6">
              <w:rPr>
                <w:sz w:val="20"/>
                <w:szCs w:val="20"/>
                <w:lang w:val="sr-Latn-RS" w:eastAsia="sr-Latn-RS"/>
              </w:rPr>
              <w:t xml:space="preserve"> </w:t>
            </w:r>
            <w:proofErr w:type="spellStart"/>
            <w:r w:rsidRPr="000E49F6">
              <w:rPr>
                <w:sz w:val="20"/>
                <w:szCs w:val="20"/>
                <w:lang w:val="sr-Latn-RS" w:eastAsia="sr-Latn-RS"/>
              </w:rPr>
              <w:t>за</w:t>
            </w:r>
            <w:proofErr w:type="spellEnd"/>
            <w:r w:rsidRPr="000E49F6">
              <w:rPr>
                <w:sz w:val="20"/>
                <w:szCs w:val="20"/>
                <w:lang w:val="sr-Latn-RS" w:eastAsia="sr-Latn-RS"/>
              </w:rPr>
              <w:t xml:space="preserve"> </w:t>
            </w:r>
            <w:proofErr w:type="spellStart"/>
            <w:r w:rsidRPr="000E49F6">
              <w:rPr>
                <w:sz w:val="20"/>
                <w:szCs w:val="20"/>
                <w:lang w:val="sr-Latn-RS" w:eastAsia="sr-Latn-RS"/>
              </w:rPr>
              <w:t>локални</w:t>
            </w:r>
            <w:proofErr w:type="spellEnd"/>
            <w:r w:rsidRPr="000E49F6">
              <w:rPr>
                <w:sz w:val="20"/>
                <w:szCs w:val="20"/>
                <w:lang w:val="sr-Latn-RS" w:eastAsia="sr-Latn-RS"/>
              </w:rPr>
              <w:t xml:space="preserve"> </w:t>
            </w:r>
            <w:proofErr w:type="spellStart"/>
            <w:r w:rsidRPr="000E49F6">
              <w:rPr>
                <w:sz w:val="20"/>
                <w:szCs w:val="20"/>
                <w:lang w:val="sr-Latn-RS" w:eastAsia="sr-Latn-RS"/>
              </w:rPr>
              <w:t>економски</w:t>
            </w:r>
            <w:proofErr w:type="spellEnd"/>
            <w:r w:rsidRPr="000E49F6">
              <w:rPr>
                <w:sz w:val="20"/>
                <w:szCs w:val="20"/>
                <w:lang w:val="sr-Latn-RS" w:eastAsia="sr-Latn-RS"/>
              </w:rPr>
              <w:t xml:space="preserve"> </w:t>
            </w:r>
            <w:proofErr w:type="spellStart"/>
            <w:r w:rsidRPr="000E49F6">
              <w:rPr>
                <w:sz w:val="20"/>
                <w:szCs w:val="20"/>
                <w:lang w:val="sr-Latn-RS" w:eastAsia="sr-Latn-RS"/>
              </w:rPr>
              <w:t>развој</w:t>
            </w:r>
            <w:proofErr w:type="spellEnd"/>
            <w:r w:rsidRPr="000E49F6">
              <w:rPr>
                <w:sz w:val="20"/>
                <w:szCs w:val="20"/>
                <w:lang w:val="sr-Latn-RS" w:eastAsia="sr-Latn-RS"/>
              </w:rPr>
              <w:t xml:space="preserve"> и </w:t>
            </w:r>
            <w:proofErr w:type="spellStart"/>
            <w:r w:rsidRPr="000E49F6">
              <w:rPr>
                <w:sz w:val="20"/>
                <w:szCs w:val="20"/>
                <w:lang w:val="sr-Latn-RS" w:eastAsia="sr-Latn-RS"/>
              </w:rPr>
              <w:t>друштвене</w:t>
            </w:r>
            <w:proofErr w:type="spellEnd"/>
            <w:r w:rsidRPr="000E49F6">
              <w:rPr>
                <w:sz w:val="20"/>
                <w:szCs w:val="20"/>
                <w:lang w:val="sr-Latn-RS" w:eastAsia="sr-Latn-RS"/>
              </w:rPr>
              <w:t xml:space="preserve"> </w:t>
            </w:r>
            <w:proofErr w:type="spellStart"/>
            <w:r w:rsidRPr="000E49F6">
              <w:rPr>
                <w:sz w:val="20"/>
                <w:szCs w:val="20"/>
                <w:lang w:val="sr-Latn-RS" w:eastAsia="sr-Latn-RS"/>
              </w:rPr>
              <w:t>дјелатности</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3CDD375F"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1.555.324,10</w:t>
            </w:r>
          </w:p>
        </w:tc>
        <w:tc>
          <w:tcPr>
            <w:tcW w:w="1598" w:type="dxa"/>
            <w:tcBorders>
              <w:top w:val="nil"/>
              <w:left w:val="nil"/>
              <w:bottom w:val="single" w:sz="4" w:space="0" w:color="auto"/>
              <w:right w:val="single" w:sz="4" w:space="0" w:color="auto"/>
            </w:tcBorders>
            <w:shd w:val="clear" w:color="auto" w:fill="auto"/>
            <w:vAlign w:val="center"/>
            <w:hideMark/>
          </w:tcPr>
          <w:p w14:paraId="0DA20836"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1.585.776,67</w:t>
            </w:r>
          </w:p>
        </w:tc>
        <w:tc>
          <w:tcPr>
            <w:tcW w:w="1451" w:type="dxa"/>
            <w:tcBorders>
              <w:top w:val="nil"/>
              <w:left w:val="nil"/>
              <w:bottom w:val="single" w:sz="4" w:space="0" w:color="auto"/>
              <w:right w:val="single" w:sz="4" w:space="0" w:color="auto"/>
            </w:tcBorders>
            <w:shd w:val="clear" w:color="auto" w:fill="auto"/>
            <w:vAlign w:val="center"/>
            <w:hideMark/>
          </w:tcPr>
          <w:p w14:paraId="1C21CB26"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1.585.776,67</w:t>
            </w:r>
          </w:p>
        </w:tc>
        <w:tc>
          <w:tcPr>
            <w:tcW w:w="1352" w:type="dxa"/>
            <w:tcBorders>
              <w:top w:val="nil"/>
              <w:left w:val="nil"/>
              <w:bottom w:val="single" w:sz="4" w:space="0" w:color="auto"/>
              <w:right w:val="double" w:sz="6" w:space="0" w:color="auto"/>
            </w:tcBorders>
            <w:shd w:val="clear" w:color="auto" w:fill="auto"/>
            <w:vAlign w:val="center"/>
            <w:hideMark/>
          </w:tcPr>
          <w:p w14:paraId="577B27E0"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1.358.272,23</w:t>
            </w:r>
          </w:p>
        </w:tc>
      </w:tr>
      <w:tr w:rsidR="000E49F6" w:rsidRPr="000E49F6" w14:paraId="3F8C6C00" w14:textId="77777777" w:rsidTr="00C41EC6">
        <w:trPr>
          <w:cantSplit/>
          <w:trHeight w:val="255"/>
        </w:trPr>
        <w:tc>
          <w:tcPr>
            <w:tcW w:w="579" w:type="dxa"/>
            <w:tcBorders>
              <w:top w:val="nil"/>
              <w:left w:val="double" w:sz="6" w:space="0" w:color="auto"/>
              <w:bottom w:val="single" w:sz="4" w:space="0" w:color="auto"/>
              <w:right w:val="single" w:sz="4" w:space="0" w:color="auto"/>
            </w:tcBorders>
            <w:shd w:val="clear" w:color="auto" w:fill="auto"/>
            <w:vAlign w:val="center"/>
            <w:hideMark/>
          </w:tcPr>
          <w:p w14:paraId="16390C29" w14:textId="77777777" w:rsidR="000E49F6" w:rsidRPr="000E49F6" w:rsidRDefault="000E49F6" w:rsidP="000E49F6">
            <w:pPr>
              <w:ind w:left="0" w:right="0" w:firstLine="0"/>
              <w:jc w:val="center"/>
              <w:rPr>
                <w:sz w:val="20"/>
                <w:szCs w:val="20"/>
                <w:lang w:val="sr-Latn-RS" w:eastAsia="sr-Latn-RS"/>
              </w:rPr>
            </w:pPr>
            <w:r w:rsidRPr="000E49F6">
              <w:rPr>
                <w:sz w:val="20"/>
                <w:szCs w:val="20"/>
                <w:lang w:val="sr-Latn-RS" w:eastAsia="sr-Latn-RS"/>
              </w:rPr>
              <w:t>8</w:t>
            </w:r>
          </w:p>
        </w:tc>
        <w:tc>
          <w:tcPr>
            <w:tcW w:w="3532" w:type="dxa"/>
            <w:tcBorders>
              <w:top w:val="nil"/>
              <w:left w:val="nil"/>
              <w:bottom w:val="nil"/>
              <w:right w:val="single" w:sz="4" w:space="0" w:color="auto"/>
            </w:tcBorders>
            <w:shd w:val="clear" w:color="auto" w:fill="auto"/>
            <w:vAlign w:val="center"/>
            <w:hideMark/>
          </w:tcPr>
          <w:p w14:paraId="25943ABE" w14:textId="77777777" w:rsidR="000E49F6" w:rsidRPr="000E49F6" w:rsidRDefault="000E49F6" w:rsidP="000E49F6">
            <w:pPr>
              <w:ind w:left="0" w:right="0" w:firstLine="0"/>
              <w:jc w:val="left"/>
              <w:rPr>
                <w:sz w:val="20"/>
                <w:szCs w:val="20"/>
                <w:lang w:val="sr-Latn-RS" w:eastAsia="sr-Latn-RS"/>
              </w:rPr>
            </w:pPr>
            <w:proofErr w:type="spellStart"/>
            <w:r w:rsidRPr="000E49F6">
              <w:rPr>
                <w:sz w:val="20"/>
                <w:szCs w:val="20"/>
                <w:lang w:val="sr-Latn-RS" w:eastAsia="sr-Latn-RS"/>
              </w:rPr>
              <w:t>Одјељење</w:t>
            </w:r>
            <w:proofErr w:type="spellEnd"/>
            <w:r w:rsidRPr="000E49F6">
              <w:rPr>
                <w:sz w:val="20"/>
                <w:szCs w:val="20"/>
                <w:lang w:val="sr-Latn-RS" w:eastAsia="sr-Latn-RS"/>
              </w:rPr>
              <w:t xml:space="preserve"> </w:t>
            </w:r>
            <w:proofErr w:type="spellStart"/>
            <w:r w:rsidRPr="000E49F6">
              <w:rPr>
                <w:sz w:val="20"/>
                <w:szCs w:val="20"/>
                <w:lang w:val="sr-Latn-RS" w:eastAsia="sr-Latn-RS"/>
              </w:rPr>
              <w:t>за</w:t>
            </w:r>
            <w:proofErr w:type="spellEnd"/>
            <w:r w:rsidRPr="000E49F6">
              <w:rPr>
                <w:sz w:val="20"/>
                <w:szCs w:val="20"/>
                <w:lang w:val="sr-Latn-RS" w:eastAsia="sr-Latn-RS"/>
              </w:rPr>
              <w:t xml:space="preserve"> </w:t>
            </w:r>
            <w:proofErr w:type="spellStart"/>
            <w:r w:rsidRPr="000E49F6">
              <w:rPr>
                <w:sz w:val="20"/>
                <w:szCs w:val="20"/>
                <w:lang w:val="sr-Latn-RS" w:eastAsia="sr-Latn-RS"/>
              </w:rPr>
              <w:t>просторно</w:t>
            </w:r>
            <w:proofErr w:type="spellEnd"/>
            <w:r w:rsidRPr="000E49F6">
              <w:rPr>
                <w:sz w:val="20"/>
                <w:szCs w:val="20"/>
                <w:lang w:val="sr-Latn-RS" w:eastAsia="sr-Latn-RS"/>
              </w:rPr>
              <w:t xml:space="preserve"> </w:t>
            </w:r>
            <w:proofErr w:type="spellStart"/>
            <w:r w:rsidRPr="000E49F6">
              <w:rPr>
                <w:sz w:val="20"/>
                <w:szCs w:val="20"/>
                <w:lang w:val="sr-Latn-RS" w:eastAsia="sr-Latn-RS"/>
              </w:rPr>
              <w:t>уређење</w:t>
            </w:r>
            <w:proofErr w:type="spellEnd"/>
          </w:p>
        </w:tc>
        <w:tc>
          <w:tcPr>
            <w:tcW w:w="1418" w:type="dxa"/>
            <w:tcBorders>
              <w:top w:val="nil"/>
              <w:left w:val="nil"/>
              <w:bottom w:val="nil"/>
              <w:right w:val="single" w:sz="4" w:space="0" w:color="auto"/>
            </w:tcBorders>
            <w:shd w:val="clear" w:color="auto" w:fill="auto"/>
            <w:vAlign w:val="center"/>
            <w:hideMark/>
          </w:tcPr>
          <w:p w14:paraId="429E4731"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79.400,00</w:t>
            </w:r>
          </w:p>
        </w:tc>
        <w:tc>
          <w:tcPr>
            <w:tcW w:w="1598" w:type="dxa"/>
            <w:tcBorders>
              <w:top w:val="nil"/>
              <w:left w:val="nil"/>
              <w:bottom w:val="nil"/>
              <w:right w:val="single" w:sz="4" w:space="0" w:color="auto"/>
            </w:tcBorders>
            <w:shd w:val="clear" w:color="auto" w:fill="auto"/>
            <w:vAlign w:val="center"/>
            <w:hideMark/>
          </w:tcPr>
          <w:p w14:paraId="4D1DF72B"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79.400,00</w:t>
            </w:r>
          </w:p>
        </w:tc>
        <w:tc>
          <w:tcPr>
            <w:tcW w:w="1451" w:type="dxa"/>
            <w:tcBorders>
              <w:top w:val="nil"/>
              <w:left w:val="nil"/>
              <w:bottom w:val="single" w:sz="4" w:space="0" w:color="auto"/>
              <w:right w:val="nil"/>
            </w:tcBorders>
            <w:shd w:val="clear" w:color="auto" w:fill="auto"/>
            <w:vAlign w:val="center"/>
            <w:hideMark/>
          </w:tcPr>
          <w:p w14:paraId="11A01AB2"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79.400,00</w:t>
            </w:r>
          </w:p>
        </w:tc>
        <w:tc>
          <w:tcPr>
            <w:tcW w:w="1352" w:type="dxa"/>
            <w:tcBorders>
              <w:top w:val="nil"/>
              <w:left w:val="single" w:sz="4" w:space="0" w:color="auto"/>
              <w:bottom w:val="single" w:sz="4" w:space="0" w:color="auto"/>
              <w:right w:val="double" w:sz="6" w:space="0" w:color="auto"/>
            </w:tcBorders>
            <w:shd w:val="clear" w:color="auto" w:fill="auto"/>
            <w:vAlign w:val="center"/>
            <w:hideMark/>
          </w:tcPr>
          <w:p w14:paraId="462CCB9F"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49.834,30</w:t>
            </w:r>
          </w:p>
        </w:tc>
      </w:tr>
      <w:tr w:rsidR="000E49F6" w:rsidRPr="000E49F6" w14:paraId="047B34BC" w14:textId="77777777" w:rsidTr="00C41EC6">
        <w:trPr>
          <w:cantSplit/>
          <w:trHeight w:val="255"/>
        </w:trPr>
        <w:tc>
          <w:tcPr>
            <w:tcW w:w="579" w:type="dxa"/>
            <w:tcBorders>
              <w:top w:val="nil"/>
              <w:left w:val="double" w:sz="6" w:space="0" w:color="auto"/>
              <w:bottom w:val="single" w:sz="4" w:space="0" w:color="auto"/>
              <w:right w:val="single" w:sz="4" w:space="0" w:color="auto"/>
            </w:tcBorders>
            <w:shd w:val="clear" w:color="auto" w:fill="auto"/>
            <w:vAlign w:val="center"/>
            <w:hideMark/>
          </w:tcPr>
          <w:p w14:paraId="091822A8" w14:textId="77777777" w:rsidR="000E49F6" w:rsidRPr="000E49F6" w:rsidRDefault="000E49F6" w:rsidP="000E49F6">
            <w:pPr>
              <w:ind w:left="0" w:right="0" w:firstLine="0"/>
              <w:jc w:val="center"/>
              <w:rPr>
                <w:sz w:val="20"/>
                <w:szCs w:val="20"/>
                <w:lang w:val="sr-Latn-RS" w:eastAsia="sr-Latn-RS"/>
              </w:rPr>
            </w:pPr>
            <w:r w:rsidRPr="000E49F6">
              <w:rPr>
                <w:sz w:val="20"/>
                <w:szCs w:val="20"/>
                <w:lang w:val="sr-Latn-RS" w:eastAsia="sr-Latn-RS"/>
              </w:rPr>
              <w:t>9</w:t>
            </w:r>
          </w:p>
        </w:tc>
        <w:tc>
          <w:tcPr>
            <w:tcW w:w="3532" w:type="dxa"/>
            <w:tcBorders>
              <w:top w:val="single" w:sz="4" w:space="0" w:color="auto"/>
              <w:left w:val="nil"/>
              <w:bottom w:val="single" w:sz="4" w:space="0" w:color="auto"/>
              <w:right w:val="single" w:sz="4" w:space="0" w:color="auto"/>
            </w:tcBorders>
            <w:shd w:val="clear" w:color="auto" w:fill="auto"/>
            <w:vAlign w:val="center"/>
            <w:hideMark/>
          </w:tcPr>
          <w:p w14:paraId="7DF634A9" w14:textId="77777777" w:rsidR="000E49F6" w:rsidRPr="000E49F6" w:rsidRDefault="000E49F6" w:rsidP="000E49F6">
            <w:pPr>
              <w:ind w:left="0" w:right="0" w:firstLine="0"/>
              <w:jc w:val="left"/>
              <w:rPr>
                <w:sz w:val="20"/>
                <w:szCs w:val="20"/>
                <w:lang w:val="sr-Latn-RS" w:eastAsia="sr-Latn-RS"/>
              </w:rPr>
            </w:pPr>
            <w:proofErr w:type="spellStart"/>
            <w:r w:rsidRPr="000E49F6">
              <w:rPr>
                <w:sz w:val="20"/>
                <w:szCs w:val="20"/>
                <w:lang w:val="sr-Latn-RS" w:eastAsia="sr-Latn-RS"/>
              </w:rPr>
              <w:t>Одјељење</w:t>
            </w:r>
            <w:proofErr w:type="spellEnd"/>
            <w:r w:rsidRPr="000E49F6">
              <w:rPr>
                <w:sz w:val="20"/>
                <w:szCs w:val="20"/>
                <w:lang w:val="sr-Latn-RS" w:eastAsia="sr-Latn-RS"/>
              </w:rPr>
              <w:t xml:space="preserve"> </w:t>
            </w:r>
            <w:proofErr w:type="spellStart"/>
            <w:r w:rsidRPr="000E49F6">
              <w:rPr>
                <w:sz w:val="20"/>
                <w:szCs w:val="20"/>
                <w:lang w:val="sr-Latn-RS" w:eastAsia="sr-Latn-RS"/>
              </w:rPr>
              <w:t>за</w:t>
            </w:r>
            <w:proofErr w:type="spellEnd"/>
            <w:r w:rsidRPr="000E49F6">
              <w:rPr>
                <w:sz w:val="20"/>
                <w:szCs w:val="20"/>
                <w:lang w:val="sr-Latn-RS" w:eastAsia="sr-Latn-RS"/>
              </w:rPr>
              <w:t xml:space="preserve"> </w:t>
            </w:r>
            <w:proofErr w:type="spellStart"/>
            <w:r w:rsidRPr="000E49F6">
              <w:rPr>
                <w:sz w:val="20"/>
                <w:szCs w:val="20"/>
                <w:lang w:val="sr-Latn-RS" w:eastAsia="sr-Latn-RS"/>
              </w:rPr>
              <w:t>стамбено-комуналне</w:t>
            </w:r>
            <w:proofErr w:type="spellEnd"/>
            <w:r w:rsidRPr="000E49F6">
              <w:rPr>
                <w:sz w:val="20"/>
                <w:szCs w:val="20"/>
                <w:lang w:val="sr-Latn-RS" w:eastAsia="sr-Latn-RS"/>
              </w:rPr>
              <w:t xml:space="preserve"> </w:t>
            </w:r>
            <w:proofErr w:type="spellStart"/>
            <w:r w:rsidRPr="000E49F6">
              <w:rPr>
                <w:sz w:val="20"/>
                <w:szCs w:val="20"/>
                <w:lang w:val="sr-Latn-RS" w:eastAsia="sr-Latn-RS"/>
              </w:rPr>
              <w:t>послове</w:t>
            </w:r>
            <w:proofErr w:type="spellEnd"/>
            <w:r w:rsidRPr="000E49F6">
              <w:rPr>
                <w:sz w:val="20"/>
                <w:szCs w:val="20"/>
                <w:lang w:val="sr-Latn-RS" w:eastAsia="sr-Latn-RS"/>
              </w:rPr>
              <w:t xml:space="preserve"> и </w:t>
            </w:r>
            <w:proofErr w:type="spellStart"/>
            <w:r w:rsidRPr="000E49F6">
              <w:rPr>
                <w:sz w:val="20"/>
                <w:szCs w:val="20"/>
                <w:lang w:val="sr-Latn-RS" w:eastAsia="sr-Latn-RS"/>
              </w:rPr>
              <w:t>инвестиције</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94F28FC"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4.420.690,00</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14:paraId="1CE4337A"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4.446.190,00</w:t>
            </w:r>
          </w:p>
        </w:tc>
        <w:tc>
          <w:tcPr>
            <w:tcW w:w="1451" w:type="dxa"/>
            <w:tcBorders>
              <w:top w:val="nil"/>
              <w:left w:val="nil"/>
              <w:bottom w:val="single" w:sz="4" w:space="0" w:color="auto"/>
              <w:right w:val="single" w:sz="4" w:space="0" w:color="auto"/>
            </w:tcBorders>
            <w:shd w:val="clear" w:color="auto" w:fill="auto"/>
            <w:vAlign w:val="center"/>
            <w:hideMark/>
          </w:tcPr>
          <w:p w14:paraId="79978052"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4.446.190,00</w:t>
            </w:r>
          </w:p>
        </w:tc>
        <w:tc>
          <w:tcPr>
            <w:tcW w:w="1352" w:type="dxa"/>
            <w:tcBorders>
              <w:top w:val="nil"/>
              <w:left w:val="nil"/>
              <w:bottom w:val="single" w:sz="4" w:space="0" w:color="auto"/>
              <w:right w:val="double" w:sz="6" w:space="0" w:color="auto"/>
            </w:tcBorders>
            <w:shd w:val="clear" w:color="auto" w:fill="auto"/>
            <w:vAlign w:val="center"/>
            <w:hideMark/>
          </w:tcPr>
          <w:p w14:paraId="4422C20D"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4.115.781,55</w:t>
            </w:r>
          </w:p>
        </w:tc>
      </w:tr>
      <w:tr w:rsidR="000E49F6" w:rsidRPr="000E49F6" w14:paraId="5240A385" w14:textId="77777777" w:rsidTr="00C41EC6">
        <w:trPr>
          <w:cantSplit/>
          <w:trHeight w:val="255"/>
        </w:trPr>
        <w:tc>
          <w:tcPr>
            <w:tcW w:w="579" w:type="dxa"/>
            <w:tcBorders>
              <w:top w:val="nil"/>
              <w:left w:val="double" w:sz="6" w:space="0" w:color="auto"/>
              <w:bottom w:val="single" w:sz="4" w:space="0" w:color="auto"/>
              <w:right w:val="single" w:sz="4" w:space="0" w:color="auto"/>
            </w:tcBorders>
            <w:shd w:val="clear" w:color="auto" w:fill="auto"/>
            <w:vAlign w:val="center"/>
            <w:hideMark/>
          </w:tcPr>
          <w:p w14:paraId="05A2B2C5" w14:textId="77777777" w:rsidR="000E49F6" w:rsidRPr="000E49F6" w:rsidRDefault="000E49F6" w:rsidP="000E49F6">
            <w:pPr>
              <w:ind w:left="0" w:right="0" w:firstLine="0"/>
              <w:jc w:val="center"/>
              <w:rPr>
                <w:sz w:val="20"/>
                <w:szCs w:val="20"/>
                <w:lang w:val="sr-Latn-RS" w:eastAsia="sr-Latn-RS"/>
              </w:rPr>
            </w:pPr>
            <w:r w:rsidRPr="000E49F6">
              <w:rPr>
                <w:sz w:val="20"/>
                <w:szCs w:val="20"/>
                <w:lang w:val="sr-Latn-RS" w:eastAsia="sr-Latn-RS"/>
              </w:rPr>
              <w:t>10</w:t>
            </w:r>
          </w:p>
        </w:tc>
        <w:tc>
          <w:tcPr>
            <w:tcW w:w="3532" w:type="dxa"/>
            <w:tcBorders>
              <w:top w:val="nil"/>
              <w:left w:val="nil"/>
              <w:bottom w:val="single" w:sz="4" w:space="0" w:color="auto"/>
              <w:right w:val="single" w:sz="4" w:space="0" w:color="auto"/>
            </w:tcBorders>
            <w:shd w:val="clear" w:color="auto" w:fill="auto"/>
            <w:vAlign w:val="center"/>
            <w:hideMark/>
          </w:tcPr>
          <w:p w14:paraId="4DB0D1F5" w14:textId="77777777" w:rsidR="000E49F6" w:rsidRPr="000E49F6" w:rsidRDefault="000E49F6" w:rsidP="000E49F6">
            <w:pPr>
              <w:ind w:left="0" w:right="0" w:firstLine="0"/>
              <w:jc w:val="left"/>
              <w:rPr>
                <w:sz w:val="20"/>
                <w:szCs w:val="20"/>
                <w:lang w:val="sr-Latn-RS" w:eastAsia="sr-Latn-RS"/>
              </w:rPr>
            </w:pPr>
            <w:proofErr w:type="spellStart"/>
            <w:r w:rsidRPr="000E49F6">
              <w:rPr>
                <w:sz w:val="20"/>
                <w:szCs w:val="20"/>
                <w:lang w:val="sr-Latn-RS" w:eastAsia="sr-Latn-RS"/>
              </w:rPr>
              <w:t>Одјељење</w:t>
            </w:r>
            <w:proofErr w:type="spellEnd"/>
            <w:r w:rsidRPr="000E49F6">
              <w:rPr>
                <w:sz w:val="20"/>
                <w:szCs w:val="20"/>
                <w:lang w:val="sr-Latn-RS" w:eastAsia="sr-Latn-RS"/>
              </w:rPr>
              <w:t xml:space="preserve"> </w:t>
            </w:r>
            <w:proofErr w:type="spellStart"/>
            <w:r w:rsidRPr="000E49F6">
              <w:rPr>
                <w:sz w:val="20"/>
                <w:szCs w:val="20"/>
                <w:lang w:val="sr-Latn-RS" w:eastAsia="sr-Latn-RS"/>
              </w:rPr>
              <w:t>за</w:t>
            </w:r>
            <w:proofErr w:type="spellEnd"/>
            <w:r w:rsidRPr="000E49F6">
              <w:rPr>
                <w:sz w:val="20"/>
                <w:szCs w:val="20"/>
                <w:lang w:val="sr-Latn-RS" w:eastAsia="sr-Latn-RS"/>
              </w:rPr>
              <w:t xml:space="preserve"> </w:t>
            </w:r>
            <w:proofErr w:type="spellStart"/>
            <w:r w:rsidRPr="000E49F6">
              <w:rPr>
                <w:sz w:val="20"/>
                <w:szCs w:val="20"/>
                <w:lang w:val="sr-Latn-RS" w:eastAsia="sr-Latn-RS"/>
              </w:rPr>
              <w:t>борачко-инвалидску</w:t>
            </w:r>
            <w:proofErr w:type="spellEnd"/>
            <w:r w:rsidRPr="000E49F6">
              <w:rPr>
                <w:sz w:val="20"/>
                <w:szCs w:val="20"/>
                <w:lang w:val="sr-Latn-RS" w:eastAsia="sr-Latn-RS"/>
              </w:rPr>
              <w:t xml:space="preserve"> </w:t>
            </w:r>
            <w:proofErr w:type="spellStart"/>
            <w:r w:rsidRPr="000E49F6">
              <w:rPr>
                <w:sz w:val="20"/>
                <w:szCs w:val="20"/>
                <w:lang w:val="sr-Latn-RS" w:eastAsia="sr-Latn-RS"/>
              </w:rPr>
              <w:t>заштиту</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13738C28"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269.088,00</w:t>
            </w:r>
          </w:p>
        </w:tc>
        <w:tc>
          <w:tcPr>
            <w:tcW w:w="1598" w:type="dxa"/>
            <w:tcBorders>
              <w:top w:val="nil"/>
              <w:left w:val="nil"/>
              <w:bottom w:val="single" w:sz="4" w:space="0" w:color="auto"/>
              <w:right w:val="single" w:sz="4" w:space="0" w:color="auto"/>
            </w:tcBorders>
            <w:shd w:val="clear" w:color="auto" w:fill="auto"/>
            <w:vAlign w:val="center"/>
            <w:hideMark/>
          </w:tcPr>
          <w:p w14:paraId="52D4A070"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270.922,00</w:t>
            </w:r>
          </w:p>
        </w:tc>
        <w:tc>
          <w:tcPr>
            <w:tcW w:w="1451" w:type="dxa"/>
            <w:tcBorders>
              <w:top w:val="nil"/>
              <w:left w:val="nil"/>
              <w:bottom w:val="single" w:sz="4" w:space="0" w:color="auto"/>
              <w:right w:val="single" w:sz="4" w:space="0" w:color="auto"/>
            </w:tcBorders>
            <w:shd w:val="clear" w:color="auto" w:fill="auto"/>
            <w:vAlign w:val="center"/>
            <w:hideMark/>
          </w:tcPr>
          <w:p w14:paraId="421BD496"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270.922,00</w:t>
            </w:r>
          </w:p>
        </w:tc>
        <w:tc>
          <w:tcPr>
            <w:tcW w:w="1352" w:type="dxa"/>
            <w:tcBorders>
              <w:top w:val="nil"/>
              <w:left w:val="nil"/>
              <w:bottom w:val="single" w:sz="4" w:space="0" w:color="auto"/>
              <w:right w:val="double" w:sz="6" w:space="0" w:color="auto"/>
            </w:tcBorders>
            <w:shd w:val="clear" w:color="auto" w:fill="auto"/>
            <w:vAlign w:val="center"/>
            <w:hideMark/>
          </w:tcPr>
          <w:p w14:paraId="40B7478C"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249.010,39</w:t>
            </w:r>
          </w:p>
        </w:tc>
      </w:tr>
      <w:tr w:rsidR="000E49F6" w:rsidRPr="000E49F6" w14:paraId="0324F72C" w14:textId="77777777" w:rsidTr="00C41EC6">
        <w:trPr>
          <w:cantSplit/>
          <w:trHeight w:val="255"/>
        </w:trPr>
        <w:tc>
          <w:tcPr>
            <w:tcW w:w="579" w:type="dxa"/>
            <w:tcBorders>
              <w:top w:val="nil"/>
              <w:left w:val="double" w:sz="6" w:space="0" w:color="auto"/>
              <w:bottom w:val="single" w:sz="4" w:space="0" w:color="auto"/>
              <w:right w:val="single" w:sz="4" w:space="0" w:color="auto"/>
            </w:tcBorders>
            <w:shd w:val="clear" w:color="auto" w:fill="auto"/>
            <w:vAlign w:val="center"/>
            <w:hideMark/>
          </w:tcPr>
          <w:p w14:paraId="14CE011B" w14:textId="77777777" w:rsidR="000E49F6" w:rsidRPr="000E49F6" w:rsidRDefault="000E49F6" w:rsidP="000E49F6">
            <w:pPr>
              <w:ind w:left="0" w:right="0" w:firstLine="0"/>
              <w:jc w:val="center"/>
              <w:rPr>
                <w:sz w:val="20"/>
                <w:szCs w:val="20"/>
                <w:lang w:val="sr-Latn-RS" w:eastAsia="sr-Latn-RS"/>
              </w:rPr>
            </w:pPr>
            <w:r w:rsidRPr="000E49F6">
              <w:rPr>
                <w:sz w:val="20"/>
                <w:szCs w:val="20"/>
                <w:lang w:val="sr-Latn-RS" w:eastAsia="sr-Latn-RS"/>
              </w:rPr>
              <w:t>11</w:t>
            </w:r>
          </w:p>
        </w:tc>
        <w:tc>
          <w:tcPr>
            <w:tcW w:w="3532" w:type="dxa"/>
            <w:tcBorders>
              <w:top w:val="nil"/>
              <w:left w:val="nil"/>
              <w:bottom w:val="single" w:sz="4" w:space="0" w:color="auto"/>
              <w:right w:val="single" w:sz="4" w:space="0" w:color="auto"/>
            </w:tcBorders>
            <w:shd w:val="clear" w:color="auto" w:fill="auto"/>
            <w:vAlign w:val="center"/>
            <w:hideMark/>
          </w:tcPr>
          <w:p w14:paraId="3E0D2FD7" w14:textId="77777777" w:rsidR="000E49F6" w:rsidRPr="000E49F6" w:rsidRDefault="000E49F6" w:rsidP="000E49F6">
            <w:pPr>
              <w:ind w:left="0" w:right="0" w:firstLine="0"/>
              <w:jc w:val="left"/>
              <w:rPr>
                <w:sz w:val="20"/>
                <w:szCs w:val="20"/>
                <w:lang w:val="sr-Latn-RS" w:eastAsia="sr-Latn-RS"/>
              </w:rPr>
            </w:pPr>
            <w:proofErr w:type="spellStart"/>
            <w:r w:rsidRPr="000E49F6">
              <w:rPr>
                <w:sz w:val="20"/>
                <w:szCs w:val="20"/>
                <w:lang w:val="sr-Latn-RS" w:eastAsia="sr-Latn-RS"/>
              </w:rPr>
              <w:t>Одјељење</w:t>
            </w:r>
            <w:proofErr w:type="spellEnd"/>
            <w:r w:rsidRPr="000E49F6">
              <w:rPr>
                <w:sz w:val="20"/>
                <w:szCs w:val="20"/>
                <w:lang w:val="sr-Latn-RS" w:eastAsia="sr-Latn-RS"/>
              </w:rPr>
              <w:t xml:space="preserve"> </w:t>
            </w:r>
            <w:proofErr w:type="spellStart"/>
            <w:r w:rsidRPr="000E49F6">
              <w:rPr>
                <w:sz w:val="20"/>
                <w:szCs w:val="20"/>
                <w:lang w:val="sr-Latn-RS" w:eastAsia="sr-Latn-RS"/>
              </w:rPr>
              <w:t>за</w:t>
            </w:r>
            <w:proofErr w:type="spellEnd"/>
            <w:r w:rsidRPr="000E49F6">
              <w:rPr>
                <w:sz w:val="20"/>
                <w:szCs w:val="20"/>
                <w:lang w:val="sr-Latn-RS" w:eastAsia="sr-Latn-RS"/>
              </w:rPr>
              <w:t xml:space="preserve"> </w:t>
            </w:r>
            <w:proofErr w:type="spellStart"/>
            <w:r w:rsidRPr="000E49F6">
              <w:rPr>
                <w:sz w:val="20"/>
                <w:szCs w:val="20"/>
                <w:lang w:val="sr-Latn-RS" w:eastAsia="sr-Latn-RS"/>
              </w:rPr>
              <w:t>инспекцијске</w:t>
            </w:r>
            <w:proofErr w:type="spellEnd"/>
            <w:r w:rsidRPr="000E49F6">
              <w:rPr>
                <w:sz w:val="20"/>
                <w:szCs w:val="20"/>
                <w:lang w:val="sr-Latn-RS" w:eastAsia="sr-Latn-RS"/>
              </w:rPr>
              <w:t xml:space="preserve"> </w:t>
            </w:r>
            <w:proofErr w:type="spellStart"/>
            <w:r w:rsidRPr="000E49F6">
              <w:rPr>
                <w:sz w:val="20"/>
                <w:szCs w:val="20"/>
                <w:lang w:val="sr-Latn-RS" w:eastAsia="sr-Latn-RS"/>
              </w:rPr>
              <w:t>послове</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1AF12C71"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34.900,00</w:t>
            </w:r>
          </w:p>
        </w:tc>
        <w:tc>
          <w:tcPr>
            <w:tcW w:w="1598" w:type="dxa"/>
            <w:tcBorders>
              <w:top w:val="nil"/>
              <w:left w:val="nil"/>
              <w:bottom w:val="single" w:sz="4" w:space="0" w:color="auto"/>
              <w:right w:val="single" w:sz="4" w:space="0" w:color="auto"/>
            </w:tcBorders>
            <w:shd w:val="clear" w:color="auto" w:fill="auto"/>
            <w:vAlign w:val="center"/>
            <w:hideMark/>
          </w:tcPr>
          <w:p w14:paraId="31429CA8"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34.900,00</w:t>
            </w:r>
          </w:p>
        </w:tc>
        <w:tc>
          <w:tcPr>
            <w:tcW w:w="1451" w:type="dxa"/>
            <w:tcBorders>
              <w:top w:val="nil"/>
              <w:left w:val="nil"/>
              <w:bottom w:val="single" w:sz="4" w:space="0" w:color="auto"/>
              <w:right w:val="nil"/>
            </w:tcBorders>
            <w:shd w:val="clear" w:color="auto" w:fill="auto"/>
            <w:vAlign w:val="center"/>
            <w:hideMark/>
          </w:tcPr>
          <w:p w14:paraId="638095F2"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34.900,00</w:t>
            </w:r>
          </w:p>
        </w:tc>
        <w:tc>
          <w:tcPr>
            <w:tcW w:w="1352" w:type="dxa"/>
            <w:tcBorders>
              <w:top w:val="nil"/>
              <w:left w:val="single" w:sz="4" w:space="0" w:color="auto"/>
              <w:bottom w:val="single" w:sz="4" w:space="0" w:color="auto"/>
              <w:right w:val="double" w:sz="6" w:space="0" w:color="auto"/>
            </w:tcBorders>
            <w:shd w:val="clear" w:color="auto" w:fill="auto"/>
            <w:vAlign w:val="center"/>
            <w:hideMark/>
          </w:tcPr>
          <w:p w14:paraId="5705589A"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26.138,82</w:t>
            </w:r>
          </w:p>
        </w:tc>
      </w:tr>
      <w:tr w:rsidR="000E49F6" w:rsidRPr="000E49F6" w14:paraId="0D770A57" w14:textId="77777777" w:rsidTr="00C41EC6">
        <w:trPr>
          <w:cantSplit/>
          <w:trHeight w:val="255"/>
        </w:trPr>
        <w:tc>
          <w:tcPr>
            <w:tcW w:w="579" w:type="dxa"/>
            <w:tcBorders>
              <w:top w:val="nil"/>
              <w:left w:val="double" w:sz="6" w:space="0" w:color="auto"/>
              <w:bottom w:val="single" w:sz="4" w:space="0" w:color="auto"/>
              <w:right w:val="single" w:sz="4" w:space="0" w:color="auto"/>
            </w:tcBorders>
            <w:shd w:val="clear" w:color="auto" w:fill="auto"/>
            <w:vAlign w:val="center"/>
            <w:hideMark/>
          </w:tcPr>
          <w:p w14:paraId="3C2B03B0" w14:textId="77777777" w:rsidR="000E49F6" w:rsidRPr="000E49F6" w:rsidRDefault="000E49F6" w:rsidP="000E49F6">
            <w:pPr>
              <w:ind w:left="0" w:right="0" w:firstLine="0"/>
              <w:jc w:val="center"/>
              <w:rPr>
                <w:sz w:val="20"/>
                <w:szCs w:val="20"/>
                <w:lang w:val="sr-Latn-RS" w:eastAsia="sr-Latn-RS"/>
              </w:rPr>
            </w:pPr>
            <w:r w:rsidRPr="000E49F6">
              <w:rPr>
                <w:sz w:val="20"/>
                <w:szCs w:val="20"/>
                <w:lang w:val="sr-Latn-RS" w:eastAsia="sr-Latn-RS"/>
              </w:rPr>
              <w:t>12</w:t>
            </w:r>
          </w:p>
        </w:tc>
        <w:tc>
          <w:tcPr>
            <w:tcW w:w="3532" w:type="dxa"/>
            <w:tcBorders>
              <w:top w:val="nil"/>
              <w:left w:val="nil"/>
              <w:bottom w:val="single" w:sz="4" w:space="0" w:color="auto"/>
              <w:right w:val="single" w:sz="4" w:space="0" w:color="auto"/>
            </w:tcBorders>
            <w:shd w:val="clear" w:color="auto" w:fill="auto"/>
            <w:vAlign w:val="center"/>
            <w:hideMark/>
          </w:tcPr>
          <w:p w14:paraId="59395353" w14:textId="77777777" w:rsidR="000E49F6" w:rsidRPr="000E49F6" w:rsidRDefault="000E49F6" w:rsidP="000E49F6">
            <w:pPr>
              <w:ind w:left="0" w:right="0" w:firstLine="0"/>
              <w:jc w:val="left"/>
              <w:rPr>
                <w:sz w:val="20"/>
                <w:szCs w:val="20"/>
                <w:lang w:val="sr-Latn-RS" w:eastAsia="sr-Latn-RS"/>
              </w:rPr>
            </w:pPr>
            <w:proofErr w:type="spellStart"/>
            <w:r w:rsidRPr="000E49F6">
              <w:rPr>
                <w:sz w:val="20"/>
                <w:szCs w:val="20"/>
                <w:lang w:val="sr-Latn-RS" w:eastAsia="sr-Latn-RS"/>
              </w:rPr>
              <w:t>Одсјек</w:t>
            </w:r>
            <w:proofErr w:type="spellEnd"/>
            <w:r w:rsidRPr="000E49F6">
              <w:rPr>
                <w:sz w:val="20"/>
                <w:szCs w:val="20"/>
                <w:lang w:val="sr-Latn-RS" w:eastAsia="sr-Latn-RS"/>
              </w:rPr>
              <w:t xml:space="preserve"> </w:t>
            </w:r>
            <w:proofErr w:type="spellStart"/>
            <w:r w:rsidRPr="000E49F6">
              <w:rPr>
                <w:sz w:val="20"/>
                <w:szCs w:val="20"/>
                <w:lang w:val="sr-Latn-RS" w:eastAsia="sr-Latn-RS"/>
              </w:rPr>
              <w:t>за</w:t>
            </w:r>
            <w:proofErr w:type="spellEnd"/>
            <w:r w:rsidRPr="000E49F6">
              <w:rPr>
                <w:sz w:val="20"/>
                <w:szCs w:val="20"/>
                <w:lang w:val="sr-Latn-RS" w:eastAsia="sr-Latn-RS"/>
              </w:rPr>
              <w:t xml:space="preserve"> </w:t>
            </w:r>
            <w:proofErr w:type="spellStart"/>
            <w:r w:rsidRPr="000E49F6">
              <w:rPr>
                <w:sz w:val="20"/>
                <w:szCs w:val="20"/>
                <w:lang w:val="sr-Latn-RS" w:eastAsia="sr-Latn-RS"/>
              </w:rPr>
              <w:t>заједничке</w:t>
            </w:r>
            <w:proofErr w:type="spellEnd"/>
            <w:r w:rsidRPr="000E49F6">
              <w:rPr>
                <w:sz w:val="20"/>
                <w:szCs w:val="20"/>
                <w:lang w:val="sr-Latn-RS" w:eastAsia="sr-Latn-RS"/>
              </w:rPr>
              <w:t xml:space="preserve"> </w:t>
            </w:r>
            <w:proofErr w:type="spellStart"/>
            <w:r w:rsidRPr="000E49F6">
              <w:rPr>
                <w:sz w:val="20"/>
                <w:szCs w:val="20"/>
                <w:lang w:val="sr-Latn-RS" w:eastAsia="sr-Latn-RS"/>
              </w:rPr>
              <w:t>послове</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073E8693"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402.810,00</w:t>
            </w:r>
          </w:p>
        </w:tc>
        <w:tc>
          <w:tcPr>
            <w:tcW w:w="1598" w:type="dxa"/>
            <w:tcBorders>
              <w:top w:val="nil"/>
              <w:left w:val="nil"/>
              <w:bottom w:val="single" w:sz="4" w:space="0" w:color="auto"/>
              <w:right w:val="single" w:sz="4" w:space="0" w:color="auto"/>
            </w:tcBorders>
            <w:shd w:val="clear" w:color="auto" w:fill="auto"/>
            <w:vAlign w:val="center"/>
            <w:hideMark/>
          </w:tcPr>
          <w:p w14:paraId="04BD6CB4"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402.810,00</w:t>
            </w:r>
          </w:p>
        </w:tc>
        <w:tc>
          <w:tcPr>
            <w:tcW w:w="1451" w:type="dxa"/>
            <w:tcBorders>
              <w:top w:val="nil"/>
              <w:left w:val="nil"/>
              <w:bottom w:val="single" w:sz="4" w:space="0" w:color="auto"/>
              <w:right w:val="single" w:sz="4" w:space="0" w:color="auto"/>
            </w:tcBorders>
            <w:shd w:val="clear" w:color="auto" w:fill="auto"/>
            <w:vAlign w:val="center"/>
            <w:hideMark/>
          </w:tcPr>
          <w:p w14:paraId="71FFEAD0"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402.810,00</w:t>
            </w:r>
          </w:p>
        </w:tc>
        <w:tc>
          <w:tcPr>
            <w:tcW w:w="1352" w:type="dxa"/>
            <w:tcBorders>
              <w:top w:val="nil"/>
              <w:left w:val="nil"/>
              <w:bottom w:val="single" w:sz="4" w:space="0" w:color="auto"/>
              <w:right w:val="double" w:sz="6" w:space="0" w:color="auto"/>
            </w:tcBorders>
            <w:shd w:val="clear" w:color="auto" w:fill="auto"/>
            <w:vAlign w:val="center"/>
            <w:hideMark/>
          </w:tcPr>
          <w:p w14:paraId="01E01AF6"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371.485,94</w:t>
            </w:r>
          </w:p>
        </w:tc>
      </w:tr>
      <w:tr w:rsidR="000E49F6" w:rsidRPr="000E49F6" w14:paraId="5755D9B6" w14:textId="77777777" w:rsidTr="00C41EC6">
        <w:trPr>
          <w:cantSplit/>
          <w:trHeight w:val="255"/>
        </w:trPr>
        <w:tc>
          <w:tcPr>
            <w:tcW w:w="579" w:type="dxa"/>
            <w:tcBorders>
              <w:top w:val="nil"/>
              <w:left w:val="double" w:sz="6" w:space="0" w:color="auto"/>
              <w:bottom w:val="single" w:sz="4" w:space="0" w:color="auto"/>
              <w:right w:val="single" w:sz="4" w:space="0" w:color="auto"/>
            </w:tcBorders>
            <w:shd w:val="clear" w:color="auto" w:fill="auto"/>
            <w:vAlign w:val="center"/>
            <w:hideMark/>
          </w:tcPr>
          <w:p w14:paraId="2AD45D36" w14:textId="77777777" w:rsidR="000E49F6" w:rsidRPr="000E49F6" w:rsidRDefault="000E49F6" w:rsidP="000E49F6">
            <w:pPr>
              <w:ind w:left="0" w:right="0" w:firstLine="0"/>
              <w:jc w:val="center"/>
              <w:rPr>
                <w:sz w:val="20"/>
                <w:szCs w:val="20"/>
                <w:lang w:val="sr-Latn-RS" w:eastAsia="sr-Latn-RS"/>
              </w:rPr>
            </w:pPr>
            <w:r w:rsidRPr="000E49F6">
              <w:rPr>
                <w:sz w:val="20"/>
                <w:szCs w:val="20"/>
                <w:lang w:val="sr-Latn-RS" w:eastAsia="sr-Latn-RS"/>
              </w:rPr>
              <w:t>13</w:t>
            </w:r>
          </w:p>
        </w:tc>
        <w:tc>
          <w:tcPr>
            <w:tcW w:w="3532" w:type="dxa"/>
            <w:tcBorders>
              <w:top w:val="nil"/>
              <w:left w:val="nil"/>
              <w:bottom w:val="single" w:sz="4" w:space="0" w:color="auto"/>
              <w:right w:val="single" w:sz="4" w:space="0" w:color="auto"/>
            </w:tcBorders>
            <w:shd w:val="clear" w:color="auto" w:fill="auto"/>
            <w:vAlign w:val="center"/>
            <w:hideMark/>
          </w:tcPr>
          <w:p w14:paraId="3008B48A" w14:textId="77777777" w:rsidR="000E49F6" w:rsidRPr="000E49F6" w:rsidRDefault="000E49F6" w:rsidP="000E49F6">
            <w:pPr>
              <w:ind w:left="0" w:right="0" w:firstLine="0"/>
              <w:jc w:val="left"/>
              <w:rPr>
                <w:sz w:val="20"/>
                <w:szCs w:val="20"/>
                <w:lang w:val="sr-Latn-RS" w:eastAsia="sr-Latn-RS"/>
              </w:rPr>
            </w:pPr>
            <w:proofErr w:type="spellStart"/>
            <w:r w:rsidRPr="000E49F6">
              <w:rPr>
                <w:sz w:val="20"/>
                <w:szCs w:val="20"/>
                <w:lang w:val="sr-Latn-RS" w:eastAsia="sr-Latn-RS"/>
              </w:rPr>
              <w:t>Одсјек</w:t>
            </w:r>
            <w:proofErr w:type="spellEnd"/>
            <w:r w:rsidRPr="000E49F6">
              <w:rPr>
                <w:sz w:val="20"/>
                <w:szCs w:val="20"/>
                <w:lang w:val="sr-Latn-RS" w:eastAsia="sr-Latn-RS"/>
              </w:rPr>
              <w:t xml:space="preserve"> </w:t>
            </w:r>
            <w:proofErr w:type="spellStart"/>
            <w:r w:rsidRPr="000E49F6">
              <w:rPr>
                <w:sz w:val="20"/>
                <w:szCs w:val="20"/>
                <w:lang w:val="sr-Latn-RS" w:eastAsia="sr-Latn-RS"/>
              </w:rPr>
              <w:t>за</w:t>
            </w:r>
            <w:proofErr w:type="spellEnd"/>
            <w:r w:rsidRPr="000E49F6">
              <w:rPr>
                <w:sz w:val="20"/>
                <w:szCs w:val="20"/>
                <w:lang w:val="sr-Latn-RS" w:eastAsia="sr-Latn-RS"/>
              </w:rPr>
              <w:t xml:space="preserve"> </w:t>
            </w:r>
            <w:proofErr w:type="spellStart"/>
            <w:r w:rsidRPr="000E49F6">
              <w:rPr>
                <w:sz w:val="20"/>
                <w:szCs w:val="20"/>
                <w:lang w:val="sr-Latn-RS" w:eastAsia="sr-Latn-RS"/>
              </w:rPr>
              <w:t>јавне</w:t>
            </w:r>
            <w:proofErr w:type="spellEnd"/>
            <w:r w:rsidRPr="000E49F6">
              <w:rPr>
                <w:sz w:val="20"/>
                <w:szCs w:val="20"/>
                <w:lang w:val="sr-Latn-RS" w:eastAsia="sr-Latn-RS"/>
              </w:rPr>
              <w:t xml:space="preserve"> </w:t>
            </w:r>
            <w:proofErr w:type="spellStart"/>
            <w:r w:rsidRPr="000E49F6">
              <w:rPr>
                <w:sz w:val="20"/>
                <w:szCs w:val="20"/>
                <w:lang w:val="sr-Latn-RS" w:eastAsia="sr-Latn-RS"/>
              </w:rPr>
              <w:t>набавке</w:t>
            </w:r>
            <w:proofErr w:type="spellEnd"/>
            <w:r w:rsidRPr="000E49F6">
              <w:rPr>
                <w:sz w:val="20"/>
                <w:szCs w:val="20"/>
                <w:lang w:val="sr-Latn-RS" w:eastAsia="sr-Latn-RS"/>
              </w:rPr>
              <w:t xml:space="preserve">, </w:t>
            </w:r>
            <w:proofErr w:type="spellStart"/>
            <w:r w:rsidRPr="000E49F6">
              <w:rPr>
                <w:sz w:val="20"/>
                <w:szCs w:val="20"/>
                <w:lang w:val="sr-Latn-RS" w:eastAsia="sr-Latn-RS"/>
              </w:rPr>
              <w:t>правна</w:t>
            </w:r>
            <w:proofErr w:type="spellEnd"/>
            <w:r w:rsidRPr="000E49F6">
              <w:rPr>
                <w:sz w:val="20"/>
                <w:szCs w:val="20"/>
                <w:lang w:val="sr-Latn-RS" w:eastAsia="sr-Latn-RS"/>
              </w:rPr>
              <w:t xml:space="preserve"> </w:t>
            </w:r>
            <w:proofErr w:type="spellStart"/>
            <w:r w:rsidRPr="000E49F6">
              <w:rPr>
                <w:sz w:val="20"/>
                <w:szCs w:val="20"/>
                <w:lang w:val="sr-Latn-RS" w:eastAsia="sr-Latn-RS"/>
              </w:rPr>
              <w:t>питања</w:t>
            </w:r>
            <w:proofErr w:type="spellEnd"/>
            <w:r w:rsidRPr="000E49F6">
              <w:rPr>
                <w:sz w:val="20"/>
                <w:szCs w:val="20"/>
                <w:lang w:val="sr-Latn-RS" w:eastAsia="sr-Latn-RS"/>
              </w:rPr>
              <w:t xml:space="preserve"> и </w:t>
            </w:r>
            <w:proofErr w:type="spellStart"/>
            <w:r w:rsidRPr="000E49F6">
              <w:rPr>
                <w:sz w:val="20"/>
                <w:szCs w:val="20"/>
                <w:lang w:val="sr-Latn-RS" w:eastAsia="sr-Latn-RS"/>
              </w:rPr>
              <w:t>прописе</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5902D664"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144.000,00</w:t>
            </w:r>
          </w:p>
        </w:tc>
        <w:tc>
          <w:tcPr>
            <w:tcW w:w="1598" w:type="dxa"/>
            <w:tcBorders>
              <w:top w:val="nil"/>
              <w:left w:val="nil"/>
              <w:bottom w:val="single" w:sz="4" w:space="0" w:color="auto"/>
              <w:right w:val="single" w:sz="4" w:space="0" w:color="auto"/>
            </w:tcBorders>
            <w:shd w:val="clear" w:color="auto" w:fill="auto"/>
            <w:vAlign w:val="center"/>
            <w:hideMark/>
          </w:tcPr>
          <w:p w14:paraId="5CE7A660"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144.000,00</w:t>
            </w:r>
          </w:p>
        </w:tc>
        <w:tc>
          <w:tcPr>
            <w:tcW w:w="1451" w:type="dxa"/>
            <w:tcBorders>
              <w:top w:val="nil"/>
              <w:left w:val="nil"/>
              <w:bottom w:val="single" w:sz="4" w:space="0" w:color="auto"/>
              <w:right w:val="single" w:sz="4" w:space="0" w:color="auto"/>
            </w:tcBorders>
            <w:shd w:val="clear" w:color="auto" w:fill="auto"/>
            <w:vAlign w:val="center"/>
            <w:hideMark/>
          </w:tcPr>
          <w:p w14:paraId="3DE687DE"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144.000,00</w:t>
            </w:r>
          </w:p>
        </w:tc>
        <w:tc>
          <w:tcPr>
            <w:tcW w:w="1352" w:type="dxa"/>
            <w:tcBorders>
              <w:top w:val="nil"/>
              <w:left w:val="nil"/>
              <w:bottom w:val="single" w:sz="4" w:space="0" w:color="auto"/>
              <w:right w:val="double" w:sz="6" w:space="0" w:color="auto"/>
            </w:tcBorders>
            <w:shd w:val="clear" w:color="auto" w:fill="auto"/>
            <w:vAlign w:val="center"/>
            <w:hideMark/>
          </w:tcPr>
          <w:p w14:paraId="4FF72511"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128.872,08</w:t>
            </w:r>
          </w:p>
        </w:tc>
      </w:tr>
      <w:tr w:rsidR="000E49F6" w:rsidRPr="000E49F6" w14:paraId="23CFC7DC" w14:textId="77777777" w:rsidTr="00C41EC6">
        <w:trPr>
          <w:cantSplit/>
          <w:trHeight w:val="255"/>
        </w:trPr>
        <w:tc>
          <w:tcPr>
            <w:tcW w:w="579" w:type="dxa"/>
            <w:tcBorders>
              <w:top w:val="nil"/>
              <w:left w:val="double" w:sz="6" w:space="0" w:color="auto"/>
              <w:bottom w:val="single" w:sz="4" w:space="0" w:color="auto"/>
              <w:right w:val="single" w:sz="4" w:space="0" w:color="auto"/>
            </w:tcBorders>
            <w:shd w:val="clear" w:color="auto" w:fill="auto"/>
            <w:vAlign w:val="center"/>
            <w:hideMark/>
          </w:tcPr>
          <w:p w14:paraId="138E0179" w14:textId="77777777" w:rsidR="000E49F6" w:rsidRPr="000E49F6" w:rsidRDefault="000E49F6" w:rsidP="000E49F6">
            <w:pPr>
              <w:ind w:left="0" w:right="0" w:firstLine="0"/>
              <w:jc w:val="center"/>
              <w:rPr>
                <w:sz w:val="20"/>
                <w:szCs w:val="20"/>
                <w:lang w:val="sr-Latn-RS" w:eastAsia="sr-Latn-RS"/>
              </w:rPr>
            </w:pPr>
            <w:r w:rsidRPr="000E49F6">
              <w:rPr>
                <w:sz w:val="20"/>
                <w:szCs w:val="20"/>
                <w:lang w:val="sr-Latn-RS" w:eastAsia="sr-Latn-RS"/>
              </w:rPr>
              <w:t>14</w:t>
            </w:r>
          </w:p>
        </w:tc>
        <w:tc>
          <w:tcPr>
            <w:tcW w:w="3532" w:type="dxa"/>
            <w:tcBorders>
              <w:top w:val="nil"/>
              <w:left w:val="nil"/>
              <w:bottom w:val="single" w:sz="4" w:space="0" w:color="auto"/>
              <w:right w:val="single" w:sz="4" w:space="0" w:color="auto"/>
            </w:tcBorders>
            <w:shd w:val="clear" w:color="auto" w:fill="auto"/>
            <w:vAlign w:val="center"/>
            <w:hideMark/>
          </w:tcPr>
          <w:p w14:paraId="49DB3714" w14:textId="77777777" w:rsidR="000E49F6" w:rsidRPr="000E49F6" w:rsidRDefault="000E49F6" w:rsidP="000E49F6">
            <w:pPr>
              <w:ind w:left="0" w:right="0" w:firstLine="0"/>
              <w:jc w:val="left"/>
              <w:rPr>
                <w:sz w:val="20"/>
                <w:szCs w:val="20"/>
                <w:lang w:val="sr-Latn-RS" w:eastAsia="sr-Latn-RS"/>
              </w:rPr>
            </w:pPr>
            <w:proofErr w:type="spellStart"/>
            <w:r w:rsidRPr="000E49F6">
              <w:rPr>
                <w:sz w:val="20"/>
                <w:szCs w:val="20"/>
                <w:lang w:val="sr-Latn-RS" w:eastAsia="sr-Latn-RS"/>
              </w:rPr>
              <w:t>Одјељење</w:t>
            </w:r>
            <w:proofErr w:type="spellEnd"/>
            <w:r w:rsidRPr="000E49F6">
              <w:rPr>
                <w:sz w:val="20"/>
                <w:szCs w:val="20"/>
                <w:lang w:val="sr-Latn-RS" w:eastAsia="sr-Latn-RS"/>
              </w:rPr>
              <w:t xml:space="preserve"> </w:t>
            </w:r>
            <w:proofErr w:type="spellStart"/>
            <w:r w:rsidRPr="000E49F6">
              <w:rPr>
                <w:sz w:val="20"/>
                <w:szCs w:val="20"/>
                <w:lang w:val="sr-Latn-RS" w:eastAsia="sr-Latn-RS"/>
              </w:rPr>
              <w:t>за</w:t>
            </w:r>
            <w:proofErr w:type="spellEnd"/>
            <w:r w:rsidRPr="000E49F6">
              <w:rPr>
                <w:sz w:val="20"/>
                <w:szCs w:val="20"/>
                <w:lang w:val="sr-Latn-RS" w:eastAsia="sr-Latn-RS"/>
              </w:rPr>
              <w:t xml:space="preserve"> </w:t>
            </w:r>
            <w:proofErr w:type="spellStart"/>
            <w:r w:rsidRPr="000E49F6">
              <w:rPr>
                <w:sz w:val="20"/>
                <w:szCs w:val="20"/>
                <w:lang w:val="sr-Latn-RS" w:eastAsia="sr-Latn-RS"/>
              </w:rPr>
              <w:t>пољопривреду</w:t>
            </w:r>
            <w:proofErr w:type="spellEnd"/>
            <w:r w:rsidRPr="000E49F6">
              <w:rPr>
                <w:sz w:val="20"/>
                <w:szCs w:val="20"/>
                <w:lang w:val="sr-Latn-RS" w:eastAsia="sr-Latn-RS"/>
              </w:rPr>
              <w:t xml:space="preserve">, </w:t>
            </w:r>
            <w:proofErr w:type="spellStart"/>
            <w:r w:rsidRPr="000E49F6">
              <w:rPr>
                <w:sz w:val="20"/>
                <w:szCs w:val="20"/>
                <w:lang w:val="sr-Latn-RS" w:eastAsia="sr-Latn-RS"/>
              </w:rPr>
              <w:t>водопривреду</w:t>
            </w:r>
            <w:proofErr w:type="spellEnd"/>
            <w:r w:rsidRPr="000E49F6">
              <w:rPr>
                <w:sz w:val="20"/>
                <w:szCs w:val="20"/>
                <w:lang w:val="sr-Latn-RS" w:eastAsia="sr-Latn-RS"/>
              </w:rPr>
              <w:t xml:space="preserve"> и </w:t>
            </w:r>
            <w:proofErr w:type="spellStart"/>
            <w:r w:rsidRPr="000E49F6">
              <w:rPr>
                <w:sz w:val="20"/>
                <w:szCs w:val="20"/>
                <w:lang w:val="sr-Latn-RS" w:eastAsia="sr-Latn-RS"/>
              </w:rPr>
              <w:t>шумарство</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79DCD5FA"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845.968,00</w:t>
            </w:r>
          </w:p>
        </w:tc>
        <w:tc>
          <w:tcPr>
            <w:tcW w:w="1598" w:type="dxa"/>
            <w:tcBorders>
              <w:top w:val="nil"/>
              <w:left w:val="nil"/>
              <w:bottom w:val="single" w:sz="4" w:space="0" w:color="auto"/>
              <w:right w:val="single" w:sz="4" w:space="0" w:color="auto"/>
            </w:tcBorders>
            <w:shd w:val="clear" w:color="auto" w:fill="auto"/>
            <w:vAlign w:val="center"/>
            <w:hideMark/>
          </w:tcPr>
          <w:p w14:paraId="2809BE40"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845.968,00</w:t>
            </w:r>
          </w:p>
        </w:tc>
        <w:tc>
          <w:tcPr>
            <w:tcW w:w="1451" w:type="dxa"/>
            <w:tcBorders>
              <w:top w:val="nil"/>
              <w:left w:val="nil"/>
              <w:bottom w:val="single" w:sz="4" w:space="0" w:color="auto"/>
              <w:right w:val="nil"/>
            </w:tcBorders>
            <w:shd w:val="clear" w:color="auto" w:fill="auto"/>
            <w:vAlign w:val="center"/>
            <w:hideMark/>
          </w:tcPr>
          <w:p w14:paraId="18D45C6B"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845.968,00</w:t>
            </w:r>
          </w:p>
        </w:tc>
        <w:tc>
          <w:tcPr>
            <w:tcW w:w="1352" w:type="dxa"/>
            <w:tcBorders>
              <w:top w:val="nil"/>
              <w:left w:val="single" w:sz="4" w:space="0" w:color="auto"/>
              <w:bottom w:val="single" w:sz="4" w:space="0" w:color="auto"/>
              <w:right w:val="double" w:sz="6" w:space="0" w:color="auto"/>
            </w:tcBorders>
            <w:shd w:val="clear" w:color="auto" w:fill="auto"/>
            <w:vAlign w:val="center"/>
            <w:hideMark/>
          </w:tcPr>
          <w:p w14:paraId="25EA2D12"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843.538,11</w:t>
            </w:r>
          </w:p>
        </w:tc>
      </w:tr>
      <w:tr w:rsidR="000E49F6" w:rsidRPr="000E49F6" w14:paraId="085474D0" w14:textId="77777777" w:rsidTr="00C41EC6">
        <w:trPr>
          <w:cantSplit/>
          <w:trHeight w:val="255"/>
        </w:trPr>
        <w:tc>
          <w:tcPr>
            <w:tcW w:w="579" w:type="dxa"/>
            <w:tcBorders>
              <w:top w:val="nil"/>
              <w:left w:val="double" w:sz="6" w:space="0" w:color="auto"/>
              <w:bottom w:val="single" w:sz="4" w:space="0" w:color="auto"/>
              <w:right w:val="single" w:sz="4" w:space="0" w:color="auto"/>
            </w:tcBorders>
            <w:shd w:val="clear" w:color="auto" w:fill="auto"/>
            <w:vAlign w:val="center"/>
            <w:hideMark/>
          </w:tcPr>
          <w:p w14:paraId="7532FEDD" w14:textId="77777777" w:rsidR="000E49F6" w:rsidRPr="000E49F6" w:rsidRDefault="000E49F6" w:rsidP="000E49F6">
            <w:pPr>
              <w:ind w:left="0" w:right="0" w:firstLine="0"/>
              <w:jc w:val="center"/>
              <w:rPr>
                <w:sz w:val="20"/>
                <w:szCs w:val="20"/>
                <w:lang w:val="sr-Latn-RS" w:eastAsia="sr-Latn-RS"/>
              </w:rPr>
            </w:pPr>
            <w:r w:rsidRPr="000E49F6">
              <w:rPr>
                <w:sz w:val="20"/>
                <w:szCs w:val="20"/>
                <w:lang w:val="sr-Latn-RS" w:eastAsia="sr-Latn-RS"/>
              </w:rPr>
              <w:t>15</w:t>
            </w:r>
          </w:p>
        </w:tc>
        <w:tc>
          <w:tcPr>
            <w:tcW w:w="3532" w:type="dxa"/>
            <w:tcBorders>
              <w:top w:val="nil"/>
              <w:left w:val="nil"/>
              <w:bottom w:val="single" w:sz="4" w:space="0" w:color="auto"/>
              <w:right w:val="single" w:sz="4" w:space="0" w:color="auto"/>
            </w:tcBorders>
            <w:shd w:val="clear" w:color="auto" w:fill="auto"/>
            <w:vAlign w:val="center"/>
            <w:hideMark/>
          </w:tcPr>
          <w:p w14:paraId="40684A1D" w14:textId="77777777" w:rsidR="000E49F6" w:rsidRPr="000E49F6" w:rsidRDefault="000E49F6" w:rsidP="000E49F6">
            <w:pPr>
              <w:ind w:left="0" w:right="0" w:firstLine="0"/>
              <w:jc w:val="left"/>
              <w:rPr>
                <w:sz w:val="20"/>
                <w:szCs w:val="20"/>
                <w:lang w:val="sr-Latn-RS" w:eastAsia="sr-Latn-RS"/>
              </w:rPr>
            </w:pPr>
            <w:r w:rsidRPr="000E49F6">
              <w:rPr>
                <w:sz w:val="20"/>
                <w:szCs w:val="20"/>
                <w:lang w:val="sr-Latn-RS" w:eastAsia="sr-Latn-RS"/>
              </w:rPr>
              <w:t xml:space="preserve">ЈУ </w:t>
            </w:r>
            <w:proofErr w:type="spellStart"/>
            <w:r w:rsidRPr="000E49F6">
              <w:rPr>
                <w:sz w:val="20"/>
                <w:szCs w:val="20"/>
                <w:lang w:val="sr-Latn-RS" w:eastAsia="sr-Latn-RS"/>
              </w:rPr>
              <w:t>Центар</w:t>
            </w:r>
            <w:proofErr w:type="spellEnd"/>
            <w:r w:rsidRPr="000E49F6">
              <w:rPr>
                <w:sz w:val="20"/>
                <w:szCs w:val="20"/>
                <w:lang w:val="sr-Latn-RS" w:eastAsia="sr-Latn-RS"/>
              </w:rPr>
              <w:t xml:space="preserve"> </w:t>
            </w:r>
            <w:proofErr w:type="spellStart"/>
            <w:r w:rsidRPr="000E49F6">
              <w:rPr>
                <w:sz w:val="20"/>
                <w:szCs w:val="20"/>
                <w:lang w:val="sr-Latn-RS" w:eastAsia="sr-Latn-RS"/>
              </w:rPr>
              <w:t>за</w:t>
            </w:r>
            <w:proofErr w:type="spellEnd"/>
            <w:r w:rsidRPr="000E49F6">
              <w:rPr>
                <w:sz w:val="20"/>
                <w:szCs w:val="20"/>
                <w:lang w:val="sr-Latn-RS" w:eastAsia="sr-Latn-RS"/>
              </w:rPr>
              <w:t xml:space="preserve"> </w:t>
            </w:r>
            <w:proofErr w:type="spellStart"/>
            <w:r w:rsidRPr="000E49F6">
              <w:rPr>
                <w:sz w:val="20"/>
                <w:szCs w:val="20"/>
                <w:lang w:val="sr-Latn-RS" w:eastAsia="sr-Latn-RS"/>
              </w:rPr>
              <w:t>социјални</w:t>
            </w:r>
            <w:proofErr w:type="spellEnd"/>
            <w:r w:rsidRPr="000E49F6">
              <w:rPr>
                <w:sz w:val="20"/>
                <w:szCs w:val="20"/>
                <w:lang w:val="sr-Latn-RS" w:eastAsia="sr-Latn-RS"/>
              </w:rPr>
              <w:t xml:space="preserve"> </w:t>
            </w:r>
            <w:proofErr w:type="spellStart"/>
            <w:r w:rsidRPr="000E49F6">
              <w:rPr>
                <w:sz w:val="20"/>
                <w:szCs w:val="20"/>
                <w:lang w:val="sr-Latn-RS" w:eastAsia="sr-Latn-RS"/>
              </w:rPr>
              <w:t>рад</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7BF00EAD"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3.283.300,00</w:t>
            </w:r>
          </w:p>
        </w:tc>
        <w:tc>
          <w:tcPr>
            <w:tcW w:w="1598" w:type="dxa"/>
            <w:tcBorders>
              <w:top w:val="nil"/>
              <w:left w:val="nil"/>
              <w:bottom w:val="single" w:sz="4" w:space="0" w:color="auto"/>
              <w:right w:val="single" w:sz="4" w:space="0" w:color="auto"/>
            </w:tcBorders>
            <w:shd w:val="clear" w:color="auto" w:fill="auto"/>
            <w:vAlign w:val="center"/>
            <w:hideMark/>
          </w:tcPr>
          <w:p w14:paraId="43700260"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3.253.600,00</w:t>
            </w:r>
          </w:p>
        </w:tc>
        <w:tc>
          <w:tcPr>
            <w:tcW w:w="1451" w:type="dxa"/>
            <w:tcBorders>
              <w:top w:val="nil"/>
              <w:left w:val="nil"/>
              <w:bottom w:val="single" w:sz="4" w:space="0" w:color="auto"/>
              <w:right w:val="single" w:sz="4" w:space="0" w:color="auto"/>
            </w:tcBorders>
            <w:shd w:val="clear" w:color="auto" w:fill="auto"/>
            <w:vAlign w:val="center"/>
            <w:hideMark/>
          </w:tcPr>
          <w:p w14:paraId="3B17FCB5"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3.253.600,00</w:t>
            </w:r>
          </w:p>
        </w:tc>
        <w:tc>
          <w:tcPr>
            <w:tcW w:w="1352" w:type="dxa"/>
            <w:tcBorders>
              <w:top w:val="nil"/>
              <w:left w:val="nil"/>
              <w:bottom w:val="single" w:sz="4" w:space="0" w:color="auto"/>
              <w:right w:val="double" w:sz="6" w:space="0" w:color="auto"/>
            </w:tcBorders>
            <w:shd w:val="clear" w:color="auto" w:fill="auto"/>
            <w:vAlign w:val="center"/>
            <w:hideMark/>
          </w:tcPr>
          <w:p w14:paraId="224691CF"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3.205.781,70</w:t>
            </w:r>
          </w:p>
        </w:tc>
      </w:tr>
      <w:tr w:rsidR="000E49F6" w:rsidRPr="000E49F6" w14:paraId="4EFA645C" w14:textId="77777777" w:rsidTr="00C41EC6">
        <w:trPr>
          <w:cantSplit/>
          <w:trHeight w:val="255"/>
        </w:trPr>
        <w:tc>
          <w:tcPr>
            <w:tcW w:w="579" w:type="dxa"/>
            <w:tcBorders>
              <w:top w:val="nil"/>
              <w:left w:val="double" w:sz="6" w:space="0" w:color="auto"/>
              <w:bottom w:val="single" w:sz="4" w:space="0" w:color="auto"/>
              <w:right w:val="single" w:sz="4" w:space="0" w:color="auto"/>
            </w:tcBorders>
            <w:shd w:val="clear" w:color="auto" w:fill="auto"/>
            <w:vAlign w:val="center"/>
            <w:hideMark/>
          </w:tcPr>
          <w:p w14:paraId="2B121566" w14:textId="77777777" w:rsidR="000E49F6" w:rsidRPr="000E49F6" w:rsidRDefault="000E49F6" w:rsidP="000E49F6">
            <w:pPr>
              <w:ind w:left="0" w:right="0" w:firstLine="0"/>
              <w:jc w:val="center"/>
              <w:rPr>
                <w:sz w:val="20"/>
                <w:szCs w:val="20"/>
                <w:lang w:val="sr-Latn-RS" w:eastAsia="sr-Latn-RS"/>
              </w:rPr>
            </w:pPr>
            <w:r w:rsidRPr="000E49F6">
              <w:rPr>
                <w:sz w:val="20"/>
                <w:szCs w:val="20"/>
                <w:lang w:val="sr-Latn-RS" w:eastAsia="sr-Latn-RS"/>
              </w:rPr>
              <w:t>16</w:t>
            </w:r>
          </w:p>
        </w:tc>
        <w:tc>
          <w:tcPr>
            <w:tcW w:w="3532" w:type="dxa"/>
            <w:tcBorders>
              <w:top w:val="nil"/>
              <w:left w:val="nil"/>
              <w:bottom w:val="single" w:sz="4" w:space="0" w:color="auto"/>
              <w:right w:val="single" w:sz="4" w:space="0" w:color="auto"/>
            </w:tcBorders>
            <w:shd w:val="clear" w:color="auto" w:fill="auto"/>
            <w:vAlign w:val="center"/>
            <w:hideMark/>
          </w:tcPr>
          <w:p w14:paraId="6FCBA89E" w14:textId="77777777" w:rsidR="000E49F6" w:rsidRPr="000E49F6" w:rsidRDefault="000E49F6" w:rsidP="000E49F6">
            <w:pPr>
              <w:ind w:left="0" w:right="0" w:firstLine="0"/>
              <w:jc w:val="left"/>
              <w:rPr>
                <w:sz w:val="20"/>
                <w:szCs w:val="20"/>
                <w:lang w:val="sr-Latn-RS" w:eastAsia="sr-Latn-RS"/>
              </w:rPr>
            </w:pPr>
            <w:r w:rsidRPr="000E49F6">
              <w:rPr>
                <w:sz w:val="20"/>
                <w:szCs w:val="20"/>
                <w:lang w:val="sr-Latn-RS" w:eastAsia="sr-Latn-RS"/>
              </w:rPr>
              <w:t xml:space="preserve">ЈУ </w:t>
            </w:r>
            <w:proofErr w:type="spellStart"/>
            <w:r w:rsidRPr="000E49F6">
              <w:rPr>
                <w:sz w:val="20"/>
                <w:szCs w:val="20"/>
                <w:lang w:val="sr-Latn-RS" w:eastAsia="sr-Latn-RS"/>
              </w:rPr>
              <w:t>Дјечији</w:t>
            </w:r>
            <w:proofErr w:type="spellEnd"/>
            <w:r w:rsidRPr="000E49F6">
              <w:rPr>
                <w:sz w:val="20"/>
                <w:szCs w:val="20"/>
                <w:lang w:val="sr-Latn-RS" w:eastAsia="sr-Latn-RS"/>
              </w:rPr>
              <w:t xml:space="preserve"> </w:t>
            </w:r>
            <w:proofErr w:type="spellStart"/>
            <w:r w:rsidRPr="000E49F6">
              <w:rPr>
                <w:sz w:val="20"/>
                <w:szCs w:val="20"/>
                <w:lang w:val="sr-Latn-RS" w:eastAsia="sr-Latn-RS"/>
              </w:rPr>
              <w:t>вртић</w:t>
            </w:r>
            <w:proofErr w:type="spellEnd"/>
            <w:r w:rsidRPr="000E49F6">
              <w:rPr>
                <w:sz w:val="20"/>
                <w:szCs w:val="20"/>
                <w:lang w:val="sr-Latn-RS" w:eastAsia="sr-Latn-RS"/>
              </w:rPr>
              <w:t xml:space="preserve"> "</w:t>
            </w:r>
            <w:proofErr w:type="spellStart"/>
            <w:r w:rsidRPr="000E49F6">
              <w:rPr>
                <w:sz w:val="20"/>
                <w:szCs w:val="20"/>
                <w:lang w:val="sr-Latn-RS" w:eastAsia="sr-Latn-RS"/>
              </w:rPr>
              <w:t>Наша</w:t>
            </w:r>
            <w:proofErr w:type="spellEnd"/>
            <w:r w:rsidRPr="000E49F6">
              <w:rPr>
                <w:sz w:val="20"/>
                <w:szCs w:val="20"/>
                <w:lang w:val="sr-Latn-RS" w:eastAsia="sr-Latn-RS"/>
              </w:rPr>
              <w:t xml:space="preserve"> </w:t>
            </w:r>
            <w:proofErr w:type="spellStart"/>
            <w:r w:rsidRPr="000E49F6">
              <w:rPr>
                <w:sz w:val="20"/>
                <w:szCs w:val="20"/>
                <w:lang w:val="sr-Latn-RS" w:eastAsia="sr-Latn-RS"/>
              </w:rPr>
              <w:t>радост</w:t>
            </w:r>
            <w:proofErr w:type="spellEnd"/>
            <w:r w:rsidRPr="000E49F6">
              <w:rPr>
                <w:sz w:val="20"/>
                <w:szCs w:val="20"/>
                <w:lang w:val="sr-Latn-RS" w:eastAsia="sr-Latn-RS"/>
              </w:rPr>
              <w:t xml:space="preserve">" </w:t>
            </w:r>
            <w:proofErr w:type="spellStart"/>
            <w:r w:rsidRPr="000E49F6">
              <w:rPr>
                <w:sz w:val="20"/>
                <w:szCs w:val="20"/>
                <w:lang w:val="sr-Latn-RS" w:eastAsia="sr-Latn-RS"/>
              </w:rPr>
              <w:t>Прњавор</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7310A8EF"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708.105,99</w:t>
            </w:r>
          </w:p>
        </w:tc>
        <w:tc>
          <w:tcPr>
            <w:tcW w:w="1598" w:type="dxa"/>
            <w:tcBorders>
              <w:top w:val="nil"/>
              <w:left w:val="nil"/>
              <w:bottom w:val="single" w:sz="4" w:space="0" w:color="auto"/>
              <w:right w:val="single" w:sz="4" w:space="0" w:color="auto"/>
            </w:tcBorders>
            <w:shd w:val="clear" w:color="auto" w:fill="auto"/>
            <w:vAlign w:val="center"/>
            <w:hideMark/>
          </w:tcPr>
          <w:p w14:paraId="612DDC9F"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708.105,99</w:t>
            </w:r>
          </w:p>
        </w:tc>
        <w:tc>
          <w:tcPr>
            <w:tcW w:w="1451" w:type="dxa"/>
            <w:tcBorders>
              <w:top w:val="nil"/>
              <w:left w:val="nil"/>
              <w:bottom w:val="single" w:sz="4" w:space="0" w:color="auto"/>
              <w:right w:val="single" w:sz="4" w:space="0" w:color="auto"/>
            </w:tcBorders>
            <w:shd w:val="clear" w:color="auto" w:fill="auto"/>
            <w:vAlign w:val="center"/>
            <w:hideMark/>
          </w:tcPr>
          <w:p w14:paraId="3775AD15"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708.105,99</w:t>
            </w:r>
          </w:p>
        </w:tc>
        <w:tc>
          <w:tcPr>
            <w:tcW w:w="1352" w:type="dxa"/>
            <w:tcBorders>
              <w:top w:val="nil"/>
              <w:left w:val="nil"/>
              <w:bottom w:val="single" w:sz="4" w:space="0" w:color="auto"/>
              <w:right w:val="double" w:sz="6" w:space="0" w:color="auto"/>
            </w:tcBorders>
            <w:shd w:val="clear" w:color="auto" w:fill="auto"/>
            <w:vAlign w:val="center"/>
            <w:hideMark/>
          </w:tcPr>
          <w:p w14:paraId="387DD8FE"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683.107,61</w:t>
            </w:r>
          </w:p>
        </w:tc>
      </w:tr>
      <w:tr w:rsidR="000E49F6" w:rsidRPr="000E49F6" w14:paraId="1EB847D9" w14:textId="77777777" w:rsidTr="00C41EC6">
        <w:trPr>
          <w:cantSplit/>
          <w:trHeight w:val="255"/>
        </w:trPr>
        <w:tc>
          <w:tcPr>
            <w:tcW w:w="579" w:type="dxa"/>
            <w:tcBorders>
              <w:top w:val="nil"/>
              <w:left w:val="double" w:sz="6" w:space="0" w:color="auto"/>
              <w:bottom w:val="single" w:sz="4" w:space="0" w:color="auto"/>
              <w:right w:val="single" w:sz="4" w:space="0" w:color="auto"/>
            </w:tcBorders>
            <w:shd w:val="clear" w:color="auto" w:fill="auto"/>
            <w:vAlign w:val="center"/>
            <w:hideMark/>
          </w:tcPr>
          <w:p w14:paraId="76E90053" w14:textId="77777777" w:rsidR="000E49F6" w:rsidRPr="000E49F6" w:rsidRDefault="000E49F6" w:rsidP="000E49F6">
            <w:pPr>
              <w:ind w:left="0" w:right="0" w:firstLine="0"/>
              <w:jc w:val="center"/>
              <w:rPr>
                <w:sz w:val="20"/>
                <w:szCs w:val="20"/>
                <w:lang w:val="sr-Latn-RS" w:eastAsia="sr-Latn-RS"/>
              </w:rPr>
            </w:pPr>
            <w:r w:rsidRPr="000E49F6">
              <w:rPr>
                <w:sz w:val="20"/>
                <w:szCs w:val="20"/>
                <w:lang w:val="sr-Latn-RS" w:eastAsia="sr-Latn-RS"/>
              </w:rPr>
              <w:t>17</w:t>
            </w:r>
          </w:p>
        </w:tc>
        <w:tc>
          <w:tcPr>
            <w:tcW w:w="3532" w:type="dxa"/>
            <w:tcBorders>
              <w:top w:val="nil"/>
              <w:left w:val="nil"/>
              <w:bottom w:val="single" w:sz="4" w:space="0" w:color="auto"/>
              <w:right w:val="single" w:sz="4" w:space="0" w:color="auto"/>
            </w:tcBorders>
            <w:shd w:val="clear" w:color="auto" w:fill="auto"/>
            <w:vAlign w:val="center"/>
            <w:hideMark/>
          </w:tcPr>
          <w:p w14:paraId="63BE675D" w14:textId="77777777" w:rsidR="000E49F6" w:rsidRPr="000E49F6" w:rsidRDefault="000E49F6" w:rsidP="000E49F6">
            <w:pPr>
              <w:ind w:left="0" w:right="0" w:firstLine="0"/>
              <w:jc w:val="left"/>
              <w:rPr>
                <w:sz w:val="20"/>
                <w:szCs w:val="20"/>
                <w:lang w:val="sr-Latn-RS" w:eastAsia="sr-Latn-RS"/>
              </w:rPr>
            </w:pPr>
            <w:r w:rsidRPr="000E49F6">
              <w:rPr>
                <w:sz w:val="20"/>
                <w:szCs w:val="20"/>
                <w:lang w:val="sr-Latn-RS" w:eastAsia="sr-Latn-RS"/>
              </w:rPr>
              <w:t xml:space="preserve">ЈУ </w:t>
            </w:r>
            <w:proofErr w:type="spellStart"/>
            <w:r w:rsidRPr="000E49F6">
              <w:rPr>
                <w:sz w:val="20"/>
                <w:szCs w:val="20"/>
                <w:lang w:val="sr-Latn-RS" w:eastAsia="sr-Latn-RS"/>
              </w:rPr>
              <w:t>Гимназија</w:t>
            </w:r>
            <w:proofErr w:type="spellEnd"/>
            <w:r w:rsidRPr="000E49F6">
              <w:rPr>
                <w:sz w:val="20"/>
                <w:szCs w:val="20"/>
                <w:lang w:val="sr-Latn-RS" w:eastAsia="sr-Latn-RS"/>
              </w:rPr>
              <w:t xml:space="preserve"> </w:t>
            </w:r>
            <w:proofErr w:type="spellStart"/>
            <w:r w:rsidRPr="000E49F6">
              <w:rPr>
                <w:sz w:val="20"/>
                <w:szCs w:val="20"/>
                <w:lang w:val="sr-Latn-RS" w:eastAsia="sr-Latn-RS"/>
              </w:rPr>
              <w:t>Прњавор</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1A903454"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58.919,60</w:t>
            </w:r>
          </w:p>
        </w:tc>
        <w:tc>
          <w:tcPr>
            <w:tcW w:w="1598" w:type="dxa"/>
            <w:tcBorders>
              <w:top w:val="nil"/>
              <w:left w:val="nil"/>
              <w:bottom w:val="single" w:sz="4" w:space="0" w:color="auto"/>
              <w:right w:val="single" w:sz="4" w:space="0" w:color="auto"/>
            </w:tcBorders>
            <w:shd w:val="clear" w:color="auto" w:fill="auto"/>
            <w:vAlign w:val="center"/>
            <w:hideMark/>
          </w:tcPr>
          <w:p w14:paraId="29343051"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58.919,60</w:t>
            </w:r>
          </w:p>
        </w:tc>
        <w:tc>
          <w:tcPr>
            <w:tcW w:w="1451" w:type="dxa"/>
            <w:tcBorders>
              <w:top w:val="nil"/>
              <w:left w:val="nil"/>
              <w:bottom w:val="single" w:sz="4" w:space="0" w:color="auto"/>
              <w:right w:val="single" w:sz="4" w:space="0" w:color="auto"/>
            </w:tcBorders>
            <w:shd w:val="clear" w:color="auto" w:fill="auto"/>
            <w:vAlign w:val="center"/>
            <w:hideMark/>
          </w:tcPr>
          <w:p w14:paraId="522E56EF"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58.919,60</w:t>
            </w:r>
          </w:p>
        </w:tc>
        <w:tc>
          <w:tcPr>
            <w:tcW w:w="1352" w:type="dxa"/>
            <w:tcBorders>
              <w:top w:val="nil"/>
              <w:left w:val="nil"/>
              <w:bottom w:val="single" w:sz="4" w:space="0" w:color="auto"/>
              <w:right w:val="double" w:sz="6" w:space="0" w:color="auto"/>
            </w:tcBorders>
            <w:shd w:val="clear" w:color="auto" w:fill="auto"/>
            <w:vAlign w:val="center"/>
            <w:hideMark/>
          </w:tcPr>
          <w:p w14:paraId="56CA01EA"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50.803,31</w:t>
            </w:r>
          </w:p>
        </w:tc>
      </w:tr>
      <w:tr w:rsidR="000E49F6" w:rsidRPr="000E49F6" w14:paraId="6ABA0934" w14:textId="77777777" w:rsidTr="00C41EC6">
        <w:trPr>
          <w:cantSplit/>
          <w:trHeight w:val="255"/>
        </w:trPr>
        <w:tc>
          <w:tcPr>
            <w:tcW w:w="579" w:type="dxa"/>
            <w:tcBorders>
              <w:top w:val="nil"/>
              <w:left w:val="double" w:sz="6" w:space="0" w:color="auto"/>
              <w:bottom w:val="single" w:sz="4" w:space="0" w:color="auto"/>
              <w:right w:val="single" w:sz="4" w:space="0" w:color="auto"/>
            </w:tcBorders>
            <w:shd w:val="clear" w:color="auto" w:fill="auto"/>
            <w:vAlign w:val="center"/>
            <w:hideMark/>
          </w:tcPr>
          <w:p w14:paraId="1EA92182" w14:textId="77777777" w:rsidR="000E49F6" w:rsidRPr="000E49F6" w:rsidRDefault="000E49F6" w:rsidP="000E49F6">
            <w:pPr>
              <w:ind w:left="0" w:right="0" w:firstLine="0"/>
              <w:jc w:val="center"/>
              <w:rPr>
                <w:sz w:val="20"/>
                <w:szCs w:val="20"/>
                <w:lang w:val="sr-Latn-RS" w:eastAsia="sr-Latn-RS"/>
              </w:rPr>
            </w:pPr>
            <w:r w:rsidRPr="000E49F6">
              <w:rPr>
                <w:sz w:val="20"/>
                <w:szCs w:val="20"/>
                <w:lang w:val="sr-Latn-RS" w:eastAsia="sr-Latn-RS"/>
              </w:rPr>
              <w:t>18</w:t>
            </w:r>
          </w:p>
        </w:tc>
        <w:tc>
          <w:tcPr>
            <w:tcW w:w="3532" w:type="dxa"/>
            <w:tcBorders>
              <w:top w:val="nil"/>
              <w:left w:val="nil"/>
              <w:bottom w:val="single" w:sz="4" w:space="0" w:color="auto"/>
              <w:right w:val="single" w:sz="4" w:space="0" w:color="auto"/>
            </w:tcBorders>
            <w:shd w:val="clear" w:color="auto" w:fill="auto"/>
            <w:vAlign w:val="center"/>
            <w:hideMark/>
          </w:tcPr>
          <w:p w14:paraId="59772B40" w14:textId="77777777" w:rsidR="000E49F6" w:rsidRPr="000E49F6" w:rsidRDefault="000E49F6" w:rsidP="000E49F6">
            <w:pPr>
              <w:ind w:left="0" w:right="0" w:firstLine="0"/>
              <w:jc w:val="left"/>
              <w:rPr>
                <w:sz w:val="20"/>
                <w:szCs w:val="20"/>
                <w:lang w:val="sr-Latn-RS" w:eastAsia="sr-Latn-RS"/>
              </w:rPr>
            </w:pPr>
            <w:r w:rsidRPr="000E49F6">
              <w:rPr>
                <w:sz w:val="20"/>
                <w:szCs w:val="20"/>
                <w:lang w:val="sr-Latn-RS" w:eastAsia="sr-Latn-RS"/>
              </w:rPr>
              <w:t xml:space="preserve">ЈУ </w:t>
            </w:r>
            <w:proofErr w:type="spellStart"/>
            <w:r w:rsidRPr="000E49F6">
              <w:rPr>
                <w:sz w:val="20"/>
                <w:szCs w:val="20"/>
                <w:lang w:val="sr-Latn-RS" w:eastAsia="sr-Latn-RS"/>
              </w:rPr>
              <w:t>Центар</w:t>
            </w:r>
            <w:proofErr w:type="spellEnd"/>
            <w:r w:rsidRPr="000E49F6">
              <w:rPr>
                <w:sz w:val="20"/>
                <w:szCs w:val="20"/>
                <w:lang w:val="sr-Latn-RS" w:eastAsia="sr-Latn-RS"/>
              </w:rPr>
              <w:t xml:space="preserve"> </w:t>
            </w:r>
            <w:proofErr w:type="spellStart"/>
            <w:r w:rsidRPr="000E49F6">
              <w:rPr>
                <w:sz w:val="20"/>
                <w:szCs w:val="20"/>
                <w:lang w:val="sr-Latn-RS" w:eastAsia="sr-Latn-RS"/>
              </w:rPr>
              <w:t>средњих</w:t>
            </w:r>
            <w:proofErr w:type="spellEnd"/>
            <w:r w:rsidRPr="000E49F6">
              <w:rPr>
                <w:sz w:val="20"/>
                <w:szCs w:val="20"/>
                <w:lang w:val="sr-Latn-RS" w:eastAsia="sr-Latn-RS"/>
              </w:rPr>
              <w:t xml:space="preserve"> </w:t>
            </w:r>
            <w:proofErr w:type="spellStart"/>
            <w:r w:rsidRPr="000E49F6">
              <w:rPr>
                <w:sz w:val="20"/>
                <w:szCs w:val="20"/>
                <w:lang w:val="sr-Latn-RS" w:eastAsia="sr-Latn-RS"/>
              </w:rPr>
              <w:t>школа</w:t>
            </w:r>
            <w:proofErr w:type="spellEnd"/>
            <w:r w:rsidRPr="000E49F6">
              <w:rPr>
                <w:sz w:val="20"/>
                <w:szCs w:val="20"/>
                <w:lang w:val="sr-Latn-RS" w:eastAsia="sr-Latn-RS"/>
              </w:rPr>
              <w:t xml:space="preserve"> "</w:t>
            </w:r>
            <w:proofErr w:type="spellStart"/>
            <w:r w:rsidRPr="000E49F6">
              <w:rPr>
                <w:sz w:val="20"/>
                <w:szCs w:val="20"/>
                <w:lang w:val="sr-Latn-RS" w:eastAsia="sr-Latn-RS"/>
              </w:rPr>
              <w:t>Иво</w:t>
            </w:r>
            <w:proofErr w:type="spellEnd"/>
            <w:r w:rsidRPr="000E49F6">
              <w:rPr>
                <w:sz w:val="20"/>
                <w:szCs w:val="20"/>
                <w:lang w:val="sr-Latn-RS" w:eastAsia="sr-Latn-RS"/>
              </w:rPr>
              <w:t xml:space="preserve"> </w:t>
            </w:r>
            <w:proofErr w:type="spellStart"/>
            <w:r w:rsidRPr="000E49F6">
              <w:rPr>
                <w:sz w:val="20"/>
                <w:szCs w:val="20"/>
                <w:lang w:val="sr-Latn-RS" w:eastAsia="sr-Latn-RS"/>
              </w:rPr>
              <w:t>Андрић</w:t>
            </w:r>
            <w:proofErr w:type="spellEnd"/>
            <w:r w:rsidRPr="000E49F6">
              <w:rPr>
                <w:sz w:val="20"/>
                <w:szCs w:val="20"/>
                <w:lang w:val="sr-Latn-RS" w:eastAsia="sr-Latn-RS"/>
              </w:rPr>
              <w:t xml:space="preserve">" </w:t>
            </w:r>
            <w:proofErr w:type="spellStart"/>
            <w:r w:rsidRPr="000E49F6">
              <w:rPr>
                <w:sz w:val="20"/>
                <w:szCs w:val="20"/>
                <w:lang w:val="sr-Latn-RS" w:eastAsia="sr-Latn-RS"/>
              </w:rPr>
              <w:t>Прњавор</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4BC32AD7"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95.330,00</w:t>
            </w:r>
          </w:p>
        </w:tc>
        <w:tc>
          <w:tcPr>
            <w:tcW w:w="1598" w:type="dxa"/>
            <w:tcBorders>
              <w:top w:val="nil"/>
              <w:left w:val="nil"/>
              <w:bottom w:val="single" w:sz="4" w:space="0" w:color="auto"/>
              <w:right w:val="single" w:sz="4" w:space="0" w:color="auto"/>
            </w:tcBorders>
            <w:shd w:val="clear" w:color="auto" w:fill="auto"/>
            <w:vAlign w:val="center"/>
            <w:hideMark/>
          </w:tcPr>
          <w:p w14:paraId="194F45DC"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95.330,00</w:t>
            </w:r>
          </w:p>
        </w:tc>
        <w:tc>
          <w:tcPr>
            <w:tcW w:w="1451" w:type="dxa"/>
            <w:tcBorders>
              <w:top w:val="nil"/>
              <w:left w:val="nil"/>
              <w:bottom w:val="single" w:sz="4" w:space="0" w:color="auto"/>
              <w:right w:val="nil"/>
            </w:tcBorders>
            <w:shd w:val="clear" w:color="auto" w:fill="auto"/>
            <w:vAlign w:val="center"/>
            <w:hideMark/>
          </w:tcPr>
          <w:p w14:paraId="1137D4E7"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96.230,00</w:t>
            </w:r>
          </w:p>
        </w:tc>
        <w:tc>
          <w:tcPr>
            <w:tcW w:w="1352" w:type="dxa"/>
            <w:tcBorders>
              <w:top w:val="nil"/>
              <w:left w:val="single" w:sz="4" w:space="0" w:color="auto"/>
              <w:bottom w:val="single" w:sz="4" w:space="0" w:color="auto"/>
              <w:right w:val="double" w:sz="6" w:space="0" w:color="auto"/>
            </w:tcBorders>
            <w:shd w:val="clear" w:color="auto" w:fill="auto"/>
            <w:vAlign w:val="center"/>
            <w:hideMark/>
          </w:tcPr>
          <w:p w14:paraId="25EF5C70"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91.184,30</w:t>
            </w:r>
          </w:p>
        </w:tc>
      </w:tr>
      <w:tr w:rsidR="000E49F6" w:rsidRPr="000E49F6" w14:paraId="2417C0AE" w14:textId="77777777" w:rsidTr="00C41EC6">
        <w:trPr>
          <w:cantSplit/>
          <w:trHeight w:val="255"/>
        </w:trPr>
        <w:tc>
          <w:tcPr>
            <w:tcW w:w="579" w:type="dxa"/>
            <w:tcBorders>
              <w:top w:val="nil"/>
              <w:left w:val="double" w:sz="6" w:space="0" w:color="auto"/>
              <w:bottom w:val="single" w:sz="4" w:space="0" w:color="auto"/>
              <w:right w:val="single" w:sz="4" w:space="0" w:color="auto"/>
            </w:tcBorders>
            <w:shd w:val="clear" w:color="auto" w:fill="auto"/>
            <w:vAlign w:val="center"/>
            <w:hideMark/>
          </w:tcPr>
          <w:p w14:paraId="7E000BE5" w14:textId="77777777" w:rsidR="000E49F6" w:rsidRPr="000E49F6" w:rsidRDefault="000E49F6" w:rsidP="000E49F6">
            <w:pPr>
              <w:ind w:left="0" w:right="0" w:firstLine="0"/>
              <w:jc w:val="center"/>
              <w:rPr>
                <w:sz w:val="20"/>
                <w:szCs w:val="20"/>
                <w:lang w:val="sr-Latn-RS" w:eastAsia="sr-Latn-RS"/>
              </w:rPr>
            </w:pPr>
            <w:r w:rsidRPr="000E49F6">
              <w:rPr>
                <w:sz w:val="20"/>
                <w:szCs w:val="20"/>
                <w:lang w:val="sr-Latn-RS" w:eastAsia="sr-Latn-RS"/>
              </w:rPr>
              <w:t>19</w:t>
            </w:r>
          </w:p>
        </w:tc>
        <w:tc>
          <w:tcPr>
            <w:tcW w:w="3532" w:type="dxa"/>
            <w:tcBorders>
              <w:top w:val="nil"/>
              <w:left w:val="nil"/>
              <w:bottom w:val="single" w:sz="4" w:space="0" w:color="auto"/>
              <w:right w:val="single" w:sz="4" w:space="0" w:color="auto"/>
            </w:tcBorders>
            <w:shd w:val="clear" w:color="auto" w:fill="auto"/>
            <w:vAlign w:val="center"/>
            <w:hideMark/>
          </w:tcPr>
          <w:p w14:paraId="62D541A2" w14:textId="77777777" w:rsidR="000E49F6" w:rsidRPr="000E49F6" w:rsidRDefault="000E49F6" w:rsidP="000E49F6">
            <w:pPr>
              <w:ind w:left="0" w:right="0" w:firstLine="0"/>
              <w:jc w:val="left"/>
              <w:rPr>
                <w:sz w:val="20"/>
                <w:szCs w:val="20"/>
                <w:lang w:val="sr-Latn-RS" w:eastAsia="sr-Latn-RS"/>
              </w:rPr>
            </w:pPr>
            <w:r w:rsidRPr="000E49F6">
              <w:rPr>
                <w:sz w:val="20"/>
                <w:szCs w:val="20"/>
                <w:lang w:val="sr-Latn-RS" w:eastAsia="sr-Latn-RS"/>
              </w:rPr>
              <w:t xml:space="preserve">ЈУ </w:t>
            </w:r>
            <w:proofErr w:type="spellStart"/>
            <w:r w:rsidRPr="000E49F6">
              <w:rPr>
                <w:sz w:val="20"/>
                <w:szCs w:val="20"/>
                <w:lang w:val="sr-Latn-RS" w:eastAsia="sr-Latn-RS"/>
              </w:rPr>
              <w:t>Центар</w:t>
            </w:r>
            <w:proofErr w:type="spellEnd"/>
            <w:r w:rsidRPr="000E49F6">
              <w:rPr>
                <w:sz w:val="20"/>
                <w:szCs w:val="20"/>
                <w:lang w:val="sr-Latn-RS" w:eastAsia="sr-Latn-RS"/>
              </w:rPr>
              <w:t xml:space="preserve"> </w:t>
            </w:r>
            <w:proofErr w:type="spellStart"/>
            <w:r w:rsidRPr="000E49F6">
              <w:rPr>
                <w:sz w:val="20"/>
                <w:szCs w:val="20"/>
                <w:lang w:val="sr-Latn-RS" w:eastAsia="sr-Latn-RS"/>
              </w:rPr>
              <w:t>за</w:t>
            </w:r>
            <w:proofErr w:type="spellEnd"/>
            <w:r w:rsidRPr="000E49F6">
              <w:rPr>
                <w:sz w:val="20"/>
                <w:szCs w:val="20"/>
                <w:lang w:val="sr-Latn-RS" w:eastAsia="sr-Latn-RS"/>
              </w:rPr>
              <w:t xml:space="preserve"> </w:t>
            </w:r>
            <w:proofErr w:type="spellStart"/>
            <w:r w:rsidRPr="000E49F6">
              <w:rPr>
                <w:sz w:val="20"/>
                <w:szCs w:val="20"/>
                <w:lang w:val="sr-Latn-RS" w:eastAsia="sr-Latn-RS"/>
              </w:rPr>
              <w:t>културу</w:t>
            </w:r>
            <w:proofErr w:type="spellEnd"/>
            <w:r w:rsidRPr="000E49F6">
              <w:rPr>
                <w:sz w:val="20"/>
                <w:szCs w:val="20"/>
                <w:lang w:val="sr-Latn-RS" w:eastAsia="sr-Latn-RS"/>
              </w:rPr>
              <w:t xml:space="preserve"> </w:t>
            </w:r>
            <w:proofErr w:type="spellStart"/>
            <w:r w:rsidRPr="000E49F6">
              <w:rPr>
                <w:sz w:val="20"/>
                <w:szCs w:val="20"/>
                <w:lang w:val="sr-Latn-RS" w:eastAsia="sr-Latn-RS"/>
              </w:rPr>
              <w:t>Прњавор</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2A43BDFE"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215.064,64</w:t>
            </w:r>
          </w:p>
        </w:tc>
        <w:tc>
          <w:tcPr>
            <w:tcW w:w="1598" w:type="dxa"/>
            <w:tcBorders>
              <w:top w:val="nil"/>
              <w:left w:val="nil"/>
              <w:bottom w:val="single" w:sz="4" w:space="0" w:color="auto"/>
              <w:right w:val="single" w:sz="4" w:space="0" w:color="auto"/>
            </w:tcBorders>
            <w:shd w:val="clear" w:color="auto" w:fill="auto"/>
            <w:vAlign w:val="center"/>
            <w:hideMark/>
          </w:tcPr>
          <w:p w14:paraId="03DC8076"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215.064,64</w:t>
            </w:r>
          </w:p>
        </w:tc>
        <w:tc>
          <w:tcPr>
            <w:tcW w:w="1451" w:type="dxa"/>
            <w:tcBorders>
              <w:top w:val="nil"/>
              <w:left w:val="nil"/>
              <w:bottom w:val="single" w:sz="4" w:space="0" w:color="auto"/>
              <w:right w:val="single" w:sz="4" w:space="0" w:color="auto"/>
            </w:tcBorders>
            <w:shd w:val="clear" w:color="auto" w:fill="auto"/>
            <w:vAlign w:val="center"/>
            <w:hideMark/>
          </w:tcPr>
          <w:p w14:paraId="3D38D169"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215.064,64</w:t>
            </w:r>
          </w:p>
        </w:tc>
        <w:tc>
          <w:tcPr>
            <w:tcW w:w="1352" w:type="dxa"/>
            <w:tcBorders>
              <w:top w:val="nil"/>
              <w:left w:val="nil"/>
              <w:bottom w:val="single" w:sz="4" w:space="0" w:color="auto"/>
              <w:right w:val="double" w:sz="6" w:space="0" w:color="auto"/>
            </w:tcBorders>
            <w:shd w:val="clear" w:color="auto" w:fill="auto"/>
            <w:vAlign w:val="center"/>
            <w:hideMark/>
          </w:tcPr>
          <w:p w14:paraId="47C678DE"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210.352,44</w:t>
            </w:r>
          </w:p>
        </w:tc>
      </w:tr>
      <w:tr w:rsidR="000E49F6" w:rsidRPr="000E49F6" w14:paraId="450C5605" w14:textId="77777777" w:rsidTr="00C41EC6">
        <w:trPr>
          <w:cantSplit/>
          <w:trHeight w:val="255"/>
        </w:trPr>
        <w:tc>
          <w:tcPr>
            <w:tcW w:w="579" w:type="dxa"/>
            <w:tcBorders>
              <w:top w:val="nil"/>
              <w:left w:val="double" w:sz="6" w:space="0" w:color="auto"/>
              <w:bottom w:val="single" w:sz="4" w:space="0" w:color="auto"/>
              <w:right w:val="single" w:sz="4" w:space="0" w:color="auto"/>
            </w:tcBorders>
            <w:shd w:val="clear" w:color="auto" w:fill="auto"/>
            <w:vAlign w:val="center"/>
            <w:hideMark/>
          </w:tcPr>
          <w:p w14:paraId="3E47997E" w14:textId="77777777" w:rsidR="000E49F6" w:rsidRPr="000E49F6" w:rsidRDefault="000E49F6" w:rsidP="000E49F6">
            <w:pPr>
              <w:ind w:left="0" w:right="0" w:firstLine="0"/>
              <w:jc w:val="center"/>
              <w:rPr>
                <w:sz w:val="20"/>
                <w:szCs w:val="20"/>
                <w:lang w:val="sr-Latn-RS" w:eastAsia="sr-Latn-RS"/>
              </w:rPr>
            </w:pPr>
            <w:r w:rsidRPr="000E49F6">
              <w:rPr>
                <w:sz w:val="20"/>
                <w:szCs w:val="20"/>
                <w:lang w:val="sr-Latn-RS" w:eastAsia="sr-Latn-RS"/>
              </w:rPr>
              <w:t>20</w:t>
            </w:r>
          </w:p>
        </w:tc>
        <w:tc>
          <w:tcPr>
            <w:tcW w:w="3532" w:type="dxa"/>
            <w:tcBorders>
              <w:top w:val="nil"/>
              <w:left w:val="nil"/>
              <w:bottom w:val="single" w:sz="4" w:space="0" w:color="auto"/>
              <w:right w:val="single" w:sz="4" w:space="0" w:color="auto"/>
            </w:tcBorders>
            <w:shd w:val="clear" w:color="auto" w:fill="auto"/>
            <w:vAlign w:val="center"/>
            <w:hideMark/>
          </w:tcPr>
          <w:p w14:paraId="5BD85F26" w14:textId="77777777" w:rsidR="000E49F6" w:rsidRPr="000E49F6" w:rsidRDefault="000E49F6" w:rsidP="000E49F6">
            <w:pPr>
              <w:ind w:left="0" w:right="0" w:firstLine="0"/>
              <w:jc w:val="left"/>
              <w:rPr>
                <w:sz w:val="20"/>
                <w:szCs w:val="20"/>
                <w:lang w:val="sr-Latn-RS" w:eastAsia="sr-Latn-RS"/>
              </w:rPr>
            </w:pPr>
            <w:r w:rsidRPr="000E49F6">
              <w:rPr>
                <w:sz w:val="20"/>
                <w:szCs w:val="20"/>
                <w:lang w:val="sr-Latn-RS" w:eastAsia="sr-Latn-RS"/>
              </w:rPr>
              <w:t xml:space="preserve">ЈУ </w:t>
            </w:r>
            <w:proofErr w:type="spellStart"/>
            <w:r w:rsidRPr="000E49F6">
              <w:rPr>
                <w:sz w:val="20"/>
                <w:szCs w:val="20"/>
                <w:lang w:val="sr-Latn-RS" w:eastAsia="sr-Latn-RS"/>
              </w:rPr>
              <w:t>Народна</w:t>
            </w:r>
            <w:proofErr w:type="spellEnd"/>
            <w:r w:rsidRPr="000E49F6">
              <w:rPr>
                <w:sz w:val="20"/>
                <w:szCs w:val="20"/>
                <w:lang w:val="sr-Latn-RS" w:eastAsia="sr-Latn-RS"/>
              </w:rPr>
              <w:t xml:space="preserve"> </w:t>
            </w:r>
            <w:proofErr w:type="spellStart"/>
            <w:r w:rsidRPr="000E49F6">
              <w:rPr>
                <w:sz w:val="20"/>
                <w:szCs w:val="20"/>
                <w:lang w:val="sr-Latn-RS" w:eastAsia="sr-Latn-RS"/>
              </w:rPr>
              <w:t>библиотека</w:t>
            </w:r>
            <w:proofErr w:type="spellEnd"/>
            <w:r w:rsidRPr="000E49F6">
              <w:rPr>
                <w:sz w:val="20"/>
                <w:szCs w:val="20"/>
                <w:lang w:val="sr-Latn-RS" w:eastAsia="sr-Latn-RS"/>
              </w:rPr>
              <w:t xml:space="preserve"> </w:t>
            </w:r>
            <w:proofErr w:type="spellStart"/>
            <w:r w:rsidRPr="000E49F6">
              <w:rPr>
                <w:sz w:val="20"/>
                <w:szCs w:val="20"/>
                <w:lang w:val="sr-Latn-RS" w:eastAsia="sr-Latn-RS"/>
              </w:rPr>
              <w:t>Прњавор</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16C70F9F"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13.540,00</w:t>
            </w:r>
          </w:p>
        </w:tc>
        <w:tc>
          <w:tcPr>
            <w:tcW w:w="1598" w:type="dxa"/>
            <w:tcBorders>
              <w:top w:val="nil"/>
              <w:left w:val="nil"/>
              <w:bottom w:val="single" w:sz="4" w:space="0" w:color="auto"/>
              <w:right w:val="single" w:sz="4" w:space="0" w:color="auto"/>
            </w:tcBorders>
            <w:shd w:val="clear" w:color="auto" w:fill="auto"/>
            <w:vAlign w:val="center"/>
            <w:hideMark/>
          </w:tcPr>
          <w:p w14:paraId="6DAEFFEE"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13.540,00</w:t>
            </w:r>
          </w:p>
        </w:tc>
        <w:tc>
          <w:tcPr>
            <w:tcW w:w="1451" w:type="dxa"/>
            <w:tcBorders>
              <w:top w:val="nil"/>
              <w:left w:val="nil"/>
              <w:bottom w:val="single" w:sz="4" w:space="0" w:color="auto"/>
              <w:right w:val="nil"/>
            </w:tcBorders>
            <w:shd w:val="clear" w:color="auto" w:fill="auto"/>
            <w:vAlign w:val="center"/>
            <w:hideMark/>
          </w:tcPr>
          <w:p w14:paraId="6D9D3E00"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13.540,00</w:t>
            </w:r>
          </w:p>
        </w:tc>
        <w:tc>
          <w:tcPr>
            <w:tcW w:w="1352" w:type="dxa"/>
            <w:tcBorders>
              <w:top w:val="nil"/>
              <w:left w:val="single" w:sz="4" w:space="0" w:color="auto"/>
              <w:bottom w:val="single" w:sz="4" w:space="0" w:color="auto"/>
              <w:right w:val="double" w:sz="6" w:space="0" w:color="auto"/>
            </w:tcBorders>
            <w:shd w:val="clear" w:color="auto" w:fill="auto"/>
            <w:vAlign w:val="center"/>
            <w:hideMark/>
          </w:tcPr>
          <w:p w14:paraId="44607F9C"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9.332,47</w:t>
            </w:r>
          </w:p>
        </w:tc>
      </w:tr>
      <w:tr w:rsidR="000E49F6" w:rsidRPr="000E49F6" w14:paraId="3F2FB9D8" w14:textId="77777777" w:rsidTr="00C41EC6">
        <w:trPr>
          <w:cantSplit/>
          <w:trHeight w:val="255"/>
        </w:trPr>
        <w:tc>
          <w:tcPr>
            <w:tcW w:w="579" w:type="dxa"/>
            <w:tcBorders>
              <w:top w:val="nil"/>
              <w:left w:val="double" w:sz="6" w:space="0" w:color="auto"/>
              <w:bottom w:val="single" w:sz="4" w:space="0" w:color="auto"/>
              <w:right w:val="single" w:sz="4" w:space="0" w:color="auto"/>
            </w:tcBorders>
            <w:shd w:val="clear" w:color="auto" w:fill="auto"/>
            <w:vAlign w:val="center"/>
            <w:hideMark/>
          </w:tcPr>
          <w:p w14:paraId="054CC933" w14:textId="77777777" w:rsidR="000E49F6" w:rsidRPr="000E49F6" w:rsidRDefault="000E49F6" w:rsidP="000E49F6">
            <w:pPr>
              <w:ind w:left="0" w:right="0" w:firstLine="0"/>
              <w:jc w:val="center"/>
              <w:rPr>
                <w:sz w:val="20"/>
                <w:szCs w:val="20"/>
                <w:lang w:val="sr-Latn-RS" w:eastAsia="sr-Latn-RS"/>
              </w:rPr>
            </w:pPr>
            <w:r w:rsidRPr="000E49F6">
              <w:rPr>
                <w:sz w:val="20"/>
                <w:szCs w:val="20"/>
                <w:lang w:val="sr-Latn-RS" w:eastAsia="sr-Latn-RS"/>
              </w:rPr>
              <w:t>21</w:t>
            </w:r>
          </w:p>
        </w:tc>
        <w:tc>
          <w:tcPr>
            <w:tcW w:w="3532" w:type="dxa"/>
            <w:tcBorders>
              <w:top w:val="nil"/>
              <w:left w:val="nil"/>
              <w:bottom w:val="single" w:sz="4" w:space="0" w:color="auto"/>
              <w:right w:val="single" w:sz="4" w:space="0" w:color="auto"/>
            </w:tcBorders>
            <w:shd w:val="clear" w:color="auto" w:fill="auto"/>
            <w:vAlign w:val="center"/>
            <w:hideMark/>
          </w:tcPr>
          <w:p w14:paraId="6DCF52A9" w14:textId="77777777" w:rsidR="000E49F6" w:rsidRPr="000E49F6" w:rsidRDefault="000E49F6" w:rsidP="000E49F6">
            <w:pPr>
              <w:ind w:left="0" w:right="0" w:firstLine="0"/>
              <w:jc w:val="left"/>
              <w:rPr>
                <w:sz w:val="20"/>
                <w:szCs w:val="20"/>
                <w:lang w:val="sr-Latn-RS" w:eastAsia="sr-Latn-RS"/>
              </w:rPr>
            </w:pPr>
            <w:r w:rsidRPr="000E49F6">
              <w:rPr>
                <w:sz w:val="20"/>
                <w:szCs w:val="20"/>
                <w:lang w:val="sr-Latn-RS" w:eastAsia="sr-Latn-RS"/>
              </w:rPr>
              <w:t xml:space="preserve">ЈУ </w:t>
            </w:r>
            <w:proofErr w:type="spellStart"/>
            <w:r w:rsidRPr="000E49F6">
              <w:rPr>
                <w:sz w:val="20"/>
                <w:szCs w:val="20"/>
                <w:lang w:val="sr-Latn-RS" w:eastAsia="sr-Latn-RS"/>
              </w:rPr>
              <w:t>Музичка</w:t>
            </w:r>
            <w:proofErr w:type="spellEnd"/>
            <w:r w:rsidRPr="000E49F6">
              <w:rPr>
                <w:sz w:val="20"/>
                <w:szCs w:val="20"/>
                <w:lang w:val="sr-Latn-RS" w:eastAsia="sr-Latn-RS"/>
              </w:rPr>
              <w:t xml:space="preserve"> </w:t>
            </w:r>
            <w:proofErr w:type="spellStart"/>
            <w:r w:rsidRPr="000E49F6">
              <w:rPr>
                <w:sz w:val="20"/>
                <w:szCs w:val="20"/>
                <w:lang w:val="sr-Latn-RS" w:eastAsia="sr-Latn-RS"/>
              </w:rPr>
              <w:t>школа</w:t>
            </w:r>
            <w:proofErr w:type="spellEnd"/>
            <w:r w:rsidRPr="000E49F6">
              <w:rPr>
                <w:sz w:val="20"/>
                <w:szCs w:val="20"/>
                <w:lang w:val="sr-Latn-RS" w:eastAsia="sr-Latn-RS"/>
              </w:rPr>
              <w:t xml:space="preserve"> "</w:t>
            </w:r>
            <w:proofErr w:type="spellStart"/>
            <w:r w:rsidRPr="000E49F6">
              <w:rPr>
                <w:sz w:val="20"/>
                <w:szCs w:val="20"/>
                <w:lang w:val="sr-Latn-RS" w:eastAsia="sr-Latn-RS"/>
              </w:rPr>
              <w:t>Константин</w:t>
            </w:r>
            <w:proofErr w:type="spellEnd"/>
            <w:r w:rsidRPr="000E49F6">
              <w:rPr>
                <w:sz w:val="20"/>
                <w:szCs w:val="20"/>
                <w:lang w:val="sr-Latn-RS" w:eastAsia="sr-Latn-RS"/>
              </w:rPr>
              <w:t xml:space="preserve"> </w:t>
            </w:r>
            <w:proofErr w:type="spellStart"/>
            <w:r w:rsidRPr="000E49F6">
              <w:rPr>
                <w:sz w:val="20"/>
                <w:szCs w:val="20"/>
                <w:lang w:val="sr-Latn-RS" w:eastAsia="sr-Latn-RS"/>
              </w:rPr>
              <w:t>Бабић</w:t>
            </w:r>
            <w:proofErr w:type="spellEnd"/>
            <w:r w:rsidRPr="000E49F6">
              <w:rPr>
                <w:sz w:val="20"/>
                <w:szCs w:val="20"/>
                <w:lang w:val="sr-Latn-RS" w:eastAsia="sr-Latn-RS"/>
              </w:rPr>
              <w:t xml:space="preserve">" </w:t>
            </w:r>
            <w:proofErr w:type="spellStart"/>
            <w:r w:rsidRPr="000E49F6">
              <w:rPr>
                <w:sz w:val="20"/>
                <w:szCs w:val="20"/>
                <w:lang w:val="sr-Latn-RS" w:eastAsia="sr-Latn-RS"/>
              </w:rPr>
              <w:t>Прњавор</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45A312E2"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17.897,00</w:t>
            </w:r>
          </w:p>
        </w:tc>
        <w:tc>
          <w:tcPr>
            <w:tcW w:w="1598" w:type="dxa"/>
            <w:tcBorders>
              <w:top w:val="nil"/>
              <w:left w:val="nil"/>
              <w:bottom w:val="single" w:sz="4" w:space="0" w:color="auto"/>
              <w:right w:val="single" w:sz="4" w:space="0" w:color="auto"/>
            </w:tcBorders>
            <w:shd w:val="clear" w:color="auto" w:fill="auto"/>
            <w:vAlign w:val="center"/>
            <w:hideMark/>
          </w:tcPr>
          <w:p w14:paraId="1C183AC0"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17.897,00</w:t>
            </w:r>
          </w:p>
        </w:tc>
        <w:tc>
          <w:tcPr>
            <w:tcW w:w="1451" w:type="dxa"/>
            <w:tcBorders>
              <w:top w:val="nil"/>
              <w:left w:val="nil"/>
              <w:bottom w:val="single" w:sz="4" w:space="0" w:color="auto"/>
              <w:right w:val="single" w:sz="4" w:space="0" w:color="auto"/>
            </w:tcBorders>
            <w:shd w:val="clear" w:color="auto" w:fill="auto"/>
            <w:vAlign w:val="center"/>
            <w:hideMark/>
          </w:tcPr>
          <w:p w14:paraId="689298A3"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17.897,00</w:t>
            </w:r>
          </w:p>
        </w:tc>
        <w:tc>
          <w:tcPr>
            <w:tcW w:w="1352" w:type="dxa"/>
            <w:tcBorders>
              <w:top w:val="nil"/>
              <w:left w:val="nil"/>
              <w:bottom w:val="single" w:sz="4" w:space="0" w:color="auto"/>
              <w:right w:val="double" w:sz="6" w:space="0" w:color="auto"/>
            </w:tcBorders>
            <w:shd w:val="clear" w:color="auto" w:fill="auto"/>
            <w:vAlign w:val="center"/>
            <w:hideMark/>
          </w:tcPr>
          <w:p w14:paraId="5AF68A97"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17.878,37</w:t>
            </w:r>
          </w:p>
        </w:tc>
      </w:tr>
      <w:tr w:rsidR="000E49F6" w:rsidRPr="000E49F6" w14:paraId="2404B919" w14:textId="77777777" w:rsidTr="00C41EC6">
        <w:trPr>
          <w:cantSplit/>
          <w:trHeight w:val="255"/>
        </w:trPr>
        <w:tc>
          <w:tcPr>
            <w:tcW w:w="579" w:type="dxa"/>
            <w:tcBorders>
              <w:top w:val="nil"/>
              <w:left w:val="double" w:sz="6" w:space="0" w:color="auto"/>
              <w:bottom w:val="single" w:sz="4" w:space="0" w:color="auto"/>
              <w:right w:val="single" w:sz="4" w:space="0" w:color="auto"/>
            </w:tcBorders>
            <w:shd w:val="clear" w:color="auto" w:fill="auto"/>
            <w:vAlign w:val="center"/>
            <w:hideMark/>
          </w:tcPr>
          <w:p w14:paraId="24F95808" w14:textId="77777777" w:rsidR="000E49F6" w:rsidRPr="000E49F6" w:rsidRDefault="000E49F6" w:rsidP="000E49F6">
            <w:pPr>
              <w:ind w:left="0" w:right="0" w:firstLine="0"/>
              <w:jc w:val="center"/>
              <w:rPr>
                <w:sz w:val="20"/>
                <w:szCs w:val="20"/>
                <w:lang w:val="sr-Latn-RS" w:eastAsia="sr-Latn-RS"/>
              </w:rPr>
            </w:pPr>
            <w:r w:rsidRPr="000E49F6">
              <w:rPr>
                <w:sz w:val="20"/>
                <w:szCs w:val="20"/>
                <w:lang w:val="sr-Latn-RS" w:eastAsia="sr-Latn-RS"/>
              </w:rPr>
              <w:t>22</w:t>
            </w:r>
          </w:p>
        </w:tc>
        <w:tc>
          <w:tcPr>
            <w:tcW w:w="3532" w:type="dxa"/>
            <w:tcBorders>
              <w:top w:val="nil"/>
              <w:left w:val="nil"/>
              <w:bottom w:val="single" w:sz="4" w:space="0" w:color="auto"/>
              <w:right w:val="single" w:sz="4" w:space="0" w:color="auto"/>
            </w:tcBorders>
            <w:shd w:val="clear" w:color="auto" w:fill="auto"/>
            <w:vAlign w:val="center"/>
            <w:hideMark/>
          </w:tcPr>
          <w:p w14:paraId="0CB2E61A" w14:textId="77777777" w:rsidR="000E49F6" w:rsidRPr="000E49F6" w:rsidRDefault="000E49F6" w:rsidP="000E49F6">
            <w:pPr>
              <w:ind w:left="0" w:right="0" w:firstLine="0"/>
              <w:jc w:val="left"/>
              <w:rPr>
                <w:sz w:val="20"/>
                <w:szCs w:val="20"/>
                <w:lang w:val="sr-Latn-RS" w:eastAsia="sr-Latn-RS"/>
              </w:rPr>
            </w:pPr>
            <w:proofErr w:type="spellStart"/>
            <w:r w:rsidRPr="000E49F6">
              <w:rPr>
                <w:sz w:val="20"/>
                <w:szCs w:val="20"/>
                <w:lang w:val="sr-Latn-RS" w:eastAsia="sr-Latn-RS"/>
              </w:rPr>
              <w:t>Остала</w:t>
            </w:r>
            <w:proofErr w:type="spellEnd"/>
            <w:r w:rsidRPr="000E49F6">
              <w:rPr>
                <w:sz w:val="20"/>
                <w:szCs w:val="20"/>
                <w:lang w:val="sr-Latn-RS" w:eastAsia="sr-Latn-RS"/>
              </w:rPr>
              <w:t xml:space="preserve"> </w:t>
            </w:r>
            <w:proofErr w:type="spellStart"/>
            <w:r w:rsidRPr="000E49F6">
              <w:rPr>
                <w:sz w:val="20"/>
                <w:szCs w:val="20"/>
                <w:lang w:val="sr-Latn-RS" w:eastAsia="sr-Latn-RS"/>
              </w:rPr>
              <w:t>буџетска</w:t>
            </w:r>
            <w:proofErr w:type="spellEnd"/>
            <w:r w:rsidRPr="000E49F6">
              <w:rPr>
                <w:sz w:val="20"/>
                <w:szCs w:val="20"/>
                <w:lang w:val="sr-Latn-RS" w:eastAsia="sr-Latn-RS"/>
              </w:rPr>
              <w:t xml:space="preserve"> </w:t>
            </w:r>
            <w:proofErr w:type="spellStart"/>
            <w:r w:rsidRPr="000E49F6">
              <w:rPr>
                <w:sz w:val="20"/>
                <w:szCs w:val="20"/>
                <w:lang w:val="sr-Latn-RS" w:eastAsia="sr-Latn-RS"/>
              </w:rPr>
              <w:t>потрошња</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463239F4"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1.267.749,98</w:t>
            </w:r>
          </w:p>
        </w:tc>
        <w:tc>
          <w:tcPr>
            <w:tcW w:w="1598" w:type="dxa"/>
            <w:tcBorders>
              <w:top w:val="nil"/>
              <w:left w:val="nil"/>
              <w:bottom w:val="single" w:sz="4" w:space="0" w:color="auto"/>
              <w:right w:val="single" w:sz="4" w:space="0" w:color="auto"/>
            </w:tcBorders>
            <w:shd w:val="clear" w:color="auto" w:fill="auto"/>
            <w:vAlign w:val="center"/>
            <w:hideMark/>
          </w:tcPr>
          <w:p w14:paraId="0FE61C90"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1.262.149,98</w:t>
            </w:r>
          </w:p>
        </w:tc>
        <w:tc>
          <w:tcPr>
            <w:tcW w:w="1451" w:type="dxa"/>
            <w:tcBorders>
              <w:top w:val="nil"/>
              <w:left w:val="nil"/>
              <w:bottom w:val="single" w:sz="4" w:space="0" w:color="auto"/>
              <w:right w:val="single" w:sz="4" w:space="0" w:color="auto"/>
            </w:tcBorders>
            <w:shd w:val="clear" w:color="auto" w:fill="auto"/>
            <w:vAlign w:val="center"/>
            <w:hideMark/>
          </w:tcPr>
          <w:p w14:paraId="09E26867"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1.262.149,98</w:t>
            </w:r>
          </w:p>
        </w:tc>
        <w:tc>
          <w:tcPr>
            <w:tcW w:w="1352" w:type="dxa"/>
            <w:tcBorders>
              <w:top w:val="nil"/>
              <w:left w:val="nil"/>
              <w:bottom w:val="single" w:sz="4" w:space="0" w:color="auto"/>
              <w:right w:val="double" w:sz="6" w:space="0" w:color="auto"/>
            </w:tcBorders>
            <w:shd w:val="clear" w:color="auto" w:fill="auto"/>
            <w:vAlign w:val="center"/>
            <w:hideMark/>
          </w:tcPr>
          <w:p w14:paraId="4DCBF1B6"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1.226.106,85</w:t>
            </w:r>
          </w:p>
        </w:tc>
      </w:tr>
      <w:tr w:rsidR="000E49F6" w:rsidRPr="000E49F6" w14:paraId="771D660B" w14:textId="77777777" w:rsidTr="00C41EC6">
        <w:trPr>
          <w:cantSplit/>
          <w:trHeight w:val="255"/>
        </w:trPr>
        <w:tc>
          <w:tcPr>
            <w:tcW w:w="579" w:type="dxa"/>
            <w:tcBorders>
              <w:top w:val="nil"/>
              <w:left w:val="double" w:sz="6" w:space="0" w:color="auto"/>
              <w:bottom w:val="single" w:sz="4" w:space="0" w:color="auto"/>
              <w:right w:val="single" w:sz="4" w:space="0" w:color="auto"/>
            </w:tcBorders>
            <w:shd w:val="clear" w:color="auto" w:fill="auto"/>
            <w:vAlign w:val="center"/>
            <w:hideMark/>
          </w:tcPr>
          <w:p w14:paraId="643DAFB9" w14:textId="77777777" w:rsidR="000E49F6" w:rsidRPr="000E49F6" w:rsidRDefault="000E49F6" w:rsidP="000E49F6">
            <w:pPr>
              <w:ind w:left="0" w:right="0" w:firstLine="0"/>
              <w:jc w:val="center"/>
              <w:rPr>
                <w:sz w:val="20"/>
                <w:szCs w:val="20"/>
                <w:lang w:val="sr-Latn-RS" w:eastAsia="sr-Latn-RS"/>
              </w:rPr>
            </w:pPr>
            <w:r w:rsidRPr="000E49F6">
              <w:rPr>
                <w:sz w:val="20"/>
                <w:szCs w:val="20"/>
                <w:lang w:val="sr-Latn-RS" w:eastAsia="sr-Latn-RS"/>
              </w:rPr>
              <w:t>23</w:t>
            </w:r>
          </w:p>
        </w:tc>
        <w:tc>
          <w:tcPr>
            <w:tcW w:w="3532" w:type="dxa"/>
            <w:tcBorders>
              <w:top w:val="nil"/>
              <w:left w:val="nil"/>
              <w:bottom w:val="nil"/>
              <w:right w:val="single" w:sz="4" w:space="0" w:color="auto"/>
            </w:tcBorders>
            <w:shd w:val="clear" w:color="auto" w:fill="auto"/>
            <w:vAlign w:val="center"/>
            <w:hideMark/>
          </w:tcPr>
          <w:p w14:paraId="2D8B3C87" w14:textId="77777777" w:rsidR="000E49F6" w:rsidRPr="000E49F6" w:rsidRDefault="000E49F6" w:rsidP="000E49F6">
            <w:pPr>
              <w:ind w:left="0" w:right="0" w:firstLine="0"/>
              <w:jc w:val="left"/>
              <w:rPr>
                <w:sz w:val="20"/>
                <w:szCs w:val="20"/>
                <w:lang w:val="sr-Latn-RS" w:eastAsia="sr-Latn-RS"/>
              </w:rPr>
            </w:pPr>
            <w:proofErr w:type="spellStart"/>
            <w:r w:rsidRPr="000E49F6">
              <w:rPr>
                <w:sz w:val="20"/>
                <w:szCs w:val="20"/>
                <w:lang w:val="sr-Latn-RS" w:eastAsia="sr-Latn-RS"/>
              </w:rPr>
              <w:t>Некласификовани</w:t>
            </w:r>
            <w:proofErr w:type="spellEnd"/>
            <w:r w:rsidRPr="000E49F6">
              <w:rPr>
                <w:sz w:val="20"/>
                <w:szCs w:val="20"/>
                <w:lang w:val="sr-Latn-RS" w:eastAsia="sr-Latn-RS"/>
              </w:rPr>
              <w:t xml:space="preserve"> </w:t>
            </w:r>
            <w:proofErr w:type="spellStart"/>
            <w:r w:rsidRPr="000E49F6">
              <w:rPr>
                <w:sz w:val="20"/>
                <w:szCs w:val="20"/>
                <w:lang w:val="sr-Latn-RS" w:eastAsia="sr-Latn-RS"/>
              </w:rPr>
              <w:t>расходи</w:t>
            </w:r>
            <w:proofErr w:type="spellEnd"/>
            <w:r w:rsidRPr="000E49F6">
              <w:rPr>
                <w:sz w:val="20"/>
                <w:szCs w:val="20"/>
                <w:lang w:val="sr-Latn-RS" w:eastAsia="sr-Latn-RS"/>
              </w:rPr>
              <w:t xml:space="preserve"> - </w:t>
            </w:r>
            <w:proofErr w:type="spellStart"/>
            <w:r w:rsidRPr="000E49F6">
              <w:rPr>
                <w:sz w:val="20"/>
                <w:szCs w:val="20"/>
                <w:lang w:val="sr-Latn-RS" w:eastAsia="sr-Latn-RS"/>
              </w:rPr>
              <w:t>буџетска</w:t>
            </w:r>
            <w:proofErr w:type="spellEnd"/>
            <w:r w:rsidRPr="000E49F6">
              <w:rPr>
                <w:sz w:val="20"/>
                <w:szCs w:val="20"/>
                <w:lang w:val="sr-Latn-RS" w:eastAsia="sr-Latn-RS"/>
              </w:rPr>
              <w:t xml:space="preserve"> </w:t>
            </w:r>
            <w:proofErr w:type="spellStart"/>
            <w:r w:rsidRPr="000E49F6">
              <w:rPr>
                <w:sz w:val="20"/>
                <w:szCs w:val="20"/>
                <w:lang w:val="sr-Latn-RS" w:eastAsia="sr-Latn-RS"/>
              </w:rPr>
              <w:t>резерва</w:t>
            </w:r>
            <w:proofErr w:type="spellEnd"/>
          </w:p>
        </w:tc>
        <w:tc>
          <w:tcPr>
            <w:tcW w:w="1418" w:type="dxa"/>
            <w:tcBorders>
              <w:top w:val="nil"/>
              <w:left w:val="nil"/>
              <w:bottom w:val="nil"/>
              <w:right w:val="single" w:sz="4" w:space="0" w:color="auto"/>
            </w:tcBorders>
            <w:shd w:val="clear" w:color="auto" w:fill="auto"/>
            <w:vAlign w:val="center"/>
            <w:hideMark/>
          </w:tcPr>
          <w:p w14:paraId="519DC53C"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34.870,00</w:t>
            </w:r>
          </w:p>
        </w:tc>
        <w:tc>
          <w:tcPr>
            <w:tcW w:w="1598" w:type="dxa"/>
            <w:tcBorders>
              <w:top w:val="nil"/>
              <w:left w:val="nil"/>
              <w:bottom w:val="nil"/>
              <w:right w:val="single" w:sz="4" w:space="0" w:color="auto"/>
            </w:tcBorders>
            <w:shd w:val="clear" w:color="auto" w:fill="auto"/>
            <w:vAlign w:val="center"/>
            <w:hideMark/>
          </w:tcPr>
          <w:p w14:paraId="2CA45F7F"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83,43</w:t>
            </w:r>
          </w:p>
        </w:tc>
        <w:tc>
          <w:tcPr>
            <w:tcW w:w="1451" w:type="dxa"/>
            <w:tcBorders>
              <w:top w:val="nil"/>
              <w:left w:val="nil"/>
              <w:bottom w:val="single" w:sz="4" w:space="0" w:color="auto"/>
              <w:right w:val="nil"/>
            </w:tcBorders>
            <w:shd w:val="clear" w:color="auto" w:fill="auto"/>
            <w:vAlign w:val="center"/>
            <w:hideMark/>
          </w:tcPr>
          <w:p w14:paraId="38F056AA"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83,43</w:t>
            </w:r>
          </w:p>
        </w:tc>
        <w:tc>
          <w:tcPr>
            <w:tcW w:w="1352" w:type="dxa"/>
            <w:tcBorders>
              <w:top w:val="nil"/>
              <w:left w:val="single" w:sz="4" w:space="0" w:color="auto"/>
              <w:bottom w:val="single" w:sz="4" w:space="0" w:color="auto"/>
              <w:right w:val="double" w:sz="6" w:space="0" w:color="auto"/>
            </w:tcBorders>
            <w:shd w:val="clear" w:color="auto" w:fill="auto"/>
            <w:vAlign w:val="center"/>
            <w:hideMark/>
          </w:tcPr>
          <w:p w14:paraId="77399531" w14:textId="77777777" w:rsidR="000E49F6" w:rsidRPr="000E49F6" w:rsidRDefault="000E49F6" w:rsidP="000E49F6">
            <w:pPr>
              <w:ind w:left="0" w:right="0" w:firstLine="0"/>
              <w:jc w:val="right"/>
              <w:rPr>
                <w:sz w:val="20"/>
                <w:szCs w:val="20"/>
                <w:lang w:val="sr-Latn-RS" w:eastAsia="sr-Latn-RS"/>
              </w:rPr>
            </w:pPr>
            <w:r w:rsidRPr="000E49F6">
              <w:rPr>
                <w:sz w:val="20"/>
                <w:szCs w:val="20"/>
                <w:lang w:val="sr-Latn-RS" w:eastAsia="sr-Latn-RS"/>
              </w:rPr>
              <w:t>0,00</w:t>
            </w:r>
          </w:p>
        </w:tc>
      </w:tr>
      <w:tr w:rsidR="000E49F6" w:rsidRPr="000E49F6" w14:paraId="77DCE78F" w14:textId="77777777" w:rsidTr="00871384">
        <w:trPr>
          <w:cantSplit/>
          <w:trHeight w:val="325"/>
        </w:trPr>
        <w:tc>
          <w:tcPr>
            <w:tcW w:w="579" w:type="dxa"/>
            <w:tcBorders>
              <w:top w:val="nil"/>
              <w:left w:val="double" w:sz="6" w:space="0" w:color="auto"/>
              <w:bottom w:val="double" w:sz="6" w:space="0" w:color="auto"/>
              <w:right w:val="single" w:sz="4" w:space="0" w:color="auto"/>
            </w:tcBorders>
            <w:shd w:val="clear" w:color="auto" w:fill="auto"/>
            <w:vAlign w:val="center"/>
            <w:hideMark/>
          </w:tcPr>
          <w:p w14:paraId="3DE0ADE8" w14:textId="77777777" w:rsidR="000E49F6" w:rsidRPr="000E49F6" w:rsidRDefault="000E49F6" w:rsidP="000E49F6">
            <w:pPr>
              <w:ind w:left="0" w:right="0" w:firstLine="0"/>
              <w:jc w:val="center"/>
              <w:rPr>
                <w:b/>
                <w:bCs/>
                <w:sz w:val="18"/>
                <w:szCs w:val="18"/>
                <w:lang w:val="sr-Latn-RS" w:eastAsia="sr-Latn-RS"/>
              </w:rPr>
            </w:pPr>
            <w:r w:rsidRPr="000E49F6">
              <w:rPr>
                <w:b/>
                <w:bCs/>
                <w:sz w:val="18"/>
                <w:szCs w:val="18"/>
                <w:lang w:val="sr-Latn-RS" w:eastAsia="sr-Latn-RS"/>
              </w:rPr>
              <w:t> </w:t>
            </w:r>
          </w:p>
        </w:tc>
        <w:tc>
          <w:tcPr>
            <w:tcW w:w="3532" w:type="dxa"/>
            <w:tcBorders>
              <w:top w:val="single" w:sz="4" w:space="0" w:color="auto"/>
              <w:left w:val="nil"/>
              <w:bottom w:val="double" w:sz="6" w:space="0" w:color="auto"/>
              <w:right w:val="single" w:sz="4" w:space="0" w:color="auto"/>
            </w:tcBorders>
            <w:shd w:val="clear" w:color="auto" w:fill="auto"/>
            <w:vAlign w:val="center"/>
            <w:hideMark/>
          </w:tcPr>
          <w:p w14:paraId="6F7C6523" w14:textId="77777777" w:rsidR="000E49F6" w:rsidRPr="000E49F6" w:rsidRDefault="000E49F6" w:rsidP="000E49F6">
            <w:pPr>
              <w:ind w:left="0" w:right="0" w:firstLine="0"/>
              <w:jc w:val="center"/>
              <w:rPr>
                <w:b/>
                <w:bCs/>
                <w:sz w:val="20"/>
                <w:szCs w:val="20"/>
                <w:lang w:val="sr-Latn-RS" w:eastAsia="sr-Latn-RS"/>
              </w:rPr>
            </w:pPr>
            <w:r w:rsidRPr="000E49F6">
              <w:rPr>
                <w:b/>
                <w:bCs/>
                <w:sz w:val="20"/>
                <w:szCs w:val="20"/>
                <w:lang w:val="sr-Latn-RS" w:eastAsia="sr-Latn-RS"/>
              </w:rPr>
              <w:t>УКУПНО:</w:t>
            </w:r>
          </w:p>
        </w:tc>
        <w:tc>
          <w:tcPr>
            <w:tcW w:w="1418" w:type="dxa"/>
            <w:tcBorders>
              <w:top w:val="single" w:sz="4" w:space="0" w:color="auto"/>
              <w:left w:val="nil"/>
              <w:bottom w:val="double" w:sz="6" w:space="0" w:color="auto"/>
              <w:right w:val="single" w:sz="4" w:space="0" w:color="auto"/>
            </w:tcBorders>
            <w:shd w:val="clear" w:color="auto" w:fill="auto"/>
            <w:vAlign w:val="center"/>
            <w:hideMark/>
          </w:tcPr>
          <w:p w14:paraId="1240D0FA" w14:textId="77777777" w:rsidR="000E49F6" w:rsidRPr="000E49F6" w:rsidRDefault="000E49F6" w:rsidP="000E49F6">
            <w:pPr>
              <w:ind w:left="0" w:right="0" w:firstLine="0"/>
              <w:jc w:val="right"/>
              <w:rPr>
                <w:b/>
                <w:bCs/>
                <w:sz w:val="20"/>
                <w:szCs w:val="20"/>
                <w:lang w:val="sr-Latn-RS" w:eastAsia="sr-Latn-RS"/>
              </w:rPr>
            </w:pPr>
            <w:r w:rsidRPr="000E49F6">
              <w:rPr>
                <w:b/>
                <w:bCs/>
                <w:sz w:val="20"/>
                <w:szCs w:val="20"/>
                <w:lang w:val="sr-Latn-RS" w:eastAsia="sr-Latn-RS"/>
              </w:rPr>
              <w:t>17.893.300,00</w:t>
            </w:r>
          </w:p>
        </w:tc>
        <w:tc>
          <w:tcPr>
            <w:tcW w:w="1598" w:type="dxa"/>
            <w:tcBorders>
              <w:top w:val="single" w:sz="4" w:space="0" w:color="auto"/>
              <w:left w:val="nil"/>
              <w:bottom w:val="double" w:sz="6" w:space="0" w:color="auto"/>
              <w:right w:val="single" w:sz="4" w:space="0" w:color="auto"/>
            </w:tcBorders>
            <w:shd w:val="clear" w:color="auto" w:fill="auto"/>
            <w:vAlign w:val="center"/>
            <w:hideMark/>
          </w:tcPr>
          <w:p w14:paraId="5B9DB19A" w14:textId="77777777" w:rsidR="000E49F6" w:rsidRPr="000E49F6" w:rsidRDefault="000E49F6" w:rsidP="000E49F6">
            <w:pPr>
              <w:ind w:left="0" w:right="0" w:firstLine="0"/>
              <w:jc w:val="right"/>
              <w:rPr>
                <w:b/>
                <w:bCs/>
                <w:sz w:val="20"/>
                <w:szCs w:val="20"/>
                <w:lang w:val="sr-Latn-RS" w:eastAsia="sr-Latn-RS"/>
              </w:rPr>
            </w:pPr>
            <w:r w:rsidRPr="000E49F6">
              <w:rPr>
                <w:b/>
                <w:bCs/>
                <w:sz w:val="20"/>
                <w:szCs w:val="20"/>
                <w:lang w:val="sr-Latn-RS" w:eastAsia="sr-Latn-RS"/>
              </w:rPr>
              <w:t>17.893.300,00</w:t>
            </w:r>
          </w:p>
        </w:tc>
        <w:tc>
          <w:tcPr>
            <w:tcW w:w="1451" w:type="dxa"/>
            <w:tcBorders>
              <w:top w:val="nil"/>
              <w:left w:val="nil"/>
              <w:bottom w:val="double" w:sz="6" w:space="0" w:color="auto"/>
              <w:right w:val="nil"/>
            </w:tcBorders>
            <w:shd w:val="clear" w:color="auto" w:fill="auto"/>
            <w:vAlign w:val="center"/>
            <w:hideMark/>
          </w:tcPr>
          <w:p w14:paraId="4BB35648" w14:textId="77777777" w:rsidR="000E49F6" w:rsidRPr="000E49F6" w:rsidRDefault="000E49F6" w:rsidP="000E49F6">
            <w:pPr>
              <w:ind w:left="0" w:right="0" w:firstLine="0"/>
              <w:jc w:val="right"/>
              <w:rPr>
                <w:b/>
                <w:bCs/>
                <w:sz w:val="20"/>
                <w:szCs w:val="20"/>
                <w:lang w:val="sr-Latn-RS" w:eastAsia="sr-Latn-RS"/>
              </w:rPr>
            </w:pPr>
            <w:r w:rsidRPr="000E49F6">
              <w:rPr>
                <w:b/>
                <w:bCs/>
                <w:sz w:val="20"/>
                <w:szCs w:val="20"/>
                <w:lang w:val="sr-Latn-RS" w:eastAsia="sr-Latn-RS"/>
              </w:rPr>
              <w:t>17.894.200,00</w:t>
            </w:r>
          </w:p>
        </w:tc>
        <w:tc>
          <w:tcPr>
            <w:tcW w:w="1352" w:type="dxa"/>
            <w:tcBorders>
              <w:top w:val="nil"/>
              <w:left w:val="single" w:sz="4" w:space="0" w:color="auto"/>
              <w:bottom w:val="double" w:sz="6" w:space="0" w:color="auto"/>
              <w:right w:val="double" w:sz="6" w:space="0" w:color="auto"/>
            </w:tcBorders>
            <w:shd w:val="clear" w:color="auto" w:fill="auto"/>
            <w:vAlign w:val="center"/>
            <w:hideMark/>
          </w:tcPr>
          <w:p w14:paraId="3A01F33B" w14:textId="77777777" w:rsidR="000E49F6" w:rsidRPr="000E49F6" w:rsidRDefault="000E49F6" w:rsidP="000E49F6">
            <w:pPr>
              <w:ind w:left="0" w:right="0" w:firstLine="0"/>
              <w:jc w:val="right"/>
              <w:rPr>
                <w:b/>
                <w:bCs/>
                <w:sz w:val="20"/>
                <w:szCs w:val="20"/>
                <w:lang w:val="sr-Latn-RS" w:eastAsia="sr-Latn-RS"/>
              </w:rPr>
            </w:pPr>
            <w:r w:rsidRPr="000E49F6">
              <w:rPr>
                <w:b/>
                <w:bCs/>
                <w:sz w:val="20"/>
                <w:szCs w:val="20"/>
                <w:lang w:val="sr-Latn-RS" w:eastAsia="sr-Latn-RS"/>
              </w:rPr>
              <w:t>17.017.797,70</w:t>
            </w:r>
          </w:p>
        </w:tc>
      </w:tr>
    </w:tbl>
    <w:p w14:paraId="70AC63F0" w14:textId="77777777" w:rsidR="00EB0600" w:rsidRDefault="00EB0600" w:rsidP="00881588">
      <w:pPr>
        <w:ind w:left="0" w:firstLine="0"/>
      </w:pPr>
      <w:bookmarkStart w:id="87" w:name="_Toc50641212"/>
      <w:bookmarkStart w:id="88" w:name="_Toc530745895"/>
    </w:p>
    <w:p w14:paraId="2082EC4B" w14:textId="77777777" w:rsidR="00DB5D10" w:rsidRDefault="00DB5D10" w:rsidP="00EB0600">
      <w:pPr>
        <w:ind w:left="0" w:firstLine="709"/>
      </w:pPr>
      <w:r w:rsidRPr="00DB5D10">
        <w:t>Извршење укупних буџетских расхода и изд</w:t>
      </w:r>
      <w:r w:rsidR="00D75BF5">
        <w:t>атака у периоду 01.01-31.12</w:t>
      </w:r>
      <w:r w:rsidRPr="00DB5D10">
        <w:t xml:space="preserve">.2020. године износи </w:t>
      </w:r>
      <w:r w:rsidR="00D75BF5">
        <w:rPr>
          <w:lang w:val="sr-Latn-RS"/>
        </w:rPr>
        <w:t>17.017.797,70</w:t>
      </w:r>
      <w:r w:rsidRPr="00DB5D10">
        <w:t xml:space="preserve"> КМ, што је </w:t>
      </w:r>
      <w:r w:rsidR="00D75BF5">
        <w:rPr>
          <w:lang w:val="sr-Latn-RS"/>
        </w:rPr>
        <w:t>9</w:t>
      </w:r>
      <w:r w:rsidR="0025026D">
        <w:rPr>
          <w:lang w:val="sr-Latn-RS"/>
        </w:rPr>
        <w:t>5,10</w:t>
      </w:r>
      <w:r w:rsidRPr="00DB5D10">
        <w:t>% од буџетом планираних средстава за 2020. годину,</w:t>
      </w:r>
      <w:r w:rsidR="0025026D">
        <w:rPr>
          <w:lang w:val="sr-Latn-RS"/>
        </w:rPr>
        <w:t xml:space="preserve"> </w:t>
      </w:r>
      <w:r w:rsidR="0025026D">
        <w:rPr>
          <w:lang w:val="sr-Cyrl-RS"/>
        </w:rPr>
        <w:t>и</w:t>
      </w:r>
      <w:r w:rsidR="0025026D">
        <w:t xml:space="preserve"> од</w:t>
      </w:r>
      <w:r w:rsidRPr="00DB5D10">
        <w:t xml:space="preserve"> средстава одобрених оперативним финансиј</w:t>
      </w:r>
      <w:r>
        <w:t>ским планом.</w:t>
      </w:r>
      <w:bookmarkEnd w:id="87"/>
    </w:p>
    <w:bookmarkEnd w:id="88"/>
    <w:p w14:paraId="59AFC7B2" w14:textId="77777777" w:rsidR="00522DF9" w:rsidRDefault="00522DF9" w:rsidP="00ED4F84">
      <w:pPr>
        <w:ind w:left="0" w:firstLine="0"/>
      </w:pPr>
    </w:p>
    <w:p w14:paraId="478CD852" w14:textId="77777777" w:rsidR="00901BE1" w:rsidRPr="00901BE1" w:rsidRDefault="00901BE1" w:rsidP="00901BE1">
      <w:pPr>
        <w:pStyle w:val="Podnaslovi1"/>
        <w:numPr>
          <w:ilvl w:val="2"/>
          <w:numId w:val="16"/>
        </w:numPr>
        <w:jc w:val="left"/>
        <w:rPr>
          <w:sz w:val="24"/>
          <w:szCs w:val="24"/>
          <w:lang w:val="sr-Cyrl-RS"/>
        </w:rPr>
      </w:pPr>
      <w:r w:rsidRPr="00901BE1">
        <w:rPr>
          <w:sz w:val="24"/>
          <w:szCs w:val="24"/>
          <w:lang w:val="sr-Cyrl-RS"/>
        </w:rPr>
        <w:t>ФУНКЦИОНАЛНА КЛАСИФИКАЦИЈА</w:t>
      </w:r>
      <w:r>
        <w:rPr>
          <w:sz w:val="24"/>
          <w:szCs w:val="24"/>
          <w:lang w:val="sr-Cyrl-RS"/>
        </w:rPr>
        <w:t xml:space="preserve"> БУЏЕТСКИХ ИЗДАТАКА И НЕТО РАСХОДА ЗА НЕФИНАНСИЈСКУ ИМОВИНУ ЗА ПЕРИОД       01.01-31.12.2020. ГОДИНЕ</w:t>
      </w:r>
    </w:p>
    <w:p w14:paraId="0153A7C5" w14:textId="77777777" w:rsidR="00901BE1" w:rsidRDefault="00901BE1" w:rsidP="00ED4F84">
      <w:pPr>
        <w:ind w:left="0" w:firstLine="0"/>
      </w:pPr>
    </w:p>
    <w:p w14:paraId="0157EC37" w14:textId="77777777" w:rsidR="00901BE1" w:rsidRDefault="00901BE1" w:rsidP="00901BE1">
      <w:pPr>
        <w:ind w:left="0" w:firstLine="720"/>
        <w:rPr>
          <w:lang w:val="sr-Cyrl-RS"/>
        </w:rPr>
      </w:pPr>
      <w:r>
        <w:rPr>
          <w:lang w:val="sr-Cyrl-RS"/>
        </w:rPr>
        <w:t xml:space="preserve">Функционална класификација </w:t>
      </w:r>
      <w:proofErr w:type="spellStart"/>
      <w:r>
        <w:rPr>
          <w:lang w:val="sr-Cyrl-RS"/>
        </w:rPr>
        <w:t>подразумијева</w:t>
      </w:r>
      <w:proofErr w:type="spellEnd"/>
      <w:r>
        <w:rPr>
          <w:lang w:val="sr-Cyrl-RS"/>
        </w:rPr>
        <w:t xml:space="preserve"> разврставање јавних расхода и издатака према њиховој сврси. Усаглашена је са класификацијом владиних функција објављеном од </w:t>
      </w:r>
      <w:r>
        <w:rPr>
          <w:lang w:val="sr-Cyrl-RS"/>
        </w:rPr>
        <w:lastRenderedPageBreak/>
        <w:t xml:space="preserve">стране </w:t>
      </w:r>
      <w:proofErr w:type="spellStart"/>
      <w:r>
        <w:rPr>
          <w:lang w:val="sr-Cyrl-RS"/>
        </w:rPr>
        <w:t>Одјељења</w:t>
      </w:r>
      <w:proofErr w:type="spellEnd"/>
      <w:r>
        <w:rPr>
          <w:lang w:val="sr-Cyrl-RS"/>
        </w:rPr>
        <w:t xml:space="preserve"> за статистику Уједињених нација и позната под скраћеницом </w:t>
      </w:r>
      <w:r>
        <w:rPr>
          <w:lang w:val="sr-Latn-RS"/>
        </w:rPr>
        <w:t>COFOG (</w:t>
      </w:r>
      <w:proofErr w:type="spellStart"/>
      <w:r>
        <w:rPr>
          <w:lang w:val="sr-Latn-RS"/>
        </w:rPr>
        <w:t>Classification</w:t>
      </w:r>
      <w:proofErr w:type="spellEnd"/>
      <w:r>
        <w:rPr>
          <w:lang w:val="sr-Latn-RS"/>
        </w:rPr>
        <w:t xml:space="preserve"> </w:t>
      </w:r>
      <w:proofErr w:type="spellStart"/>
      <w:r>
        <w:rPr>
          <w:lang w:val="sr-Latn-RS"/>
        </w:rPr>
        <w:t>of</w:t>
      </w:r>
      <w:proofErr w:type="spellEnd"/>
      <w:r>
        <w:rPr>
          <w:lang w:val="sr-Latn-RS"/>
        </w:rPr>
        <w:t xml:space="preserve"> </w:t>
      </w:r>
      <w:proofErr w:type="spellStart"/>
      <w:r>
        <w:rPr>
          <w:lang w:val="sr-Latn-RS"/>
        </w:rPr>
        <w:t>the</w:t>
      </w:r>
      <w:proofErr w:type="spellEnd"/>
      <w:r>
        <w:rPr>
          <w:lang w:val="sr-Latn-RS"/>
        </w:rPr>
        <w:t xml:space="preserve"> </w:t>
      </w:r>
      <w:proofErr w:type="spellStart"/>
      <w:r>
        <w:rPr>
          <w:lang w:val="sr-Latn-RS"/>
        </w:rPr>
        <w:t>Functions</w:t>
      </w:r>
      <w:proofErr w:type="spellEnd"/>
      <w:r>
        <w:rPr>
          <w:lang w:val="sr-Latn-RS"/>
        </w:rPr>
        <w:t xml:space="preserve"> </w:t>
      </w:r>
      <w:proofErr w:type="spellStart"/>
      <w:r>
        <w:rPr>
          <w:lang w:val="sr-Latn-RS"/>
        </w:rPr>
        <w:t>of</w:t>
      </w:r>
      <w:proofErr w:type="spellEnd"/>
      <w:r>
        <w:rPr>
          <w:lang w:val="sr-Latn-RS"/>
        </w:rPr>
        <w:t xml:space="preserve"> </w:t>
      </w:r>
      <w:proofErr w:type="spellStart"/>
      <w:r>
        <w:rPr>
          <w:lang w:val="sr-Latn-RS"/>
        </w:rPr>
        <w:t>the</w:t>
      </w:r>
      <w:proofErr w:type="spellEnd"/>
      <w:r>
        <w:rPr>
          <w:lang w:val="sr-Latn-RS"/>
        </w:rPr>
        <w:t xml:space="preserve"> </w:t>
      </w:r>
      <w:proofErr w:type="spellStart"/>
      <w:r>
        <w:rPr>
          <w:lang w:val="sr-Latn-RS"/>
        </w:rPr>
        <w:t>Government</w:t>
      </w:r>
      <w:proofErr w:type="spellEnd"/>
      <w:r>
        <w:rPr>
          <w:lang w:val="sr-Latn-RS"/>
        </w:rPr>
        <w:t xml:space="preserve">). </w:t>
      </w:r>
      <w:r>
        <w:rPr>
          <w:lang w:val="sr-Cyrl-RS"/>
        </w:rPr>
        <w:t xml:space="preserve">Буџетски корисници су према функционалној класификацији обавезни да класификују расходе (класа 4 економске класификације без конта 47) и издатке и примитке за </w:t>
      </w:r>
      <w:proofErr w:type="spellStart"/>
      <w:r>
        <w:rPr>
          <w:lang w:val="sr-Cyrl-RS"/>
        </w:rPr>
        <w:t>нефинансијску</w:t>
      </w:r>
      <w:proofErr w:type="spellEnd"/>
      <w:r>
        <w:rPr>
          <w:lang w:val="sr-Cyrl-RS"/>
        </w:rPr>
        <w:t xml:space="preserve"> имовину (класа 5 и 8 економске класификације).</w:t>
      </w:r>
    </w:p>
    <w:p w14:paraId="250D9D93" w14:textId="77777777" w:rsidR="00901BE1" w:rsidRDefault="00901BE1" w:rsidP="00901BE1">
      <w:pPr>
        <w:ind w:left="0" w:firstLine="0"/>
        <w:rPr>
          <w:lang w:val="sr-Cyrl-RS"/>
        </w:rPr>
      </w:pPr>
      <w:r>
        <w:rPr>
          <w:lang w:val="sr-Cyrl-RS"/>
        </w:rPr>
        <w:tab/>
        <w:t xml:space="preserve">Функционална класификација састоји се од десет </w:t>
      </w:r>
      <w:proofErr w:type="spellStart"/>
      <w:r>
        <w:rPr>
          <w:lang w:val="sr-Cyrl-RS"/>
        </w:rPr>
        <w:t>одјељака</w:t>
      </w:r>
      <w:proofErr w:type="spellEnd"/>
      <w:r>
        <w:rPr>
          <w:lang w:val="sr-Cyrl-RS"/>
        </w:rPr>
        <w:t xml:space="preserve"> (синтетика), који се дање разврставају на групе (</w:t>
      </w:r>
      <w:proofErr w:type="spellStart"/>
      <w:r>
        <w:rPr>
          <w:lang w:val="sr-Cyrl-RS"/>
        </w:rPr>
        <w:t>подсинтетика</w:t>
      </w:r>
      <w:proofErr w:type="spellEnd"/>
      <w:r>
        <w:rPr>
          <w:lang w:val="sr-Cyrl-RS"/>
        </w:rPr>
        <w:t xml:space="preserve">) и класе (аналитика). </w:t>
      </w:r>
      <w:proofErr w:type="spellStart"/>
      <w:r>
        <w:rPr>
          <w:lang w:val="sr-Cyrl-RS"/>
        </w:rPr>
        <w:t>Одјељци</w:t>
      </w:r>
      <w:proofErr w:type="spellEnd"/>
      <w:r>
        <w:rPr>
          <w:lang w:val="sr-Cyrl-RS"/>
        </w:rPr>
        <w:t xml:space="preserve"> се означавају са </w:t>
      </w:r>
      <w:proofErr w:type="spellStart"/>
      <w:r>
        <w:rPr>
          <w:lang w:val="sr-Cyrl-RS"/>
        </w:rPr>
        <w:t>двије</w:t>
      </w:r>
      <w:proofErr w:type="spellEnd"/>
      <w:r>
        <w:rPr>
          <w:lang w:val="sr-Cyrl-RS"/>
        </w:rPr>
        <w:t xml:space="preserve"> цифре и представљају опште циљеве јавне управе, док групе и класе пружају информације о начину остваривања тих опсежних циљева.</w:t>
      </w:r>
    </w:p>
    <w:p w14:paraId="1662DA18" w14:textId="77777777" w:rsidR="00901BE1" w:rsidRDefault="00901BE1" w:rsidP="00901BE1">
      <w:pPr>
        <w:ind w:left="0" w:firstLine="0"/>
        <w:rPr>
          <w:lang w:val="sr-Cyrl-RS"/>
        </w:rPr>
      </w:pPr>
      <w:r>
        <w:rPr>
          <w:lang w:val="sr-Cyrl-RS"/>
        </w:rPr>
        <w:tab/>
        <w:t xml:space="preserve">Преглед остварених буџетских расхода и нето издатака за </w:t>
      </w:r>
      <w:proofErr w:type="spellStart"/>
      <w:r>
        <w:rPr>
          <w:lang w:val="sr-Cyrl-RS"/>
        </w:rPr>
        <w:t>нефинансијску</w:t>
      </w:r>
      <w:proofErr w:type="spellEnd"/>
      <w:r>
        <w:rPr>
          <w:lang w:val="sr-Cyrl-RS"/>
        </w:rPr>
        <w:t xml:space="preserve"> имовину за период 01.01-31.12.2020. године показује да је у посматраном периоду највећи износ буџетских средстава издвојен за опште јавне услуге (4.787.903,21 КМ), затим стамбене и заједничке послове (3.503.605,59 КМ) и социјалну заштиту (</w:t>
      </w:r>
      <w:r>
        <w:rPr>
          <w:lang w:val="sr-Latn-RS"/>
        </w:rPr>
        <w:t>3.</w:t>
      </w:r>
      <w:r>
        <w:rPr>
          <w:lang w:val="sr-Cyrl-RS"/>
        </w:rPr>
        <w:t>503</w:t>
      </w:r>
      <w:r>
        <w:rPr>
          <w:lang w:val="sr-Latn-RS"/>
        </w:rPr>
        <w:t>.</w:t>
      </w:r>
      <w:r>
        <w:rPr>
          <w:lang w:val="sr-Cyrl-RS"/>
        </w:rPr>
        <w:t>282,40 КМ).</w:t>
      </w:r>
    </w:p>
    <w:p w14:paraId="6955930F" w14:textId="77777777" w:rsidR="00901BE1" w:rsidRDefault="00901BE1" w:rsidP="00ED4F84">
      <w:pPr>
        <w:ind w:left="0" w:firstLine="0"/>
      </w:pPr>
    </w:p>
    <w:p w14:paraId="12F7A1D2" w14:textId="77777777" w:rsidR="004C4B95" w:rsidRPr="004B1ED0" w:rsidRDefault="004C4B95" w:rsidP="00E6589A">
      <w:pPr>
        <w:pStyle w:val="Naslov1"/>
        <w:spacing w:before="120"/>
        <w:ind w:firstLine="1134"/>
        <w:jc w:val="left"/>
      </w:pPr>
      <w:bookmarkStart w:id="89" w:name="_Toc50641213"/>
      <w:r w:rsidRPr="004B1ED0">
        <w:t xml:space="preserve">3.2. </w:t>
      </w:r>
      <w:r w:rsidR="006C4206" w:rsidRPr="004B1ED0">
        <w:t>ИЗВРШЕЊЕ БУЏЕТА НА ОСТАЛИМ ФОНДОВИМА</w:t>
      </w:r>
      <w:bookmarkEnd w:id="89"/>
    </w:p>
    <w:p w14:paraId="4107BEB8" w14:textId="77777777" w:rsidR="004C4B95" w:rsidRPr="004B1ED0" w:rsidRDefault="00901BE1" w:rsidP="00E6589A">
      <w:pPr>
        <w:pStyle w:val="Naslov1"/>
        <w:ind w:firstLine="1134"/>
        <w:jc w:val="left"/>
      </w:pPr>
      <w:bookmarkStart w:id="90" w:name="_Toc50641214"/>
      <w:r>
        <w:rPr>
          <w:lang w:val="sr-Cyrl-RS"/>
        </w:rPr>
        <w:t xml:space="preserve">       </w:t>
      </w:r>
      <w:r w:rsidR="004C4B95" w:rsidRPr="004B1ED0">
        <w:t>(ФОНД 03)</w:t>
      </w:r>
      <w:bookmarkEnd w:id="90"/>
    </w:p>
    <w:p w14:paraId="612C72FB" w14:textId="77777777" w:rsidR="004C4B95" w:rsidRDefault="004C4B95" w:rsidP="00ED4F84">
      <w:pPr>
        <w:ind w:left="0" w:firstLine="0"/>
      </w:pPr>
    </w:p>
    <w:p w14:paraId="0143F4BC" w14:textId="77777777" w:rsidR="00257CAC" w:rsidRDefault="004C4B95" w:rsidP="00E6589A">
      <w:pPr>
        <w:ind w:left="0" w:firstLine="0"/>
      </w:pPr>
      <w:r>
        <w:tab/>
        <w:t>У оквиру фонда</w:t>
      </w:r>
      <w:r w:rsidR="00EC4C40">
        <w:t xml:space="preserve"> 03-Фонд грантова, у складу са и</w:t>
      </w:r>
      <w:r>
        <w:t>нструкцијом Министарства финансија</w:t>
      </w:r>
      <w:r w:rsidR="004C03AB">
        <w:t xml:space="preserve"> Републике Српске, </w:t>
      </w:r>
      <w:proofErr w:type="spellStart"/>
      <w:r w:rsidR="004C03AB">
        <w:t>евидентиранa</w:t>
      </w:r>
      <w:proofErr w:type="spellEnd"/>
      <w:r w:rsidR="004C03AB">
        <w:t xml:space="preserve"> су донаторска средст</w:t>
      </w:r>
      <w:r w:rsidR="004C03AB" w:rsidRPr="004C03AB">
        <w:t xml:space="preserve">ва Владе Републике Србије за пројекат </w:t>
      </w:r>
      <w:proofErr w:type="spellStart"/>
      <w:r w:rsidR="00C07836">
        <w:t>реконструкцијe</w:t>
      </w:r>
      <w:proofErr w:type="spellEnd"/>
      <w:r w:rsidR="00C07836">
        <w:t xml:space="preserve"> мокрих чворова у основној школи и санацију централног </w:t>
      </w:r>
      <w:proofErr w:type="spellStart"/>
      <w:r w:rsidR="00C07836">
        <w:t>гријања</w:t>
      </w:r>
      <w:proofErr w:type="spellEnd"/>
      <w:r w:rsidR="00C07836">
        <w:t xml:space="preserve"> у ОШ „Бранко Ћопић“, ЈУ „Гимназија“ и ЈУ ЦСШ „Иво Андрић“ Прњавор</w:t>
      </w:r>
      <w:r w:rsidR="004C03AB" w:rsidRPr="004C03AB">
        <w:t xml:space="preserve">. </w:t>
      </w:r>
      <w:r w:rsidR="003C438C">
        <w:t xml:space="preserve">Влада РС прихватила је донаторска средства Владе Републике Србије у укупном износу од </w:t>
      </w:r>
      <w:r w:rsidR="00C07836">
        <w:t>9.3</w:t>
      </w:r>
      <w:r w:rsidR="003C438C">
        <w:t xml:space="preserve">00.000,00 ЕУР-а („Службени гласник Републике Српске“, број </w:t>
      </w:r>
      <w:r w:rsidR="00C07836">
        <w:t>48/19, 59/19, 64/19, 68/19, 72/19, 81/19, 92/19, 101/19 и 107/19</w:t>
      </w:r>
      <w:r w:rsidR="003C438C">
        <w:t xml:space="preserve">), </w:t>
      </w:r>
      <w:r w:rsidR="00600384">
        <w:t xml:space="preserve">која су </w:t>
      </w:r>
      <w:proofErr w:type="spellStart"/>
      <w:r w:rsidR="00600384">
        <w:t>намијењена</w:t>
      </w:r>
      <w:proofErr w:type="spellEnd"/>
      <w:r w:rsidR="00600384">
        <w:t xml:space="preserve"> за реализацију капиталних пројеката у</w:t>
      </w:r>
      <w:r w:rsidR="00257CAC">
        <w:t xml:space="preserve"> јединицама локалне самоуправе, </w:t>
      </w:r>
      <w:r w:rsidR="003C438C">
        <w:t xml:space="preserve">од чега </w:t>
      </w:r>
      <w:r w:rsidR="00DB659D">
        <w:t>одобрена средства за финансирање пројекта</w:t>
      </w:r>
      <w:r w:rsidR="001B25CF">
        <w:rPr>
          <w:lang w:val="sr-Cyrl-RS"/>
        </w:rPr>
        <w:t xml:space="preserve"> </w:t>
      </w:r>
      <w:r w:rsidR="00257CAC">
        <w:t xml:space="preserve">реконструкције мокрих чворова у основној школи и санацију централног </w:t>
      </w:r>
      <w:proofErr w:type="spellStart"/>
      <w:r w:rsidR="00257CAC">
        <w:t>гријања</w:t>
      </w:r>
      <w:proofErr w:type="spellEnd"/>
      <w:r w:rsidR="00257CAC">
        <w:t xml:space="preserve"> у ОШ „Бранко Ћопић“, ЈУ „Гимназија“ и ЈУ ЦСШ „Иво Андрић“ Прњавор </w:t>
      </w:r>
      <w:r w:rsidR="00DB659D">
        <w:t xml:space="preserve">износе </w:t>
      </w:r>
      <w:r w:rsidR="00257CAC">
        <w:t>75.000</w:t>
      </w:r>
      <w:r w:rsidR="00DB659D">
        <w:t xml:space="preserve">,00 </w:t>
      </w:r>
      <w:r w:rsidR="00257CAC">
        <w:t>ЕУР-а.</w:t>
      </w:r>
    </w:p>
    <w:p w14:paraId="271072D7" w14:textId="77777777" w:rsidR="00257CAC" w:rsidRDefault="00EC4C40" w:rsidP="00257CAC">
      <w:pPr>
        <w:ind w:left="0" w:firstLine="720"/>
        <w:rPr>
          <w:lang w:val="sr-Cyrl-BA"/>
        </w:rPr>
      </w:pPr>
      <w:r w:rsidRPr="00EC4C40">
        <w:t xml:space="preserve">У </w:t>
      </w:r>
      <w:proofErr w:type="spellStart"/>
      <w:r w:rsidRPr="00EC4C40">
        <w:t>извјештајном</w:t>
      </w:r>
      <w:proofErr w:type="spellEnd"/>
      <w:r w:rsidRPr="00EC4C40">
        <w:t xml:space="preserve"> периоду сва одобрена средства су и реализована, одн. реализовано је 146.687,25 КМ. Реализована средства односе се на </w:t>
      </w:r>
      <w:r w:rsidR="00522DF9">
        <w:t xml:space="preserve">набавку и монтажу </w:t>
      </w:r>
      <w:proofErr w:type="spellStart"/>
      <w:r w:rsidR="00522DF9">
        <w:t>котловског</w:t>
      </w:r>
      <w:proofErr w:type="spellEnd"/>
      <w:r w:rsidR="00522DF9">
        <w:t xml:space="preserve"> постројења</w:t>
      </w:r>
      <w:r w:rsidRPr="00EC4C40">
        <w:t xml:space="preserve"> у ОШ „Бранко Ћопић“, ЈУ „Гимназија“ и ЈУ ЦСШ „Иво Андрић“ </w:t>
      </w:r>
      <w:r>
        <w:t>износ од 53.940,69 КМ и реконструкцију мокрих чворова у Основној школи „Никола Тесла“</w:t>
      </w:r>
      <w:r w:rsidR="00522DF9">
        <w:t xml:space="preserve"> у Прњавору и </w:t>
      </w:r>
      <w:r w:rsidR="00A6727B">
        <w:t>подручној је</w:t>
      </w:r>
      <w:r w:rsidR="00522DF9">
        <w:t>диници школе у Грабик Илови</w:t>
      </w:r>
      <w:r>
        <w:t xml:space="preserve"> износ од 92.746,56 КМ. </w:t>
      </w:r>
      <w:r w:rsidR="00257CAC" w:rsidRPr="00EC4C40">
        <w:t xml:space="preserve">Реализација пројекта вршила се на начин да је </w:t>
      </w:r>
      <w:r w:rsidR="00257CAC" w:rsidRPr="00EC4C40">
        <w:rPr>
          <w:lang w:val="sr-Cyrl-BA"/>
        </w:rPr>
        <w:t>општина</w:t>
      </w:r>
      <w:r w:rsidR="00257CAC" w:rsidRPr="00EC4C40">
        <w:t xml:space="preserve"> Прњавор проводила поступак јавних набавки и вршила уговарање радова са добављачима. Потписане и </w:t>
      </w:r>
      <w:proofErr w:type="spellStart"/>
      <w:r w:rsidR="00257CAC" w:rsidRPr="00EC4C40">
        <w:t>овјерене</w:t>
      </w:r>
      <w:proofErr w:type="spellEnd"/>
      <w:r w:rsidR="00257CAC" w:rsidRPr="00EC4C40">
        <w:t xml:space="preserve"> оригиналне документе – ситуације/рачуне општина Прњавор је достављала Министарству финансија, а Министарство финансија је из одобрених средстава за пројекат вршило плаћања директно добављачима. </w:t>
      </w:r>
      <w:r w:rsidR="00257CAC" w:rsidRPr="00EC4C40">
        <w:rPr>
          <w:lang w:val="sr-Cyrl-BA"/>
        </w:rPr>
        <w:t xml:space="preserve">Према инструкцији Министарства финансија књижење извршених улагања у главној књизи трезора општине вршено је на основу испостављених ситуација (фактура), </w:t>
      </w:r>
      <w:r w:rsidR="001C0531">
        <w:t>а након што Министарство достави доказ о извршеном плаћању</w:t>
      </w:r>
      <w:r w:rsidR="001C0531">
        <w:rPr>
          <w:lang w:val="sr-Cyrl-BA"/>
        </w:rPr>
        <w:t xml:space="preserve">. У </w:t>
      </w:r>
      <w:r w:rsidR="00257CAC" w:rsidRPr="00EC4C40">
        <w:rPr>
          <w:lang w:val="sr-Cyrl-BA"/>
        </w:rPr>
        <w:t xml:space="preserve">висини вриједности исказане на испостављеним фактурама </w:t>
      </w:r>
      <w:r w:rsidR="00500985">
        <w:rPr>
          <w:lang w:val="sr-Cyrl-BA"/>
        </w:rPr>
        <w:t xml:space="preserve">извршено је евидентирање извршених улагања </w:t>
      </w:r>
      <w:r w:rsidR="006457AB">
        <w:rPr>
          <w:lang w:val="sr-Cyrl-BA"/>
        </w:rPr>
        <w:t xml:space="preserve">на контима класе 0 – </w:t>
      </w:r>
      <w:proofErr w:type="spellStart"/>
      <w:r w:rsidR="006457AB">
        <w:rPr>
          <w:lang w:val="sr-Cyrl-BA"/>
        </w:rPr>
        <w:t>Нефинансијска</w:t>
      </w:r>
      <w:proofErr w:type="spellEnd"/>
      <w:r w:rsidR="006457AB">
        <w:rPr>
          <w:lang w:val="sr-Cyrl-BA"/>
        </w:rPr>
        <w:t xml:space="preserve"> имовина, те</w:t>
      </w:r>
      <w:r w:rsidR="001B25CF">
        <w:rPr>
          <w:lang w:val="sr-Cyrl-BA"/>
        </w:rPr>
        <w:t xml:space="preserve"> </w:t>
      </w:r>
      <w:r w:rsidR="006457AB">
        <w:rPr>
          <w:lang w:val="sr-Cyrl-BA"/>
        </w:rPr>
        <w:t>прихода</w:t>
      </w:r>
      <w:r w:rsidR="00257CAC" w:rsidRPr="00EC4C40">
        <w:rPr>
          <w:lang w:val="sr-Cyrl-BA"/>
        </w:rPr>
        <w:t xml:space="preserve"> по основу трансфера </w:t>
      </w:r>
      <w:r w:rsidR="001C0531">
        <w:t>Владе РС из донаторских средстава Владе Републике Србије</w:t>
      </w:r>
      <w:r w:rsidR="001B25CF">
        <w:rPr>
          <w:lang w:val="sr-Cyrl-RS"/>
        </w:rPr>
        <w:t xml:space="preserve"> </w:t>
      </w:r>
      <w:r w:rsidR="00257CAC" w:rsidRPr="00EC4C40">
        <w:rPr>
          <w:lang w:val="sr-Cyrl-BA"/>
        </w:rPr>
        <w:t xml:space="preserve">(конто 787200) и </w:t>
      </w:r>
      <w:r w:rsidR="006457AB">
        <w:rPr>
          <w:lang w:val="sr-Cyrl-BA"/>
        </w:rPr>
        <w:t>издатака</w:t>
      </w:r>
      <w:r w:rsidR="001B25CF">
        <w:rPr>
          <w:lang w:val="sr-Cyrl-BA"/>
        </w:rPr>
        <w:t xml:space="preserve"> </w:t>
      </w:r>
      <w:r w:rsidR="006457AB">
        <w:rPr>
          <w:lang w:val="sr-Cyrl-BA"/>
        </w:rPr>
        <w:t>за</w:t>
      </w:r>
      <w:r w:rsidR="00257CAC" w:rsidRPr="00EC4C40">
        <w:rPr>
          <w:lang w:val="sr-Cyrl-BA"/>
        </w:rPr>
        <w:t xml:space="preserve"> </w:t>
      </w:r>
      <w:proofErr w:type="spellStart"/>
      <w:r w:rsidR="00257CAC" w:rsidRPr="00EC4C40">
        <w:rPr>
          <w:lang w:val="sr-Cyrl-BA"/>
        </w:rPr>
        <w:t>нефинансијску</w:t>
      </w:r>
      <w:proofErr w:type="spellEnd"/>
      <w:r w:rsidR="00257CAC" w:rsidRPr="00EC4C40">
        <w:rPr>
          <w:lang w:val="sr-Cyrl-BA"/>
        </w:rPr>
        <w:t xml:space="preserve"> имовину у оквиру класе 5 (конто 511200). </w:t>
      </w:r>
    </w:p>
    <w:p w14:paraId="3D1271D5" w14:textId="77777777" w:rsidR="00A32AA2" w:rsidRDefault="00A32AA2" w:rsidP="00ED4F84">
      <w:pPr>
        <w:ind w:left="0" w:firstLine="0"/>
      </w:pPr>
    </w:p>
    <w:p w14:paraId="07A5C18D" w14:textId="77777777" w:rsidR="00AA7013" w:rsidRPr="004B1ED0" w:rsidRDefault="00AE2559" w:rsidP="008F4C12">
      <w:pPr>
        <w:pStyle w:val="Naslov1"/>
        <w:spacing w:before="120"/>
        <w:ind w:left="425"/>
        <w:jc w:val="left"/>
      </w:pPr>
      <w:bookmarkStart w:id="91" w:name="_Toc50641215"/>
      <w:r w:rsidRPr="004B1ED0">
        <w:t xml:space="preserve">3.3. </w:t>
      </w:r>
      <w:r w:rsidR="00AA7013" w:rsidRPr="004B1ED0">
        <w:t>РЕКАПИТУЛАЦИЈА ИЗВРШЕЊА БУЏЕТА ОПШТИНЕ</w:t>
      </w:r>
      <w:bookmarkEnd w:id="91"/>
    </w:p>
    <w:p w14:paraId="7CFEECD3" w14:textId="77777777" w:rsidR="0047690D" w:rsidRPr="004B1ED0" w:rsidRDefault="001B25CF" w:rsidP="00E6589A">
      <w:pPr>
        <w:pStyle w:val="Naslov1"/>
        <w:ind w:left="425"/>
        <w:jc w:val="left"/>
      </w:pPr>
      <w:bookmarkStart w:id="92" w:name="_Toc50641216"/>
      <w:r>
        <w:rPr>
          <w:lang w:val="sr-Cyrl-RS"/>
        </w:rPr>
        <w:t xml:space="preserve">       </w:t>
      </w:r>
      <w:r>
        <w:t>ПРЊАВОР ЗА ПЕРИОД 01.01-31.12</w:t>
      </w:r>
      <w:r w:rsidR="004B1ED0">
        <w:t>.2020</w:t>
      </w:r>
      <w:r w:rsidR="00AA7013" w:rsidRPr="004B1ED0">
        <w:t>. ГОДИНЕ</w:t>
      </w:r>
      <w:bookmarkEnd w:id="92"/>
    </w:p>
    <w:p w14:paraId="5AD05A1B" w14:textId="77777777" w:rsidR="0047690D" w:rsidRDefault="0047690D" w:rsidP="00ED4F84">
      <w:pPr>
        <w:ind w:left="0" w:firstLine="0"/>
      </w:pPr>
    </w:p>
    <w:p w14:paraId="061D969A" w14:textId="77777777" w:rsidR="00213CEC" w:rsidRDefault="00AA7013" w:rsidP="00ED4F84">
      <w:pPr>
        <w:ind w:left="0" w:firstLine="0"/>
      </w:pPr>
      <w:r>
        <w:tab/>
        <w:t xml:space="preserve">Преглед укупно </w:t>
      </w:r>
      <w:r w:rsidR="00853D2D">
        <w:t>остварених</w:t>
      </w:r>
      <w:r w:rsidR="001B25CF">
        <w:rPr>
          <w:lang w:val="sr-Cyrl-RS"/>
        </w:rPr>
        <w:t xml:space="preserve"> </w:t>
      </w:r>
      <w:r w:rsidR="00213CEC">
        <w:t>прихода и примитака</w:t>
      </w:r>
      <w:r>
        <w:t xml:space="preserve"> и </w:t>
      </w:r>
      <w:r w:rsidR="00853D2D">
        <w:t xml:space="preserve">укупно </w:t>
      </w:r>
      <w:r w:rsidR="00213CEC">
        <w:t>остварених расхода и</w:t>
      </w:r>
      <w:r>
        <w:t xml:space="preserve"> издатака оп</w:t>
      </w:r>
      <w:r w:rsidR="006457AB">
        <w:t xml:space="preserve">штине </w:t>
      </w:r>
      <w:r w:rsidR="001B25CF">
        <w:t>Прњавор за период 01.01-31.12</w:t>
      </w:r>
      <w:r w:rsidR="006457AB">
        <w:t>.2020</w:t>
      </w:r>
      <w:r>
        <w:t xml:space="preserve">. године, по свим рачуноводственим фондовима, дат је </w:t>
      </w:r>
      <w:r w:rsidR="00213CEC">
        <w:t>у наредном</w:t>
      </w:r>
      <w:r w:rsidR="001B25CF">
        <w:rPr>
          <w:lang w:val="sr-Cyrl-RS"/>
        </w:rPr>
        <w:t xml:space="preserve"> </w:t>
      </w:r>
      <w:r w:rsidR="00213CEC">
        <w:t>прегледу</w:t>
      </w:r>
      <w:r>
        <w:t>:</w:t>
      </w:r>
    </w:p>
    <w:p w14:paraId="38274ECA" w14:textId="77777777" w:rsidR="00A6727B" w:rsidRPr="00E53931" w:rsidRDefault="00A6727B" w:rsidP="00ED4F84">
      <w:pPr>
        <w:ind w:left="0" w:firstLine="0"/>
        <w:rPr>
          <w:sz w:val="22"/>
          <w:szCs w:val="22"/>
        </w:rPr>
      </w:pPr>
    </w:p>
    <w:tbl>
      <w:tblPr>
        <w:tblW w:w="10929" w:type="dxa"/>
        <w:tblInd w:w="-743" w:type="dxa"/>
        <w:tblLook w:val="04A0" w:firstRow="1" w:lastRow="0" w:firstColumn="1" w:lastColumn="0" w:noHBand="0" w:noVBand="1"/>
      </w:tblPr>
      <w:tblGrid>
        <w:gridCol w:w="651"/>
        <w:gridCol w:w="6012"/>
        <w:gridCol w:w="1655"/>
        <w:gridCol w:w="1597"/>
        <w:gridCol w:w="1014"/>
      </w:tblGrid>
      <w:tr w:rsidR="00E53931" w:rsidRPr="00E53931" w14:paraId="4A4E6E99" w14:textId="77777777" w:rsidTr="00254E6D">
        <w:trPr>
          <w:trHeight w:val="1107"/>
          <w:tblHeader/>
        </w:trPr>
        <w:tc>
          <w:tcPr>
            <w:tcW w:w="651" w:type="dxa"/>
            <w:tcBorders>
              <w:top w:val="single" w:sz="8" w:space="0" w:color="auto"/>
              <w:left w:val="nil"/>
              <w:bottom w:val="single" w:sz="8" w:space="0" w:color="auto"/>
              <w:right w:val="nil"/>
            </w:tcBorders>
            <w:shd w:val="clear" w:color="auto" w:fill="auto"/>
            <w:vAlign w:val="center"/>
            <w:hideMark/>
          </w:tcPr>
          <w:p w14:paraId="570661BD" w14:textId="77777777" w:rsidR="00E53931" w:rsidRPr="00E53931" w:rsidRDefault="00E53931" w:rsidP="00E53931">
            <w:pPr>
              <w:ind w:left="0" w:right="0" w:firstLine="0"/>
              <w:jc w:val="center"/>
              <w:rPr>
                <w:b/>
                <w:bCs/>
                <w:sz w:val="22"/>
                <w:szCs w:val="22"/>
                <w:lang w:val="sr-Latn-RS" w:eastAsia="sr-Latn-RS"/>
              </w:rPr>
            </w:pPr>
            <w:proofErr w:type="spellStart"/>
            <w:r w:rsidRPr="00E53931">
              <w:rPr>
                <w:b/>
                <w:bCs/>
                <w:sz w:val="22"/>
                <w:szCs w:val="22"/>
                <w:lang w:val="sr-Latn-RS" w:eastAsia="sr-Latn-RS"/>
              </w:rPr>
              <w:t>Ред</w:t>
            </w:r>
            <w:proofErr w:type="spellEnd"/>
            <w:r w:rsidRPr="00E53931">
              <w:rPr>
                <w:b/>
                <w:bCs/>
                <w:sz w:val="22"/>
                <w:szCs w:val="22"/>
                <w:lang w:val="sr-Latn-RS" w:eastAsia="sr-Latn-RS"/>
              </w:rPr>
              <w:t xml:space="preserve">. </w:t>
            </w:r>
            <w:proofErr w:type="spellStart"/>
            <w:r w:rsidRPr="00E53931">
              <w:rPr>
                <w:b/>
                <w:bCs/>
                <w:sz w:val="22"/>
                <w:szCs w:val="22"/>
                <w:lang w:val="sr-Latn-RS" w:eastAsia="sr-Latn-RS"/>
              </w:rPr>
              <w:t>бр</w:t>
            </w:r>
            <w:proofErr w:type="spellEnd"/>
            <w:r w:rsidRPr="00E53931">
              <w:rPr>
                <w:b/>
                <w:bCs/>
                <w:sz w:val="22"/>
                <w:szCs w:val="22"/>
                <w:lang w:val="sr-Latn-RS" w:eastAsia="sr-Latn-RS"/>
              </w:rPr>
              <w:t>.</w:t>
            </w:r>
          </w:p>
        </w:tc>
        <w:tc>
          <w:tcPr>
            <w:tcW w:w="6012" w:type="dxa"/>
            <w:tcBorders>
              <w:top w:val="single" w:sz="8" w:space="0" w:color="auto"/>
              <w:left w:val="nil"/>
              <w:bottom w:val="single" w:sz="8" w:space="0" w:color="auto"/>
              <w:right w:val="nil"/>
            </w:tcBorders>
            <w:shd w:val="clear" w:color="auto" w:fill="auto"/>
            <w:noWrap/>
            <w:vAlign w:val="center"/>
            <w:hideMark/>
          </w:tcPr>
          <w:p w14:paraId="2AE07F01" w14:textId="77777777" w:rsidR="00E53931" w:rsidRPr="00E53931" w:rsidRDefault="00E53931" w:rsidP="00E53931">
            <w:pPr>
              <w:ind w:left="0" w:right="0" w:firstLine="0"/>
              <w:jc w:val="center"/>
              <w:rPr>
                <w:b/>
                <w:bCs/>
                <w:sz w:val="22"/>
                <w:szCs w:val="22"/>
                <w:lang w:val="sr-Latn-RS" w:eastAsia="sr-Latn-RS"/>
              </w:rPr>
            </w:pPr>
            <w:r w:rsidRPr="00E53931">
              <w:rPr>
                <w:b/>
                <w:bCs/>
                <w:sz w:val="22"/>
                <w:szCs w:val="22"/>
                <w:lang w:val="sr-Latn-RS" w:eastAsia="sr-Latn-RS"/>
              </w:rPr>
              <w:t>ОПИС</w:t>
            </w:r>
          </w:p>
        </w:tc>
        <w:tc>
          <w:tcPr>
            <w:tcW w:w="1655" w:type="dxa"/>
            <w:tcBorders>
              <w:top w:val="single" w:sz="8" w:space="0" w:color="auto"/>
              <w:left w:val="nil"/>
              <w:bottom w:val="single" w:sz="8" w:space="0" w:color="auto"/>
              <w:right w:val="nil"/>
            </w:tcBorders>
            <w:shd w:val="clear" w:color="auto" w:fill="auto"/>
            <w:vAlign w:val="center"/>
            <w:hideMark/>
          </w:tcPr>
          <w:p w14:paraId="0175200F" w14:textId="77777777" w:rsidR="00E53931" w:rsidRPr="00E53931" w:rsidRDefault="00E53931" w:rsidP="00E53931">
            <w:pPr>
              <w:ind w:left="0" w:right="0" w:firstLine="0"/>
              <w:jc w:val="center"/>
              <w:rPr>
                <w:b/>
                <w:bCs/>
                <w:sz w:val="22"/>
                <w:szCs w:val="22"/>
                <w:lang w:val="sr-Latn-RS" w:eastAsia="sr-Latn-RS"/>
              </w:rPr>
            </w:pPr>
            <w:proofErr w:type="spellStart"/>
            <w:r w:rsidRPr="00E53931">
              <w:rPr>
                <w:b/>
                <w:bCs/>
                <w:sz w:val="22"/>
                <w:szCs w:val="22"/>
                <w:lang w:val="sr-Latn-RS" w:eastAsia="sr-Latn-RS"/>
              </w:rPr>
              <w:t>Ребаланс</w:t>
            </w:r>
            <w:proofErr w:type="spellEnd"/>
            <w:r w:rsidRPr="00E53931">
              <w:rPr>
                <w:b/>
                <w:bCs/>
                <w:sz w:val="22"/>
                <w:szCs w:val="22"/>
                <w:lang w:val="sr-Latn-RS" w:eastAsia="sr-Latn-RS"/>
              </w:rPr>
              <w:t xml:space="preserve"> </w:t>
            </w:r>
            <w:proofErr w:type="spellStart"/>
            <w:r w:rsidRPr="00E53931">
              <w:rPr>
                <w:b/>
                <w:bCs/>
                <w:sz w:val="22"/>
                <w:szCs w:val="22"/>
                <w:lang w:val="sr-Latn-RS" w:eastAsia="sr-Latn-RS"/>
              </w:rPr>
              <w:t>буџета</w:t>
            </w:r>
            <w:proofErr w:type="spellEnd"/>
            <w:r w:rsidRPr="00E53931">
              <w:rPr>
                <w:b/>
                <w:bCs/>
                <w:sz w:val="22"/>
                <w:szCs w:val="22"/>
                <w:lang w:val="sr-Latn-RS" w:eastAsia="sr-Latn-RS"/>
              </w:rPr>
              <w:br/>
            </w:r>
            <w:proofErr w:type="spellStart"/>
            <w:r w:rsidRPr="00E53931">
              <w:rPr>
                <w:b/>
                <w:bCs/>
                <w:sz w:val="22"/>
                <w:szCs w:val="22"/>
                <w:lang w:val="sr-Latn-RS" w:eastAsia="sr-Latn-RS"/>
              </w:rPr>
              <w:t>за</w:t>
            </w:r>
            <w:proofErr w:type="spellEnd"/>
            <w:r w:rsidRPr="00E53931">
              <w:rPr>
                <w:b/>
                <w:bCs/>
                <w:sz w:val="22"/>
                <w:szCs w:val="22"/>
                <w:lang w:val="sr-Latn-RS" w:eastAsia="sr-Latn-RS"/>
              </w:rPr>
              <w:t xml:space="preserve"> 2020. </w:t>
            </w:r>
            <w:proofErr w:type="spellStart"/>
            <w:r w:rsidRPr="00E53931">
              <w:rPr>
                <w:b/>
                <w:bCs/>
                <w:sz w:val="22"/>
                <w:szCs w:val="22"/>
                <w:lang w:val="sr-Latn-RS" w:eastAsia="sr-Latn-RS"/>
              </w:rPr>
              <w:t>годину</w:t>
            </w:r>
            <w:proofErr w:type="spellEnd"/>
          </w:p>
        </w:tc>
        <w:tc>
          <w:tcPr>
            <w:tcW w:w="1597" w:type="dxa"/>
            <w:tcBorders>
              <w:top w:val="single" w:sz="8" w:space="0" w:color="auto"/>
              <w:left w:val="nil"/>
              <w:bottom w:val="single" w:sz="8" w:space="0" w:color="auto"/>
              <w:right w:val="nil"/>
            </w:tcBorders>
            <w:shd w:val="clear" w:color="auto" w:fill="auto"/>
            <w:vAlign w:val="center"/>
            <w:hideMark/>
          </w:tcPr>
          <w:p w14:paraId="055B9900" w14:textId="77777777" w:rsidR="00E53931" w:rsidRPr="00E53931" w:rsidRDefault="00E53931" w:rsidP="00901BE1">
            <w:pPr>
              <w:ind w:left="0" w:right="0" w:firstLine="0"/>
              <w:jc w:val="center"/>
              <w:rPr>
                <w:b/>
                <w:bCs/>
                <w:sz w:val="22"/>
                <w:szCs w:val="22"/>
                <w:lang w:val="sr-Latn-RS" w:eastAsia="sr-Latn-RS"/>
              </w:rPr>
            </w:pPr>
            <w:proofErr w:type="spellStart"/>
            <w:r w:rsidRPr="00E53931">
              <w:rPr>
                <w:b/>
                <w:bCs/>
                <w:sz w:val="22"/>
                <w:szCs w:val="22"/>
                <w:lang w:val="sr-Latn-RS" w:eastAsia="sr-Latn-RS"/>
              </w:rPr>
              <w:t>Извршење</w:t>
            </w:r>
            <w:proofErr w:type="spellEnd"/>
            <w:r w:rsidRPr="00E53931">
              <w:rPr>
                <w:b/>
                <w:bCs/>
                <w:sz w:val="22"/>
                <w:szCs w:val="22"/>
                <w:lang w:val="sr-Latn-RS" w:eastAsia="sr-Latn-RS"/>
              </w:rPr>
              <w:t xml:space="preserve"> 01.01-31.12.2020. </w:t>
            </w:r>
            <w:proofErr w:type="spellStart"/>
            <w:r w:rsidRPr="00E53931">
              <w:rPr>
                <w:b/>
                <w:bCs/>
                <w:sz w:val="22"/>
                <w:szCs w:val="22"/>
                <w:lang w:val="sr-Latn-RS" w:eastAsia="sr-Latn-RS"/>
              </w:rPr>
              <w:t>године</w:t>
            </w:r>
            <w:proofErr w:type="spellEnd"/>
          </w:p>
        </w:tc>
        <w:tc>
          <w:tcPr>
            <w:tcW w:w="1014" w:type="dxa"/>
            <w:tcBorders>
              <w:top w:val="single" w:sz="8" w:space="0" w:color="auto"/>
              <w:left w:val="nil"/>
              <w:bottom w:val="single" w:sz="8" w:space="0" w:color="auto"/>
              <w:right w:val="nil"/>
            </w:tcBorders>
            <w:shd w:val="clear" w:color="auto" w:fill="auto"/>
            <w:noWrap/>
            <w:vAlign w:val="center"/>
            <w:hideMark/>
          </w:tcPr>
          <w:p w14:paraId="2609354C" w14:textId="77777777" w:rsidR="00E53931" w:rsidRPr="00E53931" w:rsidRDefault="00E53931" w:rsidP="00E53931">
            <w:pPr>
              <w:ind w:left="0" w:right="0" w:firstLine="0"/>
              <w:jc w:val="center"/>
              <w:rPr>
                <w:b/>
                <w:bCs/>
                <w:sz w:val="22"/>
                <w:szCs w:val="22"/>
                <w:lang w:val="sr-Latn-RS" w:eastAsia="sr-Latn-RS"/>
              </w:rPr>
            </w:pPr>
            <w:proofErr w:type="spellStart"/>
            <w:r w:rsidRPr="00E53931">
              <w:rPr>
                <w:b/>
                <w:bCs/>
                <w:sz w:val="22"/>
                <w:szCs w:val="22"/>
                <w:lang w:val="sr-Latn-RS" w:eastAsia="sr-Latn-RS"/>
              </w:rPr>
              <w:t>Индекс</w:t>
            </w:r>
            <w:proofErr w:type="spellEnd"/>
          </w:p>
        </w:tc>
      </w:tr>
      <w:tr w:rsidR="00E53931" w:rsidRPr="00E53931" w14:paraId="386103F0" w14:textId="77777777" w:rsidTr="00254E6D">
        <w:trPr>
          <w:trHeight w:val="259"/>
          <w:tblHeader/>
        </w:trPr>
        <w:tc>
          <w:tcPr>
            <w:tcW w:w="651" w:type="dxa"/>
            <w:tcBorders>
              <w:top w:val="nil"/>
              <w:left w:val="nil"/>
              <w:bottom w:val="single" w:sz="8" w:space="0" w:color="auto"/>
              <w:right w:val="nil"/>
            </w:tcBorders>
            <w:shd w:val="clear" w:color="auto" w:fill="auto"/>
            <w:noWrap/>
            <w:vAlign w:val="bottom"/>
            <w:hideMark/>
          </w:tcPr>
          <w:p w14:paraId="3DF5B0CC" w14:textId="77777777" w:rsidR="00E53931" w:rsidRPr="00E53931" w:rsidRDefault="00E53931" w:rsidP="00E53931">
            <w:pPr>
              <w:ind w:left="0" w:right="0" w:firstLine="0"/>
              <w:jc w:val="center"/>
              <w:rPr>
                <w:sz w:val="22"/>
                <w:szCs w:val="22"/>
                <w:lang w:val="sr-Latn-RS" w:eastAsia="sr-Latn-RS"/>
              </w:rPr>
            </w:pPr>
            <w:r w:rsidRPr="00E53931">
              <w:rPr>
                <w:sz w:val="22"/>
                <w:szCs w:val="22"/>
                <w:lang w:val="sr-Latn-RS" w:eastAsia="sr-Latn-RS"/>
              </w:rPr>
              <w:t>1</w:t>
            </w:r>
          </w:p>
        </w:tc>
        <w:tc>
          <w:tcPr>
            <w:tcW w:w="6012" w:type="dxa"/>
            <w:tcBorders>
              <w:top w:val="nil"/>
              <w:left w:val="nil"/>
              <w:bottom w:val="single" w:sz="8" w:space="0" w:color="auto"/>
              <w:right w:val="nil"/>
            </w:tcBorders>
            <w:shd w:val="clear" w:color="auto" w:fill="auto"/>
            <w:noWrap/>
            <w:vAlign w:val="bottom"/>
            <w:hideMark/>
          </w:tcPr>
          <w:p w14:paraId="158C4FBD" w14:textId="77777777" w:rsidR="00E53931" w:rsidRPr="00E53931" w:rsidRDefault="00E53931" w:rsidP="00E53931">
            <w:pPr>
              <w:ind w:left="0" w:right="0" w:firstLine="0"/>
              <w:jc w:val="center"/>
              <w:rPr>
                <w:sz w:val="22"/>
                <w:szCs w:val="22"/>
                <w:lang w:val="sr-Latn-RS" w:eastAsia="sr-Latn-RS"/>
              </w:rPr>
            </w:pPr>
            <w:r w:rsidRPr="00E53931">
              <w:rPr>
                <w:sz w:val="22"/>
                <w:szCs w:val="22"/>
                <w:lang w:val="sr-Latn-RS" w:eastAsia="sr-Latn-RS"/>
              </w:rPr>
              <w:t>2</w:t>
            </w:r>
          </w:p>
        </w:tc>
        <w:tc>
          <w:tcPr>
            <w:tcW w:w="1655" w:type="dxa"/>
            <w:tcBorders>
              <w:top w:val="nil"/>
              <w:left w:val="nil"/>
              <w:bottom w:val="single" w:sz="8" w:space="0" w:color="auto"/>
              <w:right w:val="nil"/>
            </w:tcBorders>
            <w:shd w:val="clear" w:color="auto" w:fill="auto"/>
            <w:noWrap/>
            <w:vAlign w:val="bottom"/>
            <w:hideMark/>
          </w:tcPr>
          <w:p w14:paraId="42DBC008" w14:textId="77777777" w:rsidR="00E53931" w:rsidRPr="00E53931" w:rsidRDefault="00E53931" w:rsidP="00E53931">
            <w:pPr>
              <w:ind w:left="0" w:right="0" w:firstLine="0"/>
              <w:jc w:val="center"/>
              <w:rPr>
                <w:sz w:val="22"/>
                <w:szCs w:val="22"/>
                <w:lang w:val="sr-Latn-RS" w:eastAsia="sr-Latn-RS"/>
              </w:rPr>
            </w:pPr>
            <w:r w:rsidRPr="00E53931">
              <w:rPr>
                <w:sz w:val="22"/>
                <w:szCs w:val="22"/>
                <w:lang w:val="sr-Latn-RS" w:eastAsia="sr-Latn-RS"/>
              </w:rPr>
              <w:t>3</w:t>
            </w:r>
          </w:p>
        </w:tc>
        <w:tc>
          <w:tcPr>
            <w:tcW w:w="1597" w:type="dxa"/>
            <w:tcBorders>
              <w:top w:val="nil"/>
              <w:left w:val="nil"/>
              <w:bottom w:val="single" w:sz="8" w:space="0" w:color="auto"/>
              <w:right w:val="nil"/>
            </w:tcBorders>
            <w:shd w:val="clear" w:color="auto" w:fill="auto"/>
            <w:noWrap/>
            <w:vAlign w:val="bottom"/>
            <w:hideMark/>
          </w:tcPr>
          <w:p w14:paraId="0362B97E" w14:textId="77777777" w:rsidR="00E53931" w:rsidRPr="00E53931" w:rsidRDefault="00E53931" w:rsidP="00E53931">
            <w:pPr>
              <w:ind w:left="0" w:right="0" w:firstLine="0"/>
              <w:jc w:val="center"/>
              <w:rPr>
                <w:sz w:val="22"/>
                <w:szCs w:val="22"/>
                <w:lang w:val="sr-Latn-RS" w:eastAsia="sr-Latn-RS"/>
              </w:rPr>
            </w:pPr>
            <w:r w:rsidRPr="00E53931">
              <w:rPr>
                <w:sz w:val="22"/>
                <w:szCs w:val="22"/>
                <w:lang w:val="sr-Latn-RS" w:eastAsia="sr-Latn-RS"/>
              </w:rPr>
              <w:t>4</w:t>
            </w:r>
          </w:p>
        </w:tc>
        <w:tc>
          <w:tcPr>
            <w:tcW w:w="1014" w:type="dxa"/>
            <w:tcBorders>
              <w:top w:val="nil"/>
              <w:left w:val="nil"/>
              <w:bottom w:val="single" w:sz="8" w:space="0" w:color="auto"/>
              <w:right w:val="nil"/>
            </w:tcBorders>
            <w:shd w:val="clear" w:color="auto" w:fill="auto"/>
            <w:noWrap/>
            <w:vAlign w:val="bottom"/>
            <w:hideMark/>
          </w:tcPr>
          <w:p w14:paraId="7D72CE4B" w14:textId="77777777" w:rsidR="00E53931" w:rsidRPr="00E53931" w:rsidRDefault="00E53931" w:rsidP="00E53931">
            <w:pPr>
              <w:ind w:left="0" w:right="0" w:firstLine="0"/>
              <w:jc w:val="center"/>
              <w:rPr>
                <w:sz w:val="22"/>
                <w:szCs w:val="22"/>
                <w:lang w:val="sr-Latn-RS" w:eastAsia="sr-Latn-RS"/>
              </w:rPr>
            </w:pPr>
            <w:r w:rsidRPr="00E53931">
              <w:rPr>
                <w:sz w:val="22"/>
                <w:szCs w:val="22"/>
                <w:lang w:val="sr-Latn-RS" w:eastAsia="sr-Latn-RS"/>
              </w:rPr>
              <w:t>5(4/3)</w:t>
            </w:r>
          </w:p>
        </w:tc>
      </w:tr>
      <w:tr w:rsidR="00E53931" w:rsidRPr="00E53931" w14:paraId="4CAB9EE9" w14:textId="77777777" w:rsidTr="00901BE1">
        <w:trPr>
          <w:trHeight w:val="315"/>
        </w:trPr>
        <w:tc>
          <w:tcPr>
            <w:tcW w:w="651" w:type="dxa"/>
            <w:tcBorders>
              <w:top w:val="nil"/>
              <w:left w:val="nil"/>
              <w:bottom w:val="nil"/>
              <w:right w:val="nil"/>
            </w:tcBorders>
            <w:shd w:val="clear" w:color="auto" w:fill="auto"/>
            <w:noWrap/>
            <w:vAlign w:val="bottom"/>
            <w:hideMark/>
          </w:tcPr>
          <w:p w14:paraId="7CE0EF37" w14:textId="77777777" w:rsidR="00E53931" w:rsidRPr="00E53931" w:rsidRDefault="00E53931" w:rsidP="00E53931">
            <w:pPr>
              <w:ind w:left="0" w:right="0" w:firstLine="0"/>
              <w:jc w:val="center"/>
              <w:rPr>
                <w:sz w:val="22"/>
                <w:szCs w:val="22"/>
                <w:lang w:val="sr-Latn-RS" w:eastAsia="sr-Latn-RS"/>
              </w:rPr>
            </w:pPr>
          </w:p>
        </w:tc>
        <w:tc>
          <w:tcPr>
            <w:tcW w:w="6012" w:type="dxa"/>
            <w:tcBorders>
              <w:top w:val="nil"/>
              <w:left w:val="nil"/>
              <w:bottom w:val="nil"/>
              <w:right w:val="nil"/>
            </w:tcBorders>
            <w:shd w:val="clear" w:color="auto" w:fill="auto"/>
            <w:noWrap/>
            <w:vAlign w:val="bottom"/>
            <w:hideMark/>
          </w:tcPr>
          <w:p w14:paraId="5C4619CC" w14:textId="77777777" w:rsidR="00E53931" w:rsidRPr="00E53931" w:rsidRDefault="00E53931" w:rsidP="00C41EC6">
            <w:pPr>
              <w:ind w:left="0" w:right="0" w:firstLine="0"/>
              <w:rPr>
                <w:sz w:val="22"/>
                <w:szCs w:val="22"/>
                <w:lang w:val="sr-Latn-RS" w:eastAsia="sr-Latn-RS"/>
              </w:rPr>
            </w:pPr>
          </w:p>
        </w:tc>
        <w:tc>
          <w:tcPr>
            <w:tcW w:w="1655" w:type="dxa"/>
            <w:tcBorders>
              <w:top w:val="nil"/>
              <w:left w:val="nil"/>
              <w:bottom w:val="nil"/>
              <w:right w:val="nil"/>
            </w:tcBorders>
            <w:shd w:val="clear" w:color="auto" w:fill="auto"/>
            <w:noWrap/>
            <w:vAlign w:val="bottom"/>
            <w:hideMark/>
          </w:tcPr>
          <w:p w14:paraId="08589B07" w14:textId="77777777" w:rsidR="00E53931" w:rsidRPr="00E53931" w:rsidRDefault="00E53931" w:rsidP="00E53931">
            <w:pPr>
              <w:ind w:left="0" w:right="0" w:firstLine="0"/>
              <w:jc w:val="center"/>
              <w:rPr>
                <w:sz w:val="22"/>
                <w:szCs w:val="22"/>
                <w:lang w:val="sr-Latn-RS" w:eastAsia="sr-Latn-RS"/>
              </w:rPr>
            </w:pPr>
          </w:p>
        </w:tc>
        <w:tc>
          <w:tcPr>
            <w:tcW w:w="1597" w:type="dxa"/>
            <w:tcBorders>
              <w:top w:val="nil"/>
              <w:left w:val="nil"/>
              <w:bottom w:val="nil"/>
              <w:right w:val="nil"/>
            </w:tcBorders>
            <w:shd w:val="clear" w:color="auto" w:fill="auto"/>
            <w:noWrap/>
            <w:vAlign w:val="bottom"/>
            <w:hideMark/>
          </w:tcPr>
          <w:p w14:paraId="4A400EF2" w14:textId="77777777" w:rsidR="00E53931" w:rsidRPr="00E53931" w:rsidRDefault="00E53931" w:rsidP="00E53931">
            <w:pPr>
              <w:ind w:left="0" w:right="0" w:firstLine="0"/>
              <w:jc w:val="center"/>
              <w:rPr>
                <w:sz w:val="22"/>
                <w:szCs w:val="22"/>
                <w:lang w:val="sr-Latn-RS" w:eastAsia="sr-Latn-RS"/>
              </w:rPr>
            </w:pPr>
          </w:p>
        </w:tc>
        <w:tc>
          <w:tcPr>
            <w:tcW w:w="1014" w:type="dxa"/>
            <w:tcBorders>
              <w:top w:val="nil"/>
              <w:left w:val="nil"/>
              <w:bottom w:val="nil"/>
              <w:right w:val="nil"/>
            </w:tcBorders>
            <w:shd w:val="clear" w:color="auto" w:fill="auto"/>
            <w:noWrap/>
            <w:vAlign w:val="bottom"/>
            <w:hideMark/>
          </w:tcPr>
          <w:p w14:paraId="168A249F" w14:textId="77777777" w:rsidR="00E53931" w:rsidRPr="00E53931" w:rsidRDefault="00E53931" w:rsidP="00E53931">
            <w:pPr>
              <w:ind w:left="0" w:right="0" w:firstLine="0"/>
              <w:jc w:val="center"/>
              <w:rPr>
                <w:sz w:val="22"/>
                <w:szCs w:val="22"/>
                <w:lang w:val="sr-Latn-RS" w:eastAsia="sr-Latn-RS"/>
              </w:rPr>
            </w:pPr>
          </w:p>
        </w:tc>
      </w:tr>
      <w:tr w:rsidR="00E53931" w:rsidRPr="00E53931" w14:paraId="6EF9292D" w14:textId="77777777" w:rsidTr="00901BE1">
        <w:trPr>
          <w:trHeight w:val="315"/>
        </w:trPr>
        <w:tc>
          <w:tcPr>
            <w:tcW w:w="651" w:type="dxa"/>
            <w:tcBorders>
              <w:top w:val="nil"/>
              <w:left w:val="nil"/>
              <w:bottom w:val="nil"/>
              <w:right w:val="nil"/>
            </w:tcBorders>
            <w:shd w:val="clear" w:color="auto" w:fill="auto"/>
            <w:noWrap/>
            <w:vAlign w:val="bottom"/>
            <w:hideMark/>
          </w:tcPr>
          <w:p w14:paraId="6EFC1E7E" w14:textId="77777777" w:rsidR="00E53931" w:rsidRPr="00E53931" w:rsidRDefault="00E53931" w:rsidP="00E53931">
            <w:pPr>
              <w:ind w:left="0" w:right="0" w:firstLine="0"/>
              <w:jc w:val="center"/>
              <w:rPr>
                <w:sz w:val="22"/>
                <w:szCs w:val="22"/>
                <w:lang w:val="sr-Latn-RS" w:eastAsia="sr-Latn-RS"/>
              </w:rPr>
            </w:pPr>
          </w:p>
        </w:tc>
        <w:tc>
          <w:tcPr>
            <w:tcW w:w="6012" w:type="dxa"/>
            <w:tcBorders>
              <w:top w:val="nil"/>
              <w:left w:val="nil"/>
              <w:bottom w:val="nil"/>
              <w:right w:val="nil"/>
            </w:tcBorders>
            <w:shd w:val="clear" w:color="auto" w:fill="auto"/>
            <w:noWrap/>
            <w:vAlign w:val="bottom"/>
            <w:hideMark/>
          </w:tcPr>
          <w:p w14:paraId="592ABD69" w14:textId="77777777" w:rsidR="00E53931" w:rsidRPr="00E53931" w:rsidRDefault="00E53931" w:rsidP="00E53931">
            <w:pPr>
              <w:ind w:left="0" w:right="0" w:firstLine="0"/>
              <w:jc w:val="left"/>
              <w:rPr>
                <w:b/>
                <w:bCs/>
                <w:sz w:val="22"/>
                <w:szCs w:val="22"/>
                <w:u w:val="single"/>
                <w:lang w:val="sr-Latn-RS" w:eastAsia="sr-Latn-RS"/>
              </w:rPr>
            </w:pPr>
            <w:r w:rsidRPr="00E53931">
              <w:rPr>
                <w:b/>
                <w:bCs/>
                <w:sz w:val="22"/>
                <w:szCs w:val="22"/>
                <w:u w:val="single"/>
                <w:lang w:val="sr-Latn-RS" w:eastAsia="sr-Latn-RS"/>
              </w:rPr>
              <w:t>А. ПРИХОДИ И ПРИМИЦИ</w:t>
            </w:r>
          </w:p>
        </w:tc>
        <w:tc>
          <w:tcPr>
            <w:tcW w:w="1655" w:type="dxa"/>
            <w:tcBorders>
              <w:top w:val="nil"/>
              <w:left w:val="nil"/>
              <w:bottom w:val="nil"/>
              <w:right w:val="nil"/>
            </w:tcBorders>
            <w:shd w:val="clear" w:color="auto" w:fill="auto"/>
            <w:noWrap/>
            <w:vAlign w:val="bottom"/>
            <w:hideMark/>
          </w:tcPr>
          <w:p w14:paraId="57B145E0" w14:textId="77777777" w:rsidR="00E53931" w:rsidRPr="00E53931" w:rsidRDefault="00E53931" w:rsidP="00E53931">
            <w:pPr>
              <w:ind w:left="0" w:right="0" w:firstLine="0"/>
              <w:jc w:val="left"/>
              <w:rPr>
                <w:b/>
                <w:bCs/>
                <w:sz w:val="22"/>
                <w:szCs w:val="22"/>
                <w:u w:val="single"/>
                <w:lang w:val="sr-Latn-RS" w:eastAsia="sr-Latn-RS"/>
              </w:rPr>
            </w:pPr>
          </w:p>
        </w:tc>
        <w:tc>
          <w:tcPr>
            <w:tcW w:w="1597" w:type="dxa"/>
            <w:tcBorders>
              <w:top w:val="nil"/>
              <w:left w:val="nil"/>
              <w:bottom w:val="nil"/>
              <w:right w:val="nil"/>
            </w:tcBorders>
            <w:shd w:val="clear" w:color="auto" w:fill="auto"/>
            <w:noWrap/>
            <w:vAlign w:val="bottom"/>
            <w:hideMark/>
          </w:tcPr>
          <w:p w14:paraId="46D28F52" w14:textId="77777777" w:rsidR="00E53931" w:rsidRPr="00E53931" w:rsidRDefault="00E53931" w:rsidP="00E53931">
            <w:pPr>
              <w:ind w:left="0" w:right="0" w:firstLine="0"/>
              <w:jc w:val="center"/>
              <w:rPr>
                <w:sz w:val="22"/>
                <w:szCs w:val="22"/>
                <w:lang w:val="sr-Latn-RS" w:eastAsia="sr-Latn-RS"/>
              </w:rPr>
            </w:pPr>
          </w:p>
        </w:tc>
        <w:tc>
          <w:tcPr>
            <w:tcW w:w="1014" w:type="dxa"/>
            <w:tcBorders>
              <w:top w:val="nil"/>
              <w:left w:val="nil"/>
              <w:bottom w:val="nil"/>
              <w:right w:val="nil"/>
            </w:tcBorders>
            <w:shd w:val="clear" w:color="auto" w:fill="auto"/>
            <w:noWrap/>
            <w:vAlign w:val="bottom"/>
            <w:hideMark/>
          </w:tcPr>
          <w:p w14:paraId="16D11AAD" w14:textId="77777777" w:rsidR="00E53931" w:rsidRPr="00E53931" w:rsidRDefault="00E53931" w:rsidP="00E53931">
            <w:pPr>
              <w:ind w:left="0" w:right="0" w:firstLine="0"/>
              <w:jc w:val="center"/>
              <w:rPr>
                <w:sz w:val="22"/>
                <w:szCs w:val="22"/>
                <w:lang w:val="sr-Latn-RS" w:eastAsia="sr-Latn-RS"/>
              </w:rPr>
            </w:pPr>
          </w:p>
        </w:tc>
      </w:tr>
      <w:tr w:rsidR="00E53931" w:rsidRPr="00E53931" w14:paraId="348208D5" w14:textId="77777777" w:rsidTr="00901BE1">
        <w:trPr>
          <w:trHeight w:val="315"/>
        </w:trPr>
        <w:tc>
          <w:tcPr>
            <w:tcW w:w="651" w:type="dxa"/>
            <w:tcBorders>
              <w:top w:val="nil"/>
              <w:left w:val="nil"/>
              <w:bottom w:val="nil"/>
              <w:right w:val="nil"/>
            </w:tcBorders>
            <w:shd w:val="clear" w:color="auto" w:fill="auto"/>
            <w:noWrap/>
            <w:vAlign w:val="bottom"/>
            <w:hideMark/>
          </w:tcPr>
          <w:p w14:paraId="67AD8461" w14:textId="77777777" w:rsidR="00E53931" w:rsidRPr="00E53931" w:rsidRDefault="00E53931" w:rsidP="00E53931">
            <w:pPr>
              <w:ind w:left="0" w:right="0" w:firstLine="0"/>
              <w:jc w:val="center"/>
              <w:rPr>
                <w:sz w:val="22"/>
                <w:szCs w:val="22"/>
                <w:lang w:val="sr-Latn-RS" w:eastAsia="sr-Latn-RS"/>
              </w:rPr>
            </w:pPr>
          </w:p>
        </w:tc>
        <w:tc>
          <w:tcPr>
            <w:tcW w:w="6012" w:type="dxa"/>
            <w:tcBorders>
              <w:top w:val="nil"/>
              <w:left w:val="nil"/>
              <w:bottom w:val="nil"/>
              <w:right w:val="nil"/>
            </w:tcBorders>
            <w:shd w:val="clear" w:color="auto" w:fill="auto"/>
            <w:noWrap/>
            <w:vAlign w:val="bottom"/>
            <w:hideMark/>
          </w:tcPr>
          <w:p w14:paraId="06BC5FC6" w14:textId="77777777" w:rsidR="00E53931" w:rsidRPr="00E53931" w:rsidRDefault="00E53931" w:rsidP="00E53931">
            <w:pPr>
              <w:ind w:left="0" w:right="0" w:firstLine="0"/>
              <w:jc w:val="center"/>
              <w:rPr>
                <w:sz w:val="22"/>
                <w:szCs w:val="22"/>
                <w:lang w:val="sr-Latn-RS" w:eastAsia="sr-Latn-RS"/>
              </w:rPr>
            </w:pPr>
          </w:p>
        </w:tc>
        <w:tc>
          <w:tcPr>
            <w:tcW w:w="1655" w:type="dxa"/>
            <w:tcBorders>
              <w:top w:val="nil"/>
              <w:left w:val="nil"/>
              <w:bottom w:val="nil"/>
              <w:right w:val="nil"/>
            </w:tcBorders>
            <w:shd w:val="clear" w:color="auto" w:fill="auto"/>
            <w:noWrap/>
            <w:vAlign w:val="bottom"/>
            <w:hideMark/>
          </w:tcPr>
          <w:p w14:paraId="03B2DCF1" w14:textId="77777777" w:rsidR="00E53931" w:rsidRPr="00E53931" w:rsidRDefault="00E53931" w:rsidP="00E53931">
            <w:pPr>
              <w:ind w:left="0" w:right="0" w:firstLine="0"/>
              <w:jc w:val="center"/>
              <w:rPr>
                <w:sz w:val="22"/>
                <w:szCs w:val="22"/>
                <w:lang w:val="sr-Latn-RS" w:eastAsia="sr-Latn-RS"/>
              </w:rPr>
            </w:pPr>
          </w:p>
        </w:tc>
        <w:tc>
          <w:tcPr>
            <w:tcW w:w="1597" w:type="dxa"/>
            <w:tcBorders>
              <w:top w:val="nil"/>
              <w:left w:val="nil"/>
              <w:bottom w:val="nil"/>
              <w:right w:val="nil"/>
            </w:tcBorders>
            <w:shd w:val="clear" w:color="auto" w:fill="auto"/>
            <w:noWrap/>
            <w:vAlign w:val="bottom"/>
            <w:hideMark/>
          </w:tcPr>
          <w:p w14:paraId="7FD2AAE4" w14:textId="77777777" w:rsidR="00E53931" w:rsidRPr="00E53931" w:rsidRDefault="00E53931" w:rsidP="00E53931">
            <w:pPr>
              <w:ind w:left="0" w:right="0" w:firstLine="0"/>
              <w:jc w:val="center"/>
              <w:rPr>
                <w:sz w:val="22"/>
                <w:szCs w:val="22"/>
                <w:lang w:val="sr-Latn-RS" w:eastAsia="sr-Latn-RS"/>
              </w:rPr>
            </w:pPr>
          </w:p>
        </w:tc>
        <w:tc>
          <w:tcPr>
            <w:tcW w:w="1014" w:type="dxa"/>
            <w:tcBorders>
              <w:top w:val="nil"/>
              <w:left w:val="nil"/>
              <w:bottom w:val="nil"/>
              <w:right w:val="nil"/>
            </w:tcBorders>
            <w:shd w:val="clear" w:color="auto" w:fill="auto"/>
            <w:noWrap/>
            <w:vAlign w:val="bottom"/>
            <w:hideMark/>
          </w:tcPr>
          <w:p w14:paraId="4FF2E683" w14:textId="77777777" w:rsidR="00E53931" w:rsidRPr="00E53931" w:rsidRDefault="00E53931" w:rsidP="00E53931">
            <w:pPr>
              <w:ind w:left="0" w:right="0" w:firstLine="0"/>
              <w:jc w:val="center"/>
              <w:rPr>
                <w:sz w:val="22"/>
                <w:szCs w:val="22"/>
                <w:lang w:val="sr-Latn-RS" w:eastAsia="sr-Latn-RS"/>
              </w:rPr>
            </w:pPr>
          </w:p>
        </w:tc>
      </w:tr>
      <w:tr w:rsidR="00E53931" w:rsidRPr="00E53931" w14:paraId="2CFBA2F5" w14:textId="77777777" w:rsidTr="00901BE1">
        <w:trPr>
          <w:trHeight w:val="315"/>
        </w:trPr>
        <w:tc>
          <w:tcPr>
            <w:tcW w:w="651" w:type="dxa"/>
            <w:tcBorders>
              <w:top w:val="nil"/>
              <w:left w:val="nil"/>
              <w:bottom w:val="nil"/>
              <w:right w:val="nil"/>
            </w:tcBorders>
            <w:shd w:val="clear" w:color="auto" w:fill="auto"/>
            <w:noWrap/>
            <w:vAlign w:val="center"/>
            <w:hideMark/>
          </w:tcPr>
          <w:p w14:paraId="7B9993AA" w14:textId="77777777" w:rsidR="00E53931" w:rsidRPr="00E53931" w:rsidRDefault="00E53931" w:rsidP="00E53931">
            <w:pPr>
              <w:ind w:left="0" w:right="0" w:firstLine="0"/>
              <w:jc w:val="center"/>
              <w:rPr>
                <w:sz w:val="22"/>
                <w:szCs w:val="22"/>
                <w:lang w:val="sr-Latn-RS" w:eastAsia="sr-Latn-RS"/>
              </w:rPr>
            </w:pPr>
            <w:r w:rsidRPr="00E53931">
              <w:rPr>
                <w:sz w:val="22"/>
                <w:szCs w:val="22"/>
                <w:lang w:val="sr-Latn-RS" w:eastAsia="sr-Latn-RS"/>
              </w:rPr>
              <w:t>1.</w:t>
            </w:r>
          </w:p>
        </w:tc>
        <w:tc>
          <w:tcPr>
            <w:tcW w:w="6012" w:type="dxa"/>
            <w:tcBorders>
              <w:top w:val="nil"/>
              <w:left w:val="nil"/>
              <w:bottom w:val="nil"/>
              <w:right w:val="nil"/>
            </w:tcBorders>
            <w:shd w:val="clear" w:color="auto" w:fill="auto"/>
            <w:noWrap/>
            <w:vAlign w:val="bottom"/>
            <w:hideMark/>
          </w:tcPr>
          <w:p w14:paraId="4DC2DB1D" w14:textId="77777777" w:rsidR="00E53931" w:rsidRPr="00E53931" w:rsidRDefault="00E53931" w:rsidP="00E53931">
            <w:pPr>
              <w:ind w:left="0" w:right="0" w:firstLine="0"/>
              <w:jc w:val="left"/>
              <w:rPr>
                <w:sz w:val="22"/>
                <w:szCs w:val="22"/>
                <w:lang w:val="sr-Latn-RS" w:eastAsia="sr-Latn-RS"/>
              </w:rPr>
            </w:pPr>
            <w:proofErr w:type="spellStart"/>
            <w:r w:rsidRPr="00E53931">
              <w:rPr>
                <w:sz w:val="22"/>
                <w:szCs w:val="22"/>
                <w:lang w:val="sr-Latn-RS" w:eastAsia="sr-Latn-RS"/>
              </w:rPr>
              <w:t>Буџетски</w:t>
            </w:r>
            <w:proofErr w:type="spellEnd"/>
            <w:r w:rsidRPr="00E53931">
              <w:rPr>
                <w:sz w:val="22"/>
                <w:szCs w:val="22"/>
                <w:lang w:val="sr-Latn-RS" w:eastAsia="sr-Latn-RS"/>
              </w:rPr>
              <w:t xml:space="preserve"> </w:t>
            </w:r>
            <w:proofErr w:type="spellStart"/>
            <w:r w:rsidRPr="00E53931">
              <w:rPr>
                <w:sz w:val="22"/>
                <w:szCs w:val="22"/>
                <w:lang w:val="sr-Latn-RS" w:eastAsia="sr-Latn-RS"/>
              </w:rPr>
              <w:t>приходи</w:t>
            </w:r>
            <w:proofErr w:type="spellEnd"/>
          </w:p>
        </w:tc>
        <w:tc>
          <w:tcPr>
            <w:tcW w:w="1655" w:type="dxa"/>
            <w:tcBorders>
              <w:top w:val="nil"/>
              <w:left w:val="nil"/>
              <w:bottom w:val="nil"/>
              <w:right w:val="nil"/>
            </w:tcBorders>
            <w:shd w:val="clear" w:color="auto" w:fill="auto"/>
            <w:noWrap/>
            <w:vAlign w:val="bottom"/>
            <w:hideMark/>
          </w:tcPr>
          <w:p w14:paraId="475CD934" w14:textId="77777777" w:rsidR="00E53931" w:rsidRPr="00E53931" w:rsidRDefault="00E53931" w:rsidP="00E53931">
            <w:pPr>
              <w:ind w:left="0" w:right="0" w:firstLine="0"/>
              <w:jc w:val="right"/>
              <w:rPr>
                <w:sz w:val="22"/>
                <w:szCs w:val="22"/>
                <w:lang w:val="sr-Latn-RS" w:eastAsia="sr-Latn-RS"/>
              </w:rPr>
            </w:pPr>
            <w:r w:rsidRPr="00E53931">
              <w:rPr>
                <w:sz w:val="22"/>
                <w:szCs w:val="22"/>
                <w:lang w:val="sr-Latn-RS" w:eastAsia="sr-Latn-RS"/>
              </w:rPr>
              <w:t>15.882.058,00</w:t>
            </w:r>
          </w:p>
        </w:tc>
        <w:tc>
          <w:tcPr>
            <w:tcW w:w="1597" w:type="dxa"/>
            <w:tcBorders>
              <w:top w:val="nil"/>
              <w:left w:val="nil"/>
              <w:bottom w:val="nil"/>
              <w:right w:val="nil"/>
            </w:tcBorders>
            <w:shd w:val="clear" w:color="auto" w:fill="auto"/>
            <w:noWrap/>
            <w:vAlign w:val="bottom"/>
            <w:hideMark/>
          </w:tcPr>
          <w:p w14:paraId="5005686C" w14:textId="77777777" w:rsidR="00E53931" w:rsidRPr="00E53931" w:rsidRDefault="00E53931" w:rsidP="00E53931">
            <w:pPr>
              <w:ind w:left="0" w:right="0" w:firstLine="0"/>
              <w:jc w:val="right"/>
              <w:rPr>
                <w:sz w:val="22"/>
                <w:szCs w:val="22"/>
                <w:lang w:val="sr-Latn-RS" w:eastAsia="sr-Latn-RS"/>
              </w:rPr>
            </w:pPr>
            <w:r w:rsidRPr="00E53931">
              <w:rPr>
                <w:sz w:val="22"/>
                <w:szCs w:val="22"/>
                <w:lang w:val="sr-Latn-RS" w:eastAsia="sr-Latn-RS"/>
              </w:rPr>
              <w:t>15.430.329,39</w:t>
            </w:r>
          </w:p>
        </w:tc>
        <w:tc>
          <w:tcPr>
            <w:tcW w:w="1014" w:type="dxa"/>
            <w:tcBorders>
              <w:top w:val="nil"/>
              <w:left w:val="nil"/>
              <w:bottom w:val="nil"/>
              <w:right w:val="nil"/>
            </w:tcBorders>
            <w:shd w:val="clear" w:color="auto" w:fill="auto"/>
            <w:noWrap/>
            <w:vAlign w:val="center"/>
            <w:hideMark/>
          </w:tcPr>
          <w:p w14:paraId="7A83CA7A" w14:textId="77777777" w:rsidR="00E53931" w:rsidRPr="00E53931" w:rsidRDefault="00E53931" w:rsidP="00E53931">
            <w:pPr>
              <w:ind w:left="0" w:right="0" w:firstLine="0"/>
              <w:jc w:val="right"/>
              <w:rPr>
                <w:sz w:val="22"/>
                <w:szCs w:val="22"/>
                <w:lang w:val="sr-Latn-RS" w:eastAsia="sr-Latn-RS"/>
              </w:rPr>
            </w:pPr>
            <w:r w:rsidRPr="00E53931">
              <w:rPr>
                <w:sz w:val="22"/>
                <w:szCs w:val="22"/>
                <w:lang w:val="sr-Latn-RS" w:eastAsia="sr-Latn-RS"/>
              </w:rPr>
              <w:t>97,16</w:t>
            </w:r>
          </w:p>
        </w:tc>
      </w:tr>
      <w:tr w:rsidR="00E53931" w:rsidRPr="00E53931" w14:paraId="6C2E458B" w14:textId="77777777" w:rsidTr="00901BE1">
        <w:trPr>
          <w:trHeight w:val="315"/>
        </w:trPr>
        <w:tc>
          <w:tcPr>
            <w:tcW w:w="651" w:type="dxa"/>
            <w:tcBorders>
              <w:top w:val="nil"/>
              <w:left w:val="nil"/>
              <w:bottom w:val="nil"/>
              <w:right w:val="nil"/>
            </w:tcBorders>
            <w:shd w:val="clear" w:color="auto" w:fill="auto"/>
            <w:noWrap/>
            <w:vAlign w:val="center"/>
            <w:hideMark/>
          </w:tcPr>
          <w:p w14:paraId="4CA75590" w14:textId="77777777" w:rsidR="00E53931" w:rsidRPr="00E53931" w:rsidRDefault="00E53931" w:rsidP="00E53931">
            <w:pPr>
              <w:ind w:left="0" w:right="0" w:firstLine="0"/>
              <w:jc w:val="center"/>
              <w:rPr>
                <w:sz w:val="22"/>
                <w:szCs w:val="22"/>
                <w:lang w:val="sr-Latn-RS" w:eastAsia="sr-Latn-RS"/>
              </w:rPr>
            </w:pPr>
            <w:r w:rsidRPr="00E53931">
              <w:rPr>
                <w:sz w:val="22"/>
                <w:szCs w:val="22"/>
                <w:lang w:val="sr-Latn-RS" w:eastAsia="sr-Latn-RS"/>
              </w:rPr>
              <w:t>2.</w:t>
            </w:r>
          </w:p>
        </w:tc>
        <w:tc>
          <w:tcPr>
            <w:tcW w:w="6012" w:type="dxa"/>
            <w:tcBorders>
              <w:top w:val="nil"/>
              <w:left w:val="nil"/>
              <w:bottom w:val="nil"/>
              <w:right w:val="nil"/>
            </w:tcBorders>
            <w:shd w:val="clear" w:color="auto" w:fill="auto"/>
            <w:noWrap/>
            <w:vAlign w:val="bottom"/>
            <w:hideMark/>
          </w:tcPr>
          <w:p w14:paraId="4A8A56DE" w14:textId="77777777" w:rsidR="00E53931" w:rsidRPr="00E53931" w:rsidRDefault="00E53931" w:rsidP="00E53931">
            <w:pPr>
              <w:ind w:left="0" w:right="0" w:firstLine="0"/>
              <w:jc w:val="left"/>
              <w:rPr>
                <w:sz w:val="22"/>
                <w:szCs w:val="22"/>
                <w:lang w:val="sr-Latn-RS" w:eastAsia="sr-Latn-RS"/>
              </w:rPr>
            </w:pPr>
            <w:proofErr w:type="spellStart"/>
            <w:r w:rsidRPr="00E53931">
              <w:rPr>
                <w:sz w:val="22"/>
                <w:szCs w:val="22"/>
                <w:lang w:val="sr-Latn-RS" w:eastAsia="sr-Latn-RS"/>
              </w:rPr>
              <w:t>Примици</w:t>
            </w:r>
            <w:proofErr w:type="spellEnd"/>
            <w:r w:rsidRPr="00E53931">
              <w:rPr>
                <w:sz w:val="22"/>
                <w:szCs w:val="22"/>
                <w:lang w:val="sr-Latn-RS" w:eastAsia="sr-Latn-RS"/>
              </w:rPr>
              <w:t xml:space="preserve"> </w:t>
            </w:r>
            <w:proofErr w:type="spellStart"/>
            <w:r w:rsidRPr="00E53931">
              <w:rPr>
                <w:sz w:val="22"/>
                <w:szCs w:val="22"/>
                <w:lang w:val="sr-Latn-RS" w:eastAsia="sr-Latn-RS"/>
              </w:rPr>
              <w:t>за</w:t>
            </w:r>
            <w:proofErr w:type="spellEnd"/>
            <w:r w:rsidRPr="00E53931">
              <w:rPr>
                <w:sz w:val="22"/>
                <w:szCs w:val="22"/>
                <w:lang w:val="sr-Latn-RS" w:eastAsia="sr-Latn-RS"/>
              </w:rPr>
              <w:t xml:space="preserve"> </w:t>
            </w:r>
            <w:proofErr w:type="spellStart"/>
            <w:r w:rsidRPr="00E53931">
              <w:rPr>
                <w:sz w:val="22"/>
                <w:szCs w:val="22"/>
                <w:lang w:val="sr-Latn-RS" w:eastAsia="sr-Latn-RS"/>
              </w:rPr>
              <w:t>нефинансијску</w:t>
            </w:r>
            <w:proofErr w:type="spellEnd"/>
            <w:r w:rsidRPr="00E53931">
              <w:rPr>
                <w:sz w:val="22"/>
                <w:szCs w:val="22"/>
                <w:lang w:val="sr-Latn-RS" w:eastAsia="sr-Latn-RS"/>
              </w:rPr>
              <w:t xml:space="preserve"> </w:t>
            </w:r>
            <w:proofErr w:type="spellStart"/>
            <w:r w:rsidRPr="00E53931">
              <w:rPr>
                <w:sz w:val="22"/>
                <w:szCs w:val="22"/>
                <w:lang w:val="sr-Latn-RS" w:eastAsia="sr-Latn-RS"/>
              </w:rPr>
              <w:t>имовину</w:t>
            </w:r>
            <w:proofErr w:type="spellEnd"/>
          </w:p>
        </w:tc>
        <w:tc>
          <w:tcPr>
            <w:tcW w:w="1655" w:type="dxa"/>
            <w:tcBorders>
              <w:top w:val="nil"/>
              <w:left w:val="nil"/>
              <w:bottom w:val="nil"/>
              <w:right w:val="nil"/>
            </w:tcBorders>
            <w:shd w:val="clear" w:color="auto" w:fill="auto"/>
            <w:noWrap/>
            <w:vAlign w:val="bottom"/>
            <w:hideMark/>
          </w:tcPr>
          <w:p w14:paraId="38336F85" w14:textId="77777777" w:rsidR="00E53931" w:rsidRPr="00E53931" w:rsidRDefault="00E53931" w:rsidP="00E53931">
            <w:pPr>
              <w:ind w:left="0" w:right="0" w:firstLine="0"/>
              <w:jc w:val="right"/>
              <w:rPr>
                <w:sz w:val="22"/>
                <w:szCs w:val="22"/>
                <w:lang w:val="sr-Latn-RS" w:eastAsia="sr-Latn-RS"/>
              </w:rPr>
            </w:pPr>
            <w:r w:rsidRPr="00E53931">
              <w:rPr>
                <w:sz w:val="22"/>
                <w:szCs w:val="22"/>
                <w:lang w:val="sr-Latn-RS" w:eastAsia="sr-Latn-RS"/>
              </w:rPr>
              <w:t>1.576.500,00</w:t>
            </w:r>
          </w:p>
        </w:tc>
        <w:tc>
          <w:tcPr>
            <w:tcW w:w="1597" w:type="dxa"/>
            <w:tcBorders>
              <w:top w:val="nil"/>
              <w:left w:val="nil"/>
              <w:bottom w:val="nil"/>
              <w:right w:val="nil"/>
            </w:tcBorders>
            <w:shd w:val="clear" w:color="auto" w:fill="auto"/>
            <w:noWrap/>
            <w:vAlign w:val="bottom"/>
            <w:hideMark/>
          </w:tcPr>
          <w:p w14:paraId="284A183C" w14:textId="77777777" w:rsidR="00E53931" w:rsidRPr="00E53931" w:rsidRDefault="00E53931" w:rsidP="00E53931">
            <w:pPr>
              <w:ind w:left="0" w:right="0" w:firstLine="0"/>
              <w:jc w:val="right"/>
              <w:rPr>
                <w:sz w:val="22"/>
                <w:szCs w:val="22"/>
                <w:lang w:val="sr-Latn-RS" w:eastAsia="sr-Latn-RS"/>
              </w:rPr>
            </w:pPr>
            <w:r w:rsidRPr="00E53931">
              <w:rPr>
                <w:sz w:val="22"/>
                <w:szCs w:val="22"/>
                <w:lang w:val="sr-Latn-RS" w:eastAsia="sr-Latn-RS"/>
              </w:rPr>
              <w:t>140.413,11</w:t>
            </w:r>
          </w:p>
        </w:tc>
        <w:tc>
          <w:tcPr>
            <w:tcW w:w="1014" w:type="dxa"/>
            <w:tcBorders>
              <w:top w:val="nil"/>
              <w:left w:val="nil"/>
              <w:bottom w:val="nil"/>
              <w:right w:val="nil"/>
            </w:tcBorders>
            <w:shd w:val="clear" w:color="auto" w:fill="auto"/>
            <w:noWrap/>
            <w:vAlign w:val="center"/>
            <w:hideMark/>
          </w:tcPr>
          <w:p w14:paraId="3D90843F" w14:textId="77777777" w:rsidR="00E53931" w:rsidRPr="00E53931" w:rsidRDefault="00E53931" w:rsidP="00E53931">
            <w:pPr>
              <w:ind w:left="0" w:right="0" w:firstLine="0"/>
              <w:jc w:val="right"/>
              <w:rPr>
                <w:sz w:val="22"/>
                <w:szCs w:val="22"/>
                <w:lang w:val="sr-Latn-RS" w:eastAsia="sr-Latn-RS"/>
              </w:rPr>
            </w:pPr>
            <w:r w:rsidRPr="00E53931">
              <w:rPr>
                <w:sz w:val="22"/>
                <w:szCs w:val="22"/>
                <w:lang w:val="sr-Latn-RS" w:eastAsia="sr-Latn-RS"/>
              </w:rPr>
              <w:t>8,91</w:t>
            </w:r>
          </w:p>
        </w:tc>
      </w:tr>
      <w:tr w:rsidR="00E53931" w:rsidRPr="00E53931" w14:paraId="64F16DFB" w14:textId="77777777" w:rsidTr="00901BE1">
        <w:trPr>
          <w:trHeight w:val="315"/>
        </w:trPr>
        <w:tc>
          <w:tcPr>
            <w:tcW w:w="651" w:type="dxa"/>
            <w:tcBorders>
              <w:top w:val="nil"/>
              <w:left w:val="nil"/>
              <w:bottom w:val="nil"/>
              <w:right w:val="nil"/>
            </w:tcBorders>
            <w:shd w:val="clear" w:color="auto" w:fill="auto"/>
            <w:noWrap/>
            <w:vAlign w:val="center"/>
            <w:hideMark/>
          </w:tcPr>
          <w:p w14:paraId="462ECB79" w14:textId="77777777" w:rsidR="00E53931" w:rsidRPr="00E53931" w:rsidRDefault="00E53931" w:rsidP="00E53931">
            <w:pPr>
              <w:ind w:left="0" w:right="0" w:firstLine="0"/>
              <w:jc w:val="center"/>
              <w:rPr>
                <w:sz w:val="22"/>
                <w:szCs w:val="22"/>
                <w:lang w:val="sr-Latn-RS" w:eastAsia="sr-Latn-RS"/>
              </w:rPr>
            </w:pPr>
            <w:r w:rsidRPr="00E53931">
              <w:rPr>
                <w:sz w:val="22"/>
                <w:szCs w:val="22"/>
                <w:lang w:val="sr-Latn-RS" w:eastAsia="sr-Latn-RS"/>
              </w:rPr>
              <w:t>3.</w:t>
            </w:r>
          </w:p>
        </w:tc>
        <w:tc>
          <w:tcPr>
            <w:tcW w:w="6012" w:type="dxa"/>
            <w:tcBorders>
              <w:top w:val="nil"/>
              <w:left w:val="nil"/>
              <w:bottom w:val="nil"/>
              <w:right w:val="nil"/>
            </w:tcBorders>
            <w:shd w:val="clear" w:color="auto" w:fill="auto"/>
            <w:noWrap/>
            <w:vAlign w:val="bottom"/>
            <w:hideMark/>
          </w:tcPr>
          <w:p w14:paraId="0C40C30B" w14:textId="77777777" w:rsidR="00E53931" w:rsidRPr="00E53931" w:rsidRDefault="00E53931" w:rsidP="00E53931">
            <w:pPr>
              <w:ind w:left="0" w:right="0" w:firstLine="0"/>
              <w:jc w:val="left"/>
              <w:rPr>
                <w:sz w:val="22"/>
                <w:szCs w:val="22"/>
                <w:lang w:val="sr-Latn-RS" w:eastAsia="sr-Latn-RS"/>
              </w:rPr>
            </w:pPr>
            <w:proofErr w:type="spellStart"/>
            <w:r w:rsidRPr="00E53931">
              <w:rPr>
                <w:sz w:val="22"/>
                <w:szCs w:val="22"/>
                <w:lang w:val="sr-Latn-RS" w:eastAsia="sr-Latn-RS"/>
              </w:rPr>
              <w:t>Примици</w:t>
            </w:r>
            <w:proofErr w:type="spellEnd"/>
            <w:r w:rsidRPr="00E53931">
              <w:rPr>
                <w:sz w:val="22"/>
                <w:szCs w:val="22"/>
                <w:lang w:val="sr-Latn-RS" w:eastAsia="sr-Latn-RS"/>
              </w:rPr>
              <w:t xml:space="preserve"> </w:t>
            </w:r>
            <w:proofErr w:type="spellStart"/>
            <w:r w:rsidRPr="00E53931">
              <w:rPr>
                <w:sz w:val="22"/>
                <w:szCs w:val="22"/>
                <w:lang w:val="sr-Latn-RS" w:eastAsia="sr-Latn-RS"/>
              </w:rPr>
              <w:t>од</w:t>
            </w:r>
            <w:proofErr w:type="spellEnd"/>
            <w:r w:rsidRPr="00E53931">
              <w:rPr>
                <w:sz w:val="22"/>
                <w:szCs w:val="22"/>
                <w:lang w:val="sr-Latn-RS" w:eastAsia="sr-Latn-RS"/>
              </w:rPr>
              <w:t xml:space="preserve"> </w:t>
            </w:r>
            <w:proofErr w:type="spellStart"/>
            <w:r w:rsidRPr="00E53931">
              <w:rPr>
                <w:sz w:val="22"/>
                <w:szCs w:val="22"/>
                <w:lang w:val="sr-Latn-RS" w:eastAsia="sr-Latn-RS"/>
              </w:rPr>
              <w:t>финансијске</w:t>
            </w:r>
            <w:proofErr w:type="spellEnd"/>
            <w:r w:rsidRPr="00E53931">
              <w:rPr>
                <w:sz w:val="22"/>
                <w:szCs w:val="22"/>
                <w:lang w:val="sr-Latn-RS" w:eastAsia="sr-Latn-RS"/>
              </w:rPr>
              <w:t xml:space="preserve"> </w:t>
            </w:r>
            <w:proofErr w:type="spellStart"/>
            <w:r w:rsidRPr="00E53931">
              <w:rPr>
                <w:sz w:val="22"/>
                <w:szCs w:val="22"/>
                <w:lang w:val="sr-Latn-RS" w:eastAsia="sr-Latn-RS"/>
              </w:rPr>
              <w:t>имовине</w:t>
            </w:r>
            <w:proofErr w:type="spellEnd"/>
          </w:p>
        </w:tc>
        <w:tc>
          <w:tcPr>
            <w:tcW w:w="1655" w:type="dxa"/>
            <w:tcBorders>
              <w:top w:val="nil"/>
              <w:left w:val="nil"/>
              <w:bottom w:val="nil"/>
              <w:right w:val="nil"/>
            </w:tcBorders>
            <w:shd w:val="clear" w:color="auto" w:fill="auto"/>
            <w:noWrap/>
            <w:vAlign w:val="bottom"/>
            <w:hideMark/>
          </w:tcPr>
          <w:p w14:paraId="2B87278F" w14:textId="77777777" w:rsidR="00E53931" w:rsidRPr="00E53931" w:rsidRDefault="00E53931" w:rsidP="00E53931">
            <w:pPr>
              <w:ind w:left="0" w:right="0" w:firstLine="0"/>
              <w:jc w:val="right"/>
              <w:rPr>
                <w:sz w:val="22"/>
                <w:szCs w:val="22"/>
                <w:lang w:val="sr-Latn-RS" w:eastAsia="sr-Latn-RS"/>
              </w:rPr>
            </w:pPr>
            <w:r w:rsidRPr="00E53931">
              <w:rPr>
                <w:sz w:val="22"/>
                <w:szCs w:val="22"/>
                <w:lang w:val="sr-Latn-RS" w:eastAsia="sr-Latn-RS"/>
              </w:rPr>
              <w:t>70.396,00</w:t>
            </w:r>
          </w:p>
        </w:tc>
        <w:tc>
          <w:tcPr>
            <w:tcW w:w="1597" w:type="dxa"/>
            <w:tcBorders>
              <w:top w:val="nil"/>
              <w:left w:val="nil"/>
              <w:bottom w:val="nil"/>
              <w:right w:val="nil"/>
            </w:tcBorders>
            <w:shd w:val="clear" w:color="auto" w:fill="auto"/>
            <w:noWrap/>
            <w:vAlign w:val="bottom"/>
            <w:hideMark/>
          </w:tcPr>
          <w:p w14:paraId="7B055304" w14:textId="77777777" w:rsidR="00E53931" w:rsidRPr="00E53931" w:rsidRDefault="00E53931" w:rsidP="00E53931">
            <w:pPr>
              <w:ind w:left="0" w:right="0" w:firstLine="0"/>
              <w:jc w:val="right"/>
              <w:rPr>
                <w:sz w:val="22"/>
                <w:szCs w:val="22"/>
                <w:lang w:val="sr-Latn-RS" w:eastAsia="sr-Latn-RS"/>
              </w:rPr>
            </w:pPr>
            <w:r w:rsidRPr="00E53931">
              <w:rPr>
                <w:sz w:val="22"/>
                <w:szCs w:val="22"/>
                <w:lang w:val="sr-Latn-RS" w:eastAsia="sr-Latn-RS"/>
              </w:rPr>
              <w:t>70.577,58</w:t>
            </w:r>
          </w:p>
        </w:tc>
        <w:tc>
          <w:tcPr>
            <w:tcW w:w="1014" w:type="dxa"/>
            <w:tcBorders>
              <w:top w:val="nil"/>
              <w:left w:val="nil"/>
              <w:bottom w:val="nil"/>
              <w:right w:val="nil"/>
            </w:tcBorders>
            <w:shd w:val="clear" w:color="auto" w:fill="auto"/>
            <w:noWrap/>
            <w:vAlign w:val="center"/>
            <w:hideMark/>
          </w:tcPr>
          <w:p w14:paraId="164EB7E4" w14:textId="77777777" w:rsidR="00E53931" w:rsidRPr="00E53931" w:rsidRDefault="00E53931" w:rsidP="00E53931">
            <w:pPr>
              <w:ind w:left="0" w:right="0" w:firstLine="0"/>
              <w:jc w:val="right"/>
              <w:rPr>
                <w:sz w:val="22"/>
                <w:szCs w:val="22"/>
                <w:lang w:val="sr-Latn-RS" w:eastAsia="sr-Latn-RS"/>
              </w:rPr>
            </w:pPr>
            <w:r w:rsidRPr="00E53931">
              <w:rPr>
                <w:sz w:val="22"/>
                <w:szCs w:val="22"/>
                <w:lang w:val="sr-Latn-RS" w:eastAsia="sr-Latn-RS"/>
              </w:rPr>
              <w:t>0,00</w:t>
            </w:r>
          </w:p>
        </w:tc>
      </w:tr>
      <w:tr w:rsidR="00E53931" w:rsidRPr="00E53931" w14:paraId="5FD94B7E" w14:textId="77777777" w:rsidTr="00901BE1">
        <w:trPr>
          <w:trHeight w:val="315"/>
        </w:trPr>
        <w:tc>
          <w:tcPr>
            <w:tcW w:w="651" w:type="dxa"/>
            <w:tcBorders>
              <w:top w:val="nil"/>
              <w:left w:val="nil"/>
              <w:bottom w:val="nil"/>
              <w:right w:val="nil"/>
            </w:tcBorders>
            <w:shd w:val="clear" w:color="auto" w:fill="auto"/>
            <w:noWrap/>
            <w:vAlign w:val="center"/>
            <w:hideMark/>
          </w:tcPr>
          <w:p w14:paraId="1D153351" w14:textId="77777777" w:rsidR="00E53931" w:rsidRPr="00E53931" w:rsidRDefault="00E53931" w:rsidP="00E53931">
            <w:pPr>
              <w:ind w:left="0" w:right="0" w:firstLine="0"/>
              <w:jc w:val="center"/>
              <w:rPr>
                <w:sz w:val="22"/>
                <w:szCs w:val="22"/>
                <w:lang w:val="sr-Latn-RS" w:eastAsia="sr-Latn-RS"/>
              </w:rPr>
            </w:pPr>
            <w:r w:rsidRPr="00E53931">
              <w:rPr>
                <w:sz w:val="22"/>
                <w:szCs w:val="22"/>
                <w:lang w:val="sr-Latn-RS" w:eastAsia="sr-Latn-RS"/>
              </w:rPr>
              <w:t>4.</w:t>
            </w:r>
          </w:p>
        </w:tc>
        <w:tc>
          <w:tcPr>
            <w:tcW w:w="6012" w:type="dxa"/>
            <w:tcBorders>
              <w:top w:val="nil"/>
              <w:left w:val="nil"/>
              <w:bottom w:val="nil"/>
              <w:right w:val="nil"/>
            </w:tcBorders>
            <w:shd w:val="clear" w:color="auto" w:fill="auto"/>
            <w:noWrap/>
            <w:vAlign w:val="bottom"/>
            <w:hideMark/>
          </w:tcPr>
          <w:p w14:paraId="515E6AF0" w14:textId="77777777" w:rsidR="00E53931" w:rsidRPr="00E53931" w:rsidRDefault="00E53931" w:rsidP="00E53931">
            <w:pPr>
              <w:ind w:left="0" w:right="0" w:firstLine="0"/>
              <w:jc w:val="left"/>
              <w:rPr>
                <w:sz w:val="22"/>
                <w:szCs w:val="22"/>
                <w:lang w:val="sr-Latn-RS" w:eastAsia="sr-Latn-RS"/>
              </w:rPr>
            </w:pPr>
            <w:proofErr w:type="spellStart"/>
            <w:r w:rsidRPr="00E53931">
              <w:rPr>
                <w:sz w:val="22"/>
                <w:szCs w:val="22"/>
                <w:lang w:val="sr-Latn-RS" w:eastAsia="sr-Latn-RS"/>
              </w:rPr>
              <w:t>Остали</w:t>
            </w:r>
            <w:proofErr w:type="spellEnd"/>
            <w:r w:rsidRPr="00E53931">
              <w:rPr>
                <w:sz w:val="22"/>
                <w:szCs w:val="22"/>
                <w:lang w:val="sr-Latn-RS" w:eastAsia="sr-Latn-RS"/>
              </w:rPr>
              <w:t xml:space="preserve"> </w:t>
            </w:r>
            <w:proofErr w:type="spellStart"/>
            <w:r w:rsidRPr="00E53931">
              <w:rPr>
                <w:sz w:val="22"/>
                <w:szCs w:val="22"/>
                <w:lang w:val="sr-Latn-RS" w:eastAsia="sr-Latn-RS"/>
              </w:rPr>
              <w:t>примици</w:t>
            </w:r>
            <w:proofErr w:type="spellEnd"/>
          </w:p>
        </w:tc>
        <w:tc>
          <w:tcPr>
            <w:tcW w:w="1655" w:type="dxa"/>
            <w:tcBorders>
              <w:top w:val="nil"/>
              <w:left w:val="nil"/>
              <w:bottom w:val="nil"/>
              <w:right w:val="nil"/>
            </w:tcBorders>
            <w:shd w:val="clear" w:color="auto" w:fill="auto"/>
            <w:noWrap/>
            <w:vAlign w:val="bottom"/>
            <w:hideMark/>
          </w:tcPr>
          <w:p w14:paraId="2E396217" w14:textId="77777777" w:rsidR="00E53931" w:rsidRPr="00E53931" w:rsidRDefault="00E53931" w:rsidP="00E53931">
            <w:pPr>
              <w:ind w:left="0" w:right="0" w:firstLine="0"/>
              <w:jc w:val="right"/>
              <w:rPr>
                <w:sz w:val="22"/>
                <w:szCs w:val="22"/>
                <w:lang w:val="sr-Latn-RS" w:eastAsia="sr-Latn-RS"/>
              </w:rPr>
            </w:pPr>
            <w:r w:rsidRPr="00E53931">
              <w:rPr>
                <w:sz w:val="22"/>
                <w:szCs w:val="22"/>
                <w:lang w:val="sr-Latn-RS" w:eastAsia="sr-Latn-RS"/>
              </w:rPr>
              <w:t>161.264,00</w:t>
            </w:r>
          </w:p>
        </w:tc>
        <w:tc>
          <w:tcPr>
            <w:tcW w:w="1597" w:type="dxa"/>
            <w:tcBorders>
              <w:top w:val="nil"/>
              <w:left w:val="nil"/>
              <w:bottom w:val="nil"/>
              <w:right w:val="nil"/>
            </w:tcBorders>
            <w:shd w:val="clear" w:color="auto" w:fill="auto"/>
            <w:noWrap/>
            <w:vAlign w:val="bottom"/>
            <w:hideMark/>
          </w:tcPr>
          <w:p w14:paraId="6A74CB38" w14:textId="77777777" w:rsidR="00E53931" w:rsidRPr="00E53931" w:rsidRDefault="00E53931" w:rsidP="00E53931">
            <w:pPr>
              <w:ind w:left="0" w:right="0" w:firstLine="0"/>
              <w:jc w:val="right"/>
              <w:rPr>
                <w:sz w:val="22"/>
                <w:szCs w:val="22"/>
                <w:lang w:val="sr-Latn-RS" w:eastAsia="sr-Latn-RS"/>
              </w:rPr>
            </w:pPr>
            <w:r w:rsidRPr="00E53931">
              <w:rPr>
                <w:sz w:val="22"/>
                <w:szCs w:val="22"/>
                <w:lang w:val="sr-Latn-RS" w:eastAsia="sr-Latn-RS"/>
              </w:rPr>
              <w:t>1.239.276,81</w:t>
            </w:r>
          </w:p>
        </w:tc>
        <w:tc>
          <w:tcPr>
            <w:tcW w:w="1014" w:type="dxa"/>
            <w:tcBorders>
              <w:top w:val="nil"/>
              <w:left w:val="nil"/>
              <w:bottom w:val="nil"/>
              <w:right w:val="nil"/>
            </w:tcBorders>
            <w:shd w:val="clear" w:color="auto" w:fill="auto"/>
            <w:noWrap/>
            <w:vAlign w:val="center"/>
            <w:hideMark/>
          </w:tcPr>
          <w:p w14:paraId="1DA50C65" w14:textId="77777777" w:rsidR="00E53931" w:rsidRPr="00E53931" w:rsidRDefault="00E53931" w:rsidP="00E53931">
            <w:pPr>
              <w:ind w:left="0" w:right="0" w:firstLine="0"/>
              <w:jc w:val="right"/>
              <w:rPr>
                <w:sz w:val="22"/>
                <w:szCs w:val="22"/>
                <w:lang w:val="sr-Latn-RS" w:eastAsia="sr-Latn-RS"/>
              </w:rPr>
            </w:pPr>
            <w:r w:rsidRPr="00E53931">
              <w:rPr>
                <w:sz w:val="22"/>
                <w:szCs w:val="22"/>
                <w:lang w:val="sr-Latn-RS" w:eastAsia="sr-Latn-RS"/>
              </w:rPr>
              <w:t>768,48</w:t>
            </w:r>
          </w:p>
        </w:tc>
      </w:tr>
      <w:tr w:rsidR="00E53931" w:rsidRPr="00E53931" w14:paraId="568892A6" w14:textId="77777777" w:rsidTr="00901BE1">
        <w:trPr>
          <w:trHeight w:val="315"/>
        </w:trPr>
        <w:tc>
          <w:tcPr>
            <w:tcW w:w="651" w:type="dxa"/>
            <w:tcBorders>
              <w:top w:val="nil"/>
              <w:left w:val="nil"/>
              <w:bottom w:val="nil"/>
              <w:right w:val="nil"/>
            </w:tcBorders>
            <w:shd w:val="clear" w:color="auto" w:fill="auto"/>
            <w:noWrap/>
            <w:vAlign w:val="center"/>
            <w:hideMark/>
          </w:tcPr>
          <w:p w14:paraId="2E320195" w14:textId="77777777" w:rsidR="00E53931" w:rsidRPr="00E53931" w:rsidRDefault="00E53931" w:rsidP="00E53931">
            <w:pPr>
              <w:ind w:left="0" w:right="0" w:firstLine="0"/>
              <w:jc w:val="center"/>
              <w:rPr>
                <w:sz w:val="22"/>
                <w:szCs w:val="22"/>
                <w:lang w:val="sr-Latn-RS" w:eastAsia="sr-Latn-RS"/>
              </w:rPr>
            </w:pPr>
            <w:r w:rsidRPr="00E53931">
              <w:rPr>
                <w:sz w:val="22"/>
                <w:szCs w:val="22"/>
                <w:lang w:val="sr-Latn-RS" w:eastAsia="sr-Latn-RS"/>
              </w:rPr>
              <w:t>5.</w:t>
            </w:r>
          </w:p>
        </w:tc>
        <w:tc>
          <w:tcPr>
            <w:tcW w:w="6012" w:type="dxa"/>
            <w:tcBorders>
              <w:top w:val="nil"/>
              <w:left w:val="nil"/>
              <w:bottom w:val="nil"/>
              <w:right w:val="nil"/>
            </w:tcBorders>
            <w:shd w:val="clear" w:color="auto" w:fill="auto"/>
            <w:noWrap/>
            <w:vAlign w:val="bottom"/>
            <w:hideMark/>
          </w:tcPr>
          <w:p w14:paraId="4F737EAE" w14:textId="77777777" w:rsidR="00E53931" w:rsidRPr="00E53931" w:rsidRDefault="00E53931" w:rsidP="00E53931">
            <w:pPr>
              <w:ind w:left="0" w:right="0" w:firstLine="0"/>
              <w:jc w:val="left"/>
              <w:rPr>
                <w:sz w:val="22"/>
                <w:szCs w:val="22"/>
                <w:lang w:val="sr-Latn-RS" w:eastAsia="sr-Latn-RS"/>
              </w:rPr>
            </w:pPr>
            <w:proofErr w:type="spellStart"/>
            <w:r w:rsidRPr="00E53931">
              <w:rPr>
                <w:sz w:val="22"/>
                <w:szCs w:val="22"/>
                <w:lang w:val="sr-Latn-RS" w:eastAsia="sr-Latn-RS"/>
              </w:rPr>
              <w:t>Расподјела</w:t>
            </w:r>
            <w:proofErr w:type="spellEnd"/>
            <w:r w:rsidRPr="00E53931">
              <w:rPr>
                <w:sz w:val="22"/>
                <w:szCs w:val="22"/>
                <w:lang w:val="sr-Latn-RS" w:eastAsia="sr-Latn-RS"/>
              </w:rPr>
              <w:t xml:space="preserve"> </w:t>
            </w:r>
            <w:proofErr w:type="spellStart"/>
            <w:r w:rsidRPr="00E53931">
              <w:rPr>
                <w:sz w:val="22"/>
                <w:szCs w:val="22"/>
                <w:lang w:val="sr-Latn-RS" w:eastAsia="sr-Latn-RS"/>
              </w:rPr>
              <w:t>суфицита</w:t>
            </w:r>
            <w:proofErr w:type="spellEnd"/>
            <w:r w:rsidRPr="00E53931">
              <w:rPr>
                <w:sz w:val="22"/>
                <w:szCs w:val="22"/>
                <w:lang w:val="sr-Latn-RS" w:eastAsia="sr-Latn-RS"/>
              </w:rPr>
              <w:t xml:space="preserve"> </w:t>
            </w:r>
            <w:proofErr w:type="spellStart"/>
            <w:r w:rsidRPr="00E53931">
              <w:rPr>
                <w:sz w:val="22"/>
                <w:szCs w:val="22"/>
                <w:lang w:val="sr-Latn-RS" w:eastAsia="sr-Latn-RS"/>
              </w:rPr>
              <w:t>из</w:t>
            </w:r>
            <w:proofErr w:type="spellEnd"/>
            <w:r w:rsidRPr="00E53931">
              <w:rPr>
                <w:sz w:val="22"/>
                <w:szCs w:val="22"/>
                <w:lang w:val="sr-Latn-RS" w:eastAsia="sr-Latn-RS"/>
              </w:rPr>
              <w:t xml:space="preserve"> </w:t>
            </w:r>
            <w:proofErr w:type="spellStart"/>
            <w:r w:rsidRPr="00E53931">
              <w:rPr>
                <w:sz w:val="22"/>
                <w:szCs w:val="22"/>
                <w:lang w:val="sr-Latn-RS" w:eastAsia="sr-Latn-RS"/>
              </w:rPr>
              <w:t>ранијих</w:t>
            </w:r>
            <w:proofErr w:type="spellEnd"/>
            <w:r w:rsidRPr="00E53931">
              <w:rPr>
                <w:sz w:val="22"/>
                <w:szCs w:val="22"/>
                <w:lang w:val="sr-Latn-RS" w:eastAsia="sr-Latn-RS"/>
              </w:rPr>
              <w:t xml:space="preserve"> </w:t>
            </w:r>
            <w:proofErr w:type="spellStart"/>
            <w:r w:rsidRPr="00E53931">
              <w:rPr>
                <w:sz w:val="22"/>
                <w:szCs w:val="22"/>
                <w:lang w:val="sr-Latn-RS" w:eastAsia="sr-Latn-RS"/>
              </w:rPr>
              <w:t>периода</w:t>
            </w:r>
            <w:proofErr w:type="spellEnd"/>
          </w:p>
        </w:tc>
        <w:tc>
          <w:tcPr>
            <w:tcW w:w="1655" w:type="dxa"/>
            <w:tcBorders>
              <w:top w:val="nil"/>
              <w:left w:val="nil"/>
              <w:bottom w:val="nil"/>
              <w:right w:val="nil"/>
            </w:tcBorders>
            <w:shd w:val="clear" w:color="auto" w:fill="auto"/>
            <w:noWrap/>
            <w:vAlign w:val="bottom"/>
            <w:hideMark/>
          </w:tcPr>
          <w:p w14:paraId="1CCFB2FA" w14:textId="77777777" w:rsidR="00E53931" w:rsidRPr="00E53931" w:rsidRDefault="00E53931" w:rsidP="00E53931">
            <w:pPr>
              <w:ind w:left="0" w:right="0" w:firstLine="0"/>
              <w:jc w:val="right"/>
              <w:rPr>
                <w:sz w:val="22"/>
                <w:szCs w:val="22"/>
                <w:lang w:val="sr-Latn-RS" w:eastAsia="sr-Latn-RS"/>
              </w:rPr>
            </w:pPr>
            <w:r w:rsidRPr="00E53931">
              <w:rPr>
                <w:sz w:val="22"/>
                <w:szCs w:val="22"/>
                <w:lang w:val="sr-Latn-RS" w:eastAsia="sr-Latn-RS"/>
              </w:rPr>
              <w:t>203.082,00</w:t>
            </w:r>
          </w:p>
        </w:tc>
        <w:tc>
          <w:tcPr>
            <w:tcW w:w="1597" w:type="dxa"/>
            <w:tcBorders>
              <w:top w:val="nil"/>
              <w:left w:val="nil"/>
              <w:bottom w:val="nil"/>
              <w:right w:val="nil"/>
            </w:tcBorders>
            <w:shd w:val="clear" w:color="auto" w:fill="auto"/>
            <w:noWrap/>
            <w:vAlign w:val="bottom"/>
            <w:hideMark/>
          </w:tcPr>
          <w:p w14:paraId="6711EB86" w14:textId="77777777" w:rsidR="00E53931" w:rsidRPr="00E53931" w:rsidRDefault="00E53931" w:rsidP="00E53931">
            <w:pPr>
              <w:ind w:left="0" w:right="0" w:firstLine="0"/>
              <w:jc w:val="right"/>
              <w:rPr>
                <w:sz w:val="22"/>
                <w:szCs w:val="22"/>
                <w:lang w:val="sr-Latn-RS" w:eastAsia="sr-Latn-RS"/>
              </w:rPr>
            </w:pPr>
            <w:r w:rsidRPr="00E53931">
              <w:rPr>
                <w:sz w:val="22"/>
                <w:szCs w:val="22"/>
                <w:lang w:val="sr-Latn-RS" w:eastAsia="sr-Latn-RS"/>
              </w:rPr>
              <w:t>203.081,97</w:t>
            </w:r>
          </w:p>
        </w:tc>
        <w:tc>
          <w:tcPr>
            <w:tcW w:w="1014" w:type="dxa"/>
            <w:tcBorders>
              <w:top w:val="nil"/>
              <w:left w:val="nil"/>
              <w:bottom w:val="nil"/>
              <w:right w:val="nil"/>
            </w:tcBorders>
            <w:shd w:val="clear" w:color="auto" w:fill="auto"/>
            <w:noWrap/>
            <w:vAlign w:val="center"/>
            <w:hideMark/>
          </w:tcPr>
          <w:p w14:paraId="35855131" w14:textId="77777777" w:rsidR="00E53931" w:rsidRPr="00E53931" w:rsidRDefault="00E53931" w:rsidP="00E53931">
            <w:pPr>
              <w:ind w:left="0" w:right="0" w:firstLine="0"/>
              <w:jc w:val="right"/>
              <w:rPr>
                <w:sz w:val="22"/>
                <w:szCs w:val="22"/>
                <w:lang w:val="sr-Latn-RS" w:eastAsia="sr-Latn-RS"/>
              </w:rPr>
            </w:pPr>
            <w:r w:rsidRPr="00E53931">
              <w:rPr>
                <w:sz w:val="22"/>
                <w:szCs w:val="22"/>
                <w:lang w:val="sr-Latn-RS" w:eastAsia="sr-Latn-RS"/>
              </w:rPr>
              <w:t>100,00</w:t>
            </w:r>
          </w:p>
        </w:tc>
      </w:tr>
      <w:tr w:rsidR="00E53931" w:rsidRPr="00E53931" w14:paraId="4E4BAD8C" w14:textId="77777777" w:rsidTr="00901BE1">
        <w:trPr>
          <w:trHeight w:val="315"/>
        </w:trPr>
        <w:tc>
          <w:tcPr>
            <w:tcW w:w="651" w:type="dxa"/>
            <w:tcBorders>
              <w:top w:val="nil"/>
              <w:left w:val="nil"/>
              <w:bottom w:val="nil"/>
              <w:right w:val="nil"/>
            </w:tcBorders>
            <w:shd w:val="clear" w:color="auto" w:fill="auto"/>
            <w:noWrap/>
            <w:vAlign w:val="center"/>
            <w:hideMark/>
          </w:tcPr>
          <w:p w14:paraId="506EDFF1" w14:textId="77777777" w:rsidR="00E53931" w:rsidRPr="00E53931" w:rsidRDefault="00E53931" w:rsidP="00E53931">
            <w:pPr>
              <w:ind w:left="0" w:right="0" w:firstLine="0"/>
              <w:jc w:val="center"/>
              <w:rPr>
                <w:b/>
                <w:bCs/>
                <w:sz w:val="22"/>
                <w:szCs w:val="22"/>
                <w:lang w:val="sr-Latn-RS" w:eastAsia="sr-Latn-RS"/>
              </w:rPr>
            </w:pPr>
            <w:r w:rsidRPr="00E53931">
              <w:rPr>
                <w:b/>
                <w:bCs/>
                <w:sz w:val="22"/>
                <w:szCs w:val="22"/>
                <w:lang w:val="sr-Latn-RS" w:eastAsia="sr-Latn-RS"/>
              </w:rPr>
              <w:t>6.</w:t>
            </w:r>
          </w:p>
        </w:tc>
        <w:tc>
          <w:tcPr>
            <w:tcW w:w="6012" w:type="dxa"/>
            <w:tcBorders>
              <w:top w:val="nil"/>
              <w:left w:val="nil"/>
              <w:bottom w:val="nil"/>
              <w:right w:val="nil"/>
            </w:tcBorders>
            <w:shd w:val="clear" w:color="auto" w:fill="auto"/>
            <w:noWrap/>
            <w:vAlign w:val="center"/>
            <w:hideMark/>
          </w:tcPr>
          <w:p w14:paraId="48920122" w14:textId="77777777" w:rsidR="00E53931" w:rsidRPr="00E53931" w:rsidRDefault="00E53931" w:rsidP="00E53931">
            <w:pPr>
              <w:ind w:left="0" w:right="0" w:firstLine="0"/>
              <w:jc w:val="left"/>
              <w:rPr>
                <w:b/>
                <w:bCs/>
                <w:sz w:val="22"/>
                <w:szCs w:val="22"/>
                <w:lang w:val="sr-Latn-RS" w:eastAsia="sr-Latn-RS"/>
              </w:rPr>
            </w:pPr>
            <w:r w:rsidRPr="00E53931">
              <w:rPr>
                <w:b/>
                <w:bCs/>
                <w:sz w:val="22"/>
                <w:szCs w:val="22"/>
                <w:lang w:val="sr-Latn-RS" w:eastAsia="sr-Latn-RS"/>
              </w:rPr>
              <w:t>УКУПНА БУЏЕТСКА СРЕДСТВА ФОНД 01 (1+2+3+4+5)</w:t>
            </w:r>
          </w:p>
        </w:tc>
        <w:tc>
          <w:tcPr>
            <w:tcW w:w="1655" w:type="dxa"/>
            <w:tcBorders>
              <w:top w:val="nil"/>
              <w:left w:val="nil"/>
              <w:bottom w:val="nil"/>
              <w:right w:val="nil"/>
            </w:tcBorders>
            <w:shd w:val="clear" w:color="auto" w:fill="auto"/>
            <w:noWrap/>
            <w:vAlign w:val="center"/>
            <w:hideMark/>
          </w:tcPr>
          <w:p w14:paraId="2442545D" w14:textId="77777777" w:rsidR="00E53931" w:rsidRPr="00E53931" w:rsidRDefault="00E53931" w:rsidP="00E53931">
            <w:pPr>
              <w:ind w:left="0" w:right="0" w:firstLine="0"/>
              <w:jc w:val="right"/>
              <w:rPr>
                <w:b/>
                <w:bCs/>
                <w:sz w:val="22"/>
                <w:szCs w:val="22"/>
                <w:lang w:val="sr-Latn-RS" w:eastAsia="sr-Latn-RS"/>
              </w:rPr>
            </w:pPr>
            <w:r w:rsidRPr="00E53931">
              <w:rPr>
                <w:b/>
                <w:bCs/>
                <w:sz w:val="22"/>
                <w:szCs w:val="22"/>
                <w:lang w:val="sr-Latn-RS" w:eastAsia="sr-Latn-RS"/>
              </w:rPr>
              <w:t>17.893.300,00</w:t>
            </w:r>
          </w:p>
        </w:tc>
        <w:tc>
          <w:tcPr>
            <w:tcW w:w="1597" w:type="dxa"/>
            <w:tcBorders>
              <w:top w:val="nil"/>
              <w:left w:val="nil"/>
              <w:bottom w:val="nil"/>
              <w:right w:val="nil"/>
            </w:tcBorders>
            <w:shd w:val="clear" w:color="auto" w:fill="auto"/>
            <w:noWrap/>
            <w:vAlign w:val="center"/>
            <w:hideMark/>
          </w:tcPr>
          <w:p w14:paraId="1FAB338D" w14:textId="77777777" w:rsidR="00E53931" w:rsidRPr="00E53931" w:rsidRDefault="00E53931" w:rsidP="00E53931">
            <w:pPr>
              <w:ind w:left="0" w:right="0" w:firstLine="0"/>
              <w:jc w:val="right"/>
              <w:rPr>
                <w:b/>
                <w:bCs/>
                <w:sz w:val="22"/>
                <w:szCs w:val="22"/>
                <w:lang w:val="sr-Latn-RS" w:eastAsia="sr-Latn-RS"/>
              </w:rPr>
            </w:pPr>
            <w:r w:rsidRPr="00E53931">
              <w:rPr>
                <w:b/>
                <w:bCs/>
                <w:sz w:val="22"/>
                <w:szCs w:val="22"/>
                <w:lang w:val="sr-Latn-RS" w:eastAsia="sr-Latn-RS"/>
              </w:rPr>
              <w:t>17.083.678,86</w:t>
            </w:r>
          </w:p>
        </w:tc>
        <w:tc>
          <w:tcPr>
            <w:tcW w:w="1014" w:type="dxa"/>
            <w:tcBorders>
              <w:top w:val="nil"/>
              <w:left w:val="nil"/>
              <w:bottom w:val="nil"/>
              <w:right w:val="nil"/>
            </w:tcBorders>
            <w:shd w:val="clear" w:color="auto" w:fill="auto"/>
            <w:noWrap/>
            <w:vAlign w:val="center"/>
            <w:hideMark/>
          </w:tcPr>
          <w:p w14:paraId="05E571CE" w14:textId="77777777" w:rsidR="00E53931" w:rsidRPr="00E53931" w:rsidRDefault="00E53931" w:rsidP="00E53931">
            <w:pPr>
              <w:ind w:left="0" w:right="0" w:firstLine="0"/>
              <w:jc w:val="right"/>
              <w:rPr>
                <w:b/>
                <w:bCs/>
                <w:sz w:val="22"/>
                <w:szCs w:val="22"/>
                <w:lang w:val="sr-Latn-RS" w:eastAsia="sr-Latn-RS"/>
              </w:rPr>
            </w:pPr>
            <w:r w:rsidRPr="00E53931">
              <w:rPr>
                <w:b/>
                <w:bCs/>
                <w:sz w:val="22"/>
                <w:szCs w:val="22"/>
                <w:lang w:val="sr-Latn-RS" w:eastAsia="sr-Latn-RS"/>
              </w:rPr>
              <w:t>95,48</w:t>
            </w:r>
          </w:p>
        </w:tc>
      </w:tr>
      <w:tr w:rsidR="00E53931" w:rsidRPr="00E53931" w14:paraId="20A0145A" w14:textId="77777777" w:rsidTr="00901BE1">
        <w:trPr>
          <w:trHeight w:val="330"/>
        </w:trPr>
        <w:tc>
          <w:tcPr>
            <w:tcW w:w="651" w:type="dxa"/>
            <w:tcBorders>
              <w:top w:val="nil"/>
              <w:left w:val="nil"/>
              <w:bottom w:val="nil"/>
              <w:right w:val="nil"/>
            </w:tcBorders>
            <w:shd w:val="clear" w:color="auto" w:fill="auto"/>
            <w:noWrap/>
            <w:vAlign w:val="center"/>
            <w:hideMark/>
          </w:tcPr>
          <w:p w14:paraId="484DB92A" w14:textId="77777777" w:rsidR="00E53931" w:rsidRPr="00E53931" w:rsidRDefault="00E53931" w:rsidP="00E53931">
            <w:pPr>
              <w:ind w:left="0" w:right="0" w:firstLine="0"/>
              <w:jc w:val="center"/>
              <w:rPr>
                <w:sz w:val="22"/>
                <w:szCs w:val="22"/>
                <w:lang w:val="sr-Latn-RS" w:eastAsia="sr-Latn-RS"/>
              </w:rPr>
            </w:pPr>
            <w:r w:rsidRPr="00E53931">
              <w:rPr>
                <w:sz w:val="22"/>
                <w:szCs w:val="22"/>
                <w:lang w:val="sr-Latn-RS" w:eastAsia="sr-Latn-RS"/>
              </w:rPr>
              <w:t>7.</w:t>
            </w:r>
          </w:p>
        </w:tc>
        <w:tc>
          <w:tcPr>
            <w:tcW w:w="6012" w:type="dxa"/>
            <w:tcBorders>
              <w:top w:val="nil"/>
              <w:left w:val="nil"/>
              <w:bottom w:val="nil"/>
              <w:right w:val="nil"/>
            </w:tcBorders>
            <w:shd w:val="clear" w:color="auto" w:fill="auto"/>
            <w:noWrap/>
            <w:vAlign w:val="center"/>
            <w:hideMark/>
          </w:tcPr>
          <w:p w14:paraId="68C549E9" w14:textId="77777777" w:rsidR="00E53931" w:rsidRPr="00E53931" w:rsidRDefault="00E53931" w:rsidP="00E53931">
            <w:pPr>
              <w:ind w:left="0" w:right="0" w:firstLine="0"/>
              <w:jc w:val="left"/>
              <w:rPr>
                <w:sz w:val="22"/>
                <w:szCs w:val="22"/>
                <w:lang w:val="sr-Latn-RS" w:eastAsia="sr-Latn-RS"/>
              </w:rPr>
            </w:pPr>
            <w:proofErr w:type="spellStart"/>
            <w:r w:rsidRPr="00E53931">
              <w:rPr>
                <w:sz w:val="22"/>
                <w:szCs w:val="22"/>
                <w:lang w:val="sr-Latn-RS" w:eastAsia="sr-Latn-RS"/>
              </w:rPr>
              <w:t>Приходи</w:t>
            </w:r>
            <w:proofErr w:type="spellEnd"/>
            <w:r w:rsidRPr="00E53931">
              <w:rPr>
                <w:sz w:val="22"/>
                <w:szCs w:val="22"/>
                <w:lang w:val="sr-Latn-RS" w:eastAsia="sr-Latn-RS"/>
              </w:rPr>
              <w:t>/</w:t>
            </w:r>
            <w:proofErr w:type="spellStart"/>
            <w:r w:rsidRPr="00E53931">
              <w:rPr>
                <w:sz w:val="22"/>
                <w:szCs w:val="22"/>
                <w:lang w:val="sr-Latn-RS" w:eastAsia="sr-Latn-RS"/>
              </w:rPr>
              <w:t>примици</w:t>
            </w:r>
            <w:proofErr w:type="spellEnd"/>
            <w:r w:rsidRPr="00E53931">
              <w:rPr>
                <w:sz w:val="22"/>
                <w:szCs w:val="22"/>
                <w:lang w:val="sr-Latn-RS" w:eastAsia="sr-Latn-RS"/>
              </w:rPr>
              <w:t xml:space="preserve"> </w:t>
            </w:r>
            <w:proofErr w:type="spellStart"/>
            <w:r w:rsidRPr="00E53931">
              <w:rPr>
                <w:sz w:val="22"/>
                <w:szCs w:val="22"/>
                <w:lang w:val="sr-Latn-RS" w:eastAsia="sr-Latn-RS"/>
              </w:rPr>
              <w:t>фонда</w:t>
            </w:r>
            <w:proofErr w:type="spellEnd"/>
            <w:r w:rsidRPr="00E53931">
              <w:rPr>
                <w:sz w:val="22"/>
                <w:szCs w:val="22"/>
                <w:lang w:val="sr-Latn-RS" w:eastAsia="sr-Latn-RS"/>
              </w:rPr>
              <w:t xml:space="preserve"> 03</w:t>
            </w:r>
          </w:p>
        </w:tc>
        <w:tc>
          <w:tcPr>
            <w:tcW w:w="1655" w:type="dxa"/>
            <w:tcBorders>
              <w:top w:val="nil"/>
              <w:left w:val="nil"/>
              <w:bottom w:val="nil"/>
              <w:right w:val="nil"/>
            </w:tcBorders>
            <w:shd w:val="clear" w:color="auto" w:fill="auto"/>
            <w:noWrap/>
            <w:vAlign w:val="center"/>
            <w:hideMark/>
          </w:tcPr>
          <w:p w14:paraId="73B15EAF" w14:textId="77777777" w:rsidR="00E53931" w:rsidRPr="00E53931" w:rsidRDefault="00E53931" w:rsidP="00E53931">
            <w:pPr>
              <w:ind w:left="0" w:right="0" w:firstLine="0"/>
              <w:jc w:val="right"/>
              <w:rPr>
                <w:sz w:val="22"/>
                <w:szCs w:val="22"/>
                <w:lang w:val="sr-Latn-RS" w:eastAsia="sr-Latn-RS"/>
              </w:rPr>
            </w:pPr>
            <w:r w:rsidRPr="00E53931">
              <w:rPr>
                <w:sz w:val="22"/>
                <w:szCs w:val="22"/>
                <w:lang w:val="sr-Latn-RS" w:eastAsia="sr-Latn-RS"/>
              </w:rPr>
              <w:t>0,00</w:t>
            </w:r>
          </w:p>
        </w:tc>
        <w:tc>
          <w:tcPr>
            <w:tcW w:w="1597" w:type="dxa"/>
            <w:tcBorders>
              <w:top w:val="nil"/>
              <w:left w:val="nil"/>
              <w:bottom w:val="nil"/>
              <w:right w:val="nil"/>
            </w:tcBorders>
            <w:shd w:val="clear" w:color="auto" w:fill="auto"/>
            <w:noWrap/>
            <w:vAlign w:val="center"/>
            <w:hideMark/>
          </w:tcPr>
          <w:p w14:paraId="768A671E" w14:textId="77777777" w:rsidR="00E53931" w:rsidRPr="00E53931" w:rsidRDefault="00E53931" w:rsidP="00E53931">
            <w:pPr>
              <w:ind w:left="0" w:right="0" w:firstLine="0"/>
              <w:jc w:val="right"/>
              <w:rPr>
                <w:sz w:val="22"/>
                <w:szCs w:val="22"/>
                <w:lang w:val="sr-Latn-RS" w:eastAsia="sr-Latn-RS"/>
              </w:rPr>
            </w:pPr>
            <w:r w:rsidRPr="00E53931">
              <w:rPr>
                <w:sz w:val="22"/>
                <w:szCs w:val="22"/>
                <w:lang w:val="sr-Latn-RS" w:eastAsia="sr-Latn-RS"/>
              </w:rPr>
              <w:t>146.687,25</w:t>
            </w:r>
          </w:p>
        </w:tc>
        <w:tc>
          <w:tcPr>
            <w:tcW w:w="1014" w:type="dxa"/>
            <w:tcBorders>
              <w:top w:val="nil"/>
              <w:left w:val="nil"/>
              <w:bottom w:val="nil"/>
              <w:right w:val="nil"/>
            </w:tcBorders>
            <w:shd w:val="clear" w:color="auto" w:fill="auto"/>
            <w:noWrap/>
            <w:vAlign w:val="center"/>
            <w:hideMark/>
          </w:tcPr>
          <w:p w14:paraId="36A2DA5E" w14:textId="77777777" w:rsidR="00E53931" w:rsidRPr="00E53931" w:rsidRDefault="00E53931" w:rsidP="00E53931">
            <w:pPr>
              <w:ind w:left="0" w:right="0" w:firstLine="0"/>
              <w:jc w:val="right"/>
              <w:rPr>
                <w:sz w:val="22"/>
                <w:szCs w:val="22"/>
                <w:lang w:val="sr-Latn-RS" w:eastAsia="sr-Latn-RS"/>
              </w:rPr>
            </w:pPr>
            <w:r w:rsidRPr="00E53931">
              <w:rPr>
                <w:sz w:val="22"/>
                <w:szCs w:val="22"/>
                <w:lang w:val="sr-Latn-RS" w:eastAsia="sr-Latn-RS"/>
              </w:rPr>
              <w:t>0,00</w:t>
            </w:r>
          </w:p>
        </w:tc>
      </w:tr>
      <w:tr w:rsidR="00E53931" w:rsidRPr="00E53931" w14:paraId="3AC44DD8" w14:textId="77777777" w:rsidTr="00901BE1">
        <w:trPr>
          <w:trHeight w:val="535"/>
        </w:trPr>
        <w:tc>
          <w:tcPr>
            <w:tcW w:w="651" w:type="dxa"/>
            <w:tcBorders>
              <w:top w:val="single" w:sz="8" w:space="0" w:color="auto"/>
              <w:left w:val="nil"/>
              <w:bottom w:val="single" w:sz="8" w:space="0" w:color="auto"/>
              <w:right w:val="nil"/>
            </w:tcBorders>
            <w:shd w:val="clear" w:color="auto" w:fill="auto"/>
            <w:noWrap/>
            <w:vAlign w:val="center"/>
            <w:hideMark/>
          </w:tcPr>
          <w:p w14:paraId="3839901F" w14:textId="77777777" w:rsidR="00E53931" w:rsidRPr="00E53931" w:rsidRDefault="00E53931" w:rsidP="00E53931">
            <w:pPr>
              <w:ind w:left="0" w:right="0" w:firstLine="0"/>
              <w:jc w:val="center"/>
              <w:rPr>
                <w:b/>
                <w:bCs/>
                <w:sz w:val="22"/>
                <w:szCs w:val="22"/>
                <w:lang w:val="sr-Latn-RS" w:eastAsia="sr-Latn-RS"/>
              </w:rPr>
            </w:pPr>
            <w:r w:rsidRPr="00E53931">
              <w:rPr>
                <w:b/>
                <w:bCs/>
                <w:sz w:val="22"/>
                <w:szCs w:val="22"/>
                <w:lang w:val="sr-Latn-RS" w:eastAsia="sr-Latn-RS"/>
              </w:rPr>
              <w:t>А.</w:t>
            </w:r>
          </w:p>
        </w:tc>
        <w:tc>
          <w:tcPr>
            <w:tcW w:w="6012" w:type="dxa"/>
            <w:tcBorders>
              <w:top w:val="single" w:sz="8" w:space="0" w:color="auto"/>
              <w:left w:val="nil"/>
              <w:bottom w:val="single" w:sz="8" w:space="0" w:color="auto"/>
              <w:right w:val="nil"/>
            </w:tcBorders>
            <w:shd w:val="clear" w:color="auto" w:fill="auto"/>
            <w:vAlign w:val="bottom"/>
            <w:hideMark/>
          </w:tcPr>
          <w:p w14:paraId="135ABD6C" w14:textId="77777777" w:rsidR="00E53931" w:rsidRPr="00E53931" w:rsidRDefault="00E53931" w:rsidP="00E53931">
            <w:pPr>
              <w:ind w:left="0" w:right="0" w:firstLine="0"/>
              <w:jc w:val="left"/>
              <w:rPr>
                <w:b/>
                <w:bCs/>
                <w:sz w:val="22"/>
                <w:szCs w:val="22"/>
                <w:lang w:val="sr-Latn-RS" w:eastAsia="sr-Latn-RS"/>
              </w:rPr>
            </w:pPr>
            <w:r w:rsidRPr="00E53931">
              <w:rPr>
                <w:b/>
                <w:bCs/>
                <w:sz w:val="22"/>
                <w:szCs w:val="22"/>
                <w:lang w:val="sr-Latn-RS" w:eastAsia="sr-Latn-RS"/>
              </w:rPr>
              <w:t>УКУПНО ОСТВАРЕНИ ПРИХОДИ И ПРИМИЦИ ЗА ПЕРИОД 01.01-31.12.2020. ГОДИНЕ (ФОНД 01 и 03)</w:t>
            </w:r>
          </w:p>
        </w:tc>
        <w:tc>
          <w:tcPr>
            <w:tcW w:w="1655" w:type="dxa"/>
            <w:tcBorders>
              <w:top w:val="single" w:sz="8" w:space="0" w:color="auto"/>
              <w:left w:val="nil"/>
              <w:bottom w:val="single" w:sz="8" w:space="0" w:color="auto"/>
              <w:right w:val="nil"/>
            </w:tcBorders>
            <w:shd w:val="clear" w:color="auto" w:fill="auto"/>
            <w:noWrap/>
            <w:vAlign w:val="center"/>
            <w:hideMark/>
          </w:tcPr>
          <w:p w14:paraId="1B2188A4" w14:textId="77777777" w:rsidR="00E53931" w:rsidRPr="00E53931" w:rsidRDefault="00E53931" w:rsidP="00E53931">
            <w:pPr>
              <w:ind w:left="0" w:right="0" w:firstLine="0"/>
              <w:jc w:val="right"/>
              <w:rPr>
                <w:b/>
                <w:bCs/>
                <w:sz w:val="22"/>
                <w:szCs w:val="22"/>
                <w:lang w:val="sr-Latn-RS" w:eastAsia="sr-Latn-RS"/>
              </w:rPr>
            </w:pPr>
            <w:r w:rsidRPr="00E53931">
              <w:rPr>
                <w:b/>
                <w:bCs/>
                <w:sz w:val="22"/>
                <w:szCs w:val="22"/>
                <w:lang w:val="sr-Latn-RS" w:eastAsia="sr-Latn-RS"/>
              </w:rPr>
              <w:t>17.893.300,00</w:t>
            </w:r>
          </w:p>
        </w:tc>
        <w:tc>
          <w:tcPr>
            <w:tcW w:w="1597" w:type="dxa"/>
            <w:tcBorders>
              <w:top w:val="single" w:sz="8" w:space="0" w:color="auto"/>
              <w:left w:val="nil"/>
              <w:bottom w:val="single" w:sz="8" w:space="0" w:color="auto"/>
              <w:right w:val="nil"/>
            </w:tcBorders>
            <w:shd w:val="clear" w:color="auto" w:fill="auto"/>
            <w:noWrap/>
            <w:vAlign w:val="center"/>
            <w:hideMark/>
          </w:tcPr>
          <w:p w14:paraId="7083BC17" w14:textId="77777777" w:rsidR="00E53931" w:rsidRPr="00E53931" w:rsidRDefault="00E53931" w:rsidP="00E53931">
            <w:pPr>
              <w:ind w:left="0" w:right="0" w:firstLine="0"/>
              <w:jc w:val="right"/>
              <w:rPr>
                <w:b/>
                <w:bCs/>
                <w:sz w:val="22"/>
                <w:szCs w:val="22"/>
                <w:lang w:val="sr-Latn-RS" w:eastAsia="sr-Latn-RS"/>
              </w:rPr>
            </w:pPr>
            <w:r w:rsidRPr="00E53931">
              <w:rPr>
                <w:b/>
                <w:bCs/>
                <w:sz w:val="22"/>
                <w:szCs w:val="22"/>
                <w:lang w:val="sr-Latn-RS" w:eastAsia="sr-Latn-RS"/>
              </w:rPr>
              <w:t>17.230.366,11</w:t>
            </w:r>
          </w:p>
        </w:tc>
        <w:tc>
          <w:tcPr>
            <w:tcW w:w="1014" w:type="dxa"/>
            <w:tcBorders>
              <w:top w:val="single" w:sz="8" w:space="0" w:color="auto"/>
              <w:left w:val="nil"/>
              <w:bottom w:val="single" w:sz="8" w:space="0" w:color="auto"/>
              <w:right w:val="nil"/>
            </w:tcBorders>
            <w:shd w:val="clear" w:color="auto" w:fill="auto"/>
            <w:noWrap/>
            <w:vAlign w:val="center"/>
            <w:hideMark/>
          </w:tcPr>
          <w:p w14:paraId="08D3A742" w14:textId="77777777" w:rsidR="00E53931" w:rsidRPr="00E53931" w:rsidRDefault="00E53931" w:rsidP="00E53931">
            <w:pPr>
              <w:ind w:left="0" w:right="0" w:firstLine="0"/>
              <w:jc w:val="right"/>
              <w:rPr>
                <w:b/>
                <w:bCs/>
                <w:sz w:val="22"/>
                <w:szCs w:val="22"/>
                <w:lang w:val="sr-Latn-RS" w:eastAsia="sr-Latn-RS"/>
              </w:rPr>
            </w:pPr>
            <w:r w:rsidRPr="00E53931">
              <w:rPr>
                <w:b/>
                <w:bCs/>
                <w:sz w:val="22"/>
                <w:szCs w:val="22"/>
                <w:lang w:val="sr-Latn-RS" w:eastAsia="sr-Latn-RS"/>
              </w:rPr>
              <w:t>96,30</w:t>
            </w:r>
          </w:p>
        </w:tc>
      </w:tr>
      <w:tr w:rsidR="00E53931" w:rsidRPr="00E53931" w14:paraId="6994BCEB" w14:textId="77777777" w:rsidTr="00901BE1">
        <w:trPr>
          <w:trHeight w:val="315"/>
        </w:trPr>
        <w:tc>
          <w:tcPr>
            <w:tcW w:w="651" w:type="dxa"/>
            <w:tcBorders>
              <w:top w:val="nil"/>
              <w:left w:val="nil"/>
              <w:bottom w:val="nil"/>
              <w:right w:val="nil"/>
            </w:tcBorders>
            <w:shd w:val="clear" w:color="auto" w:fill="auto"/>
            <w:noWrap/>
            <w:vAlign w:val="bottom"/>
            <w:hideMark/>
          </w:tcPr>
          <w:p w14:paraId="17EB1A28" w14:textId="77777777" w:rsidR="00E53931" w:rsidRPr="00E53931" w:rsidRDefault="00E53931" w:rsidP="00E53931">
            <w:pPr>
              <w:ind w:left="0" w:right="0" w:firstLine="0"/>
              <w:jc w:val="right"/>
              <w:rPr>
                <w:b/>
                <w:bCs/>
                <w:sz w:val="22"/>
                <w:szCs w:val="22"/>
                <w:lang w:val="sr-Latn-RS" w:eastAsia="sr-Latn-RS"/>
              </w:rPr>
            </w:pPr>
          </w:p>
        </w:tc>
        <w:tc>
          <w:tcPr>
            <w:tcW w:w="6012" w:type="dxa"/>
            <w:tcBorders>
              <w:top w:val="nil"/>
              <w:left w:val="nil"/>
              <w:bottom w:val="nil"/>
              <w:right w:val="nil"/>
            </w:tcBorders>
            <w:shd w:val="clear" w:color="auto" w:fill="auto"/>
            <w:noWrap/>
            <w:vAlign w:val="bottom"/>
            <w:hideMark/>
          </w:tcPr>
          <w:p w14:paraId="31573D55" w14:textId="77777777" w:rsidR="00E53931" w:rsidRPr="00E53931" w:rsidRDefault="00E53931" w:rsidP="00E53931">
            <w:pPr>
              <w:ind w:left="0" w:right="0" w:firstLine="0"/>
              <w:jc w:val="left"/>
              <w:rPr>
                <w:sz w:val="22"/>
                <w:szCs w:val="22"/>
                <w:lang w:val="sr-Latn-RS" w:eastAsia="sr-Latn-RS"/>
              </w:rPr>
            </w:pPr>
          </w:p>
        </w:tc>
        <w:tc>
          <w:tcPr>
            <w:tcW w:w="1655" w:type="dxa"/>
            <w:tcBorders>
              <w:top w:val="nil"/>
              <w:left w:val="nil"/>
              <w:bottom w:val="nil"/>
              <w:right w:val="nil"/>
            </w:tcBorders>
            <w:shd w:val="clear" w:color="auto" w:fill="auto"/>
            <w:noWrap/>
            <w:vAlign w:val="bottom"/>
            <w:hideMark/>
          </w:tcPr>
          <w:p w14:paraId="7AD8C6AF" w14:textId="77777777" w:rsidR="00E53931" w:rsidRPr="00E53931" w:rsidRDefault="00E53931" w:rsidP="00E53931">
            <w:pPr>
              <w:ind w:left="0" w:right="0" w:firstLine="0"/>
              <w:jc w:val="left"/>
              <w:rPr>
                <w:sz w:val="22"/>
                <w:szCs w:val="22"/>
                <w:lang w:val="sr-Latn-RS" w:eastAsia="sr-Latn-RS"/>
              </w:rPr>
            </w:pPr>
          </w:p>
        </w:tc>
        <w:tc>
          <w:tcPr>
            <w:tcW w:w="1597" w:type="dxa"/>
            <w:tcBorders>
              <w:top w:val="nil"/>
              <w:left w:val="nil"/>
              <w:bottom w:val="nil"/>
              <w:right w:val="nil"/>
            </w:tcBorders>
            <w:shd w:val="clear" w:color="auto" w:fill="auto"/>
            <w:noWrap/>
            <w:vAlign w:val="bottom"/>
            <w:hideMark/>
          </w:tcPr>
          <w:p w14:paraId="694B1B7C" w14:textId="77777777" w:rsidR="00E53931" w:rsidRPr="00E53931" w:rsidRDefault="00E53931" w:rsidP="00E53931">
            <w:pPr>
              <w:ind w:left="0" w:right="0" w:firstLine="0"/>
              <w:jc w:val="left"/>
              <w:rPr>
                <w:sz w:val="22"/>
                <w:szCs w:val="22"/>
                <w:lang w:val="sr-Latn-RS" w:eastAsia="sr-Latn-RS"/>
              </w:rPr>
            </w:pPr>
          </w:p>
        </w:tc>
        <w:tc>
          <w:tcPr>
            <w:tcW w:w="1014" w:type="dxa"/>
            <w:tcBorders>
              <w:top w:val="nil"/>
              <w:left w:val="nil"/>
              <w:bottom w:val="nil"/>
              <w:right w:val="nil"/>
            </w:tcBorders>
            <w:shd w:val="clear" w:color="auto" w:fill="auto"/>
            <w:noWrap/>
            <w:vAlign w:val="bottom"/>
            <w:hideMark/>
          </w:tcPr>
          <w:p w14:paraId="016A6441" w14:textId="77777777" w:rsidR="00E53931" w:rsidRPr="00E53931" w:rsidRDefault="00E53931" w:rsidP="00E53931">
            <w:pPr>
              <w:ind w:left="0" w:right="0" w:firstLine="0"/>
              <w:jc w:val="left"/>
              <w:rPr>
                <w:sz w:val="22"/>
                <w:szCs w:val="22"/>
                <w:lang w:val="sr-Latn-RS" w:eastAsia="sr-Latn-RS"/>
              </w:rPr>
            </w:pPr>
          </w:p>
        </w:tc>
      </w:tr>
      <w:tr w:rsidR="00E53931" w:rsidRPr="00E53931" w14:paraId="22BADE1D" w14:textId="77777777" w:rsidTr="00901BE1">
        <w:trPr>
          <w:trHeight w:val="315"/>
        </w:trPr>
        <w:tc>
          <w:tcPr>
            <w:tcW w:w="651" w:type="dxa"/>
            <w:tcBorders>
              <w:top w:val="nil"/>
              <w:left w:val="nil"/>
              <w:bottom w:val="nil"/>
              <w:right w:val="nil"/>
            </w:tcBorders>
            <w:shd w:val="clear" w:color="auto" w:fill="auto"/>
            <w:noWrap/>
            <w:vAlign w:val="bottom"/>
            <w:hideMark/>
          </w:tcPr>
          <w:p w14:paraId="0A208321" w14:textId="77777777" w:rsidR="00E53931" w:rsidRPr="00E53931" w:rsidRDefault="00E53931" w:rsidP="00E53931">
            <w:pPr>
              <w:ind w:left="0" w:right="0" w:firstLine="0"/>
              <w:jc w:val="left"/>
              <w:rPr>
                <w:sz w:val="22"/>
                <w:szCs w:val="22"/>
                <w:lang w:val="sr-Latn-RS" w:eastAsia="sr-Latn-RS"/>
              </w:rPr>
            </w:pPr>
          </w:p>
        </w:tc>
        <w:tc>
          <w:tcPr>
            <w:tcW w:w="6012" w:type="dxa"/>
            <w:tcBorders>
              <w:top w:val="nil"/>
              <w:left w:val="nil"/>
              <w:bottom w:val="nil"/>
              <w:right w:val="nil"/>
            </w:tcBorders>
            <w:shd w:val="clear" w:color="auto" w:fill="auto"/>
            <w:noWrap/>
            <w:vAlign w:val="bottom"/>
            <w:hideMark/>
          </w:tcPr>
          <w:p w14:paraId="1C533C51" w14:textId="77777777" w:rsidR="00E53931" w:rsidRPr="00E53931" w:rsidRDefault="00E53931" w:rsidP="00E53931">
            <w:pPr>
              <w:ind w:left="0" w:right="0" w:firstLine="0"/>
              <w:jc w:val="left"/>
              <w:rPr>
                <w:b/>
                <w:bCs/>
                <w:sz w:val="22"/>
                <w:szCs w:val="22"/>
                <w:u w:val="single"/>
                <w:lang w:val="sr-Latn-RS" w:eastAsia="sr-Latn-RS"/>
              </w:rPr>
            </w:pPr>
            <w:r w:rsidRPr="00E53931">
              <w:rPr>
                <w:b/>
                <w:bCs/>
                <w:sz w:val="22"/>
                <w:szCs w:val="22"/>
                <w:u w:val="single"/>
                <w:lang w:val="sr-Latn-RS" w:eastAsia="sr-Latn-RS"/>
              </w:rPr>
              <w:t>Б. РАСХОДИ И ИЗДАЦИ</w:t>
            </w:r>
          </w:p>
        </w:tc>
        <w:tc>
          <w:tcPr>
            <w:tcW w:w="1655" w:type="dxa"/>
            <w:tcBorders>
              <w:top w:val="nil"/>
              <w:left w:val="nil"/>
              <w:bottom w:val="nil"/>
              <w:right w:val="nil"/>
            </w:tcBorders>
            <w:shd w:val="clear" w:color="auto" w:fill="auto"/>
            <w:noWrap/>
            <w:vAlign w:val="bottom"/>
            <w:hideMark/>
          </w:tcPr>
          <w:p w14:paraId="403DB329" w14:textId="77777777" w:rsidR="00E53931" w:rsidRPr="00E53931" w:rsidRDefault="00E53931" w:rsidP="00E53931">
            <w:pPr>
              <w:ind w:left="0" w:right="0" w:firstLine="0"/>
              <w:jc w:val="left"/>
              <w:rPr>
                <w:b/>
                <w:bCs/>
                <w:sz w:val="22"/>
                <w:szCs w:val="22"/>
                <w:u w:val="single"/>
                <w:lang w:val="sr-Latn-RS" w:eastAsia="sr-Latn-RS"/>
              </w:rPr>
            </w:pPr>
          </w:p>
        </w:tc>
        <w:tc>
          <w:tcPr>
            <w:tcW w:w="1597" w:type="dxa"/>
            <w:tcBorders>
              <w:top w:val="nil"/>
              <w:left w:val="nil"/>
              <w:bottom w:val="nil"/>
              <w:right w:val="nil"/>
            </w:tcBorders>
            <w:shd w:val="clear" w:color="auto" w:fill="auto"/>
            <w:noWrap/>
            <w:vAlign w:val="bottom"/>
            <w:hideMark/>
          </w:tcPr>
          <w:p w14:paraId="1A0F0D87" w14:textId="77777777" w:rsidR="00E53931" w:rsidRPr="00E53931" w:rsidRDefault="00E53931" w:rsidP="00E53931">
            <w:pPr>
              <w:ind w:left="0" w:right="0" w:firstLine="0"/>
              <w:jc w:val="left"/>
              <w:rPr>
                <w:sz w:val="22"/>
                <w:szCs w:val="22"/>
                <w:lang w:val="sr-Latn-RS" w:eastAsia="sr-Latn-RS"/>
              </w:rPr>
            </w:pPr>
          </w:p>
        </w:tc>
        <w:tc>
          <w:tcPr>
            <w:tcW w:w="1014" w:type="dxa"/>
            <w:tcBorders>
              <w:top w:val="nil"/>
              <w:left w:val="nil"/>
              <w:bottom w:val="nil"/>
              <w:right w:val="nil"/>
            </w:tcBorders>
            <w:shd w:val="clear" w:color="auto" w:fill="auto"/>
            <w:noWrap/>
            <w:vAlign w:val="bottom"/>
            <w:hideMark/>
          </w:tcPr>
          <w:p w14:paraId="4E86C185" w14:textId="77777777" w:rsidR="00E53931" w:rsidRPr="00E53931" w:rsidRDefault="00E53931" w:rsidP="00E53931">
            <w:pPr>
              <w:ind w:left="0" w:right="0" w:firstLine="0"/>
              <w:jc w:val="left"/>
              <w:rPr>
                <w:sz w:val="22"/>
                <w:szCs w:val="22"/>
                <w:lang w:val="sr-Latn-RS" w:eastAsia="sr-Latn-RS"/>
              </w:rPr>
            </w:pPr>
          </w:p>
        </w:tc>
      </w:tr>
      <w:tr w:rsidR="00E53931" w:rsidRPr="00E53931" w14:paraId="29B9AAD6" w14:textId="77777777" w:rsidTr="00901BE1">
        <w:trPr>
          <w:trHeight w:val="315"/>
        </w:trPr>
        <w:tc>
          <w:tcPr>
            <w:tcW w:w="651" w:type="dxa"/>
            <w:tcBorders>
              <w:top w:val="nil"/>
              <w:left w:val="nil"/>
              <w:bottom w:val="nil"/>
              <w:right w:val="nil"/>
            </w:tcBorders>
            <w:shd w:val="clear" w:color="auto" w:fill="auto"/>
            <w:noWrap/>
            <w:vAlign w:val="bottom"/>
            <w:hideMark/>
          </w:tcPr>
          <w:p w14:paraId="75E7CD5B" w14:textId="77777777" w:rsidR="00E53931" w:rsidRPr="00E53931" w:rsidRDefault="00E53931" w:rsidP="00E53931">
            <w:pPr>
              <w:ind w:left="0" w:right="0" w:firstLine="0"/>
              <w:jc w:val="left"/>
              <w:rPr>
                <w:sz w:val="22"/>
                <w:szCs w:val="22"/>
                <w:lang w:val="sr-Latn-RS" w:eastAsia="sr-Latn-RS"/>
              </w:rPr>
            </w:pPr>
          </w:p>
        </w:tc>
        <w:tc>
          <w:tcPr>
            <w:tcW w:w="6012" w:type="dxa"/>
            <w:tcBorders>
              <w:top w:val="nil"/>
              <w:left w:val="nil"/>
              <w:bottom w:val="nil"/>
              <w:right w:val="nil"/>
            </w:tcBorders>
            <w:shd w:val="clear" w:color="auto" w:fill="auto"/>
            <w:noWrap/>
            <w:vAlign w:val="bottom"/>
            <w:hideMark/>
          </w:tcPr>
          <w:p w14:paraId="58BE1F8E" w14:textId="77777777" w:rsidR="00E53931" w:rsidRPr="00E53931" w:rsidRDefault="00E53931" w:rsidP="00E53931">
            <w:pPr>
              <w:ind w:left="0" w:right="0" w:firstLine="0"/>
              <w:jc w:val="left"/>
              <w:rPr>
                <w:sz w:val="22"/>
                <w:szCs w:val="22"/>
                <w:lang w:val="sr-Latn-RS" w:eastAsia="sr-Latn-RS"/>
              </w:rPr>
            </w:pPr>
          </w:p>
        </w:tc>
        <w:tc>
          <w:tcPr>
            <w:tcW w:w="1655" w:type="dxa"/>
            <w:tcBorders>
              <w:top w:val="nil"/>
              <w:left w:val="nil"/>
              <w:bottom w:val="nil"/>
              <w:right w:val="nil"/>
            </w:tcBorders>
            <w:shd w:val="clear" w:color="auto" w:fill="auto"/>
            <w:noWrap/>
            <w:vAlign w:val="bottom"/>
            <w:hideMark/>
          </w:tcPr>
          <w:p w14:paraId="10CD8266" w14:textId="77777777" w:rsidR="00E53931" w:rsidRPr="00E53931" w:rsidRDefault="00E53931" w:rsidP="00E53931">
            <w:pPr>
              <w:ind w:left="0" w:right="0" w:firstLine="0"/>
              <w:jc w:val="left"/>
              <w:rPr>
                <w:sz w:val="22"/>
                <w:szCs w:val="22"/>
                <w:lang w:val="sr-Latn-RS" w:eastAsia="sr-Latn-RS"/>
              </w:rPr>
            </w:pPr>
          </w:p>
        </w:tc>
        <w:tc>
          <w:tcPr>
            <w:tcW w:w="1597" w:type="dxa"/>
            <w:tcBorders>
              <w:top w:val="nil"/>
              <w:left w:val="nil"/>
              <w:bottom w:val="nil"/>
              <w:right w:val="nil"/>
            </w:tcBorders>
            <w:shd w:val="clear" w:color="auto" w:fill="auto"/>
            <w:noWrap/>
            <w:vAlign w:val="bottom"/>
            <w:hideMark/>
          </w:tcPr>
          <w:p w14:paraId="3710478A" w14:textId="77777777" w:rsidR="00E53931" w:rsidRPr="00E53931" w:rsidRDefault="00E53931" w:rsidP="00E53931">
            <w:pPr>
              <w:ind w:left="0" w:right="0" w:firstLine="0"/>
              <w:jc w:val="left"/>
              <w:rPr>
                <w:sz w:val="22"/>
                <w:szCs w:val="22"/>
                <w:lang w:val="sr-Latn-RS" w:eastAsia="sr-Latn-RS"/>
              </w:rPr>
            </w:pPr>
          </w:p>
        </w:tc>
        <w:tc>
          <w:tcPr>
            <w:tcW w:w="1014" w:type="dxa"/>
            <w:tcBorders>
              <w:top w:val="nil"/>
              <w:left w:val="nil"/>
              <w:bottom w:val="nil"/>
              <w:right w:val="nil"/>
            </w:tcBorders>
            <w:shd w:val="clear" w:color="auto" w:fill="auto"/>
            <w:noWrap/>
            <w:vAlign w:val="bottom"/>
            <w:hideMark/>
          </w:tcPr>
          <w:p w14:paraId="069553BA" w14:textId="77777777" w:rsidR="00E53931" w:rsidRPr="00E53931" w:rsidRDefault="00E53931" w:rsidP="00E53931">
            <w:pPr>
              <w:ind w:left="0" w:right="0" w:firstLine="0"/>
              <w:jc w:val="left"/>
              <w:rPr>
                <w:sz w:val="22"/>
                <w:szCs w:val="22"/>
                <w:lang w:val="sr-Latn-RS" w:eastAsia="sr-Latn-RS"/>
              </w:rPr>
            </w:pPr>
          </w:p>
        </w:tc>
      </w:tr>
      <w:tr w:rsidR="00E53931" w:rsidRPr="00E53931" w14:paraId="44E79410" w14:textId="77777777" w:rsidTr="00901BE1">
        <w:trPr>
          <w:trHeight w:val="315"/>
        </w:trPr>
        <w:tc>
          <w:tcPr>
            <w:tcW w:w="651" w:type="dxa"/>
            <w:tcBorders>
              <w:top w:val="nil"/>
              <w:left w:val="nil"/>
              <w:bottom w:val="nil"/>
              <w:right w:val="nil"/>
            </w:tcBorders>
            <w:shd w:val="clear" w:color="auto" w:fill="auto"/>
            <w:noWrap/>
            <w:vAlign w:val="center"/>
            <w:hideMark/>
          </w:tcPr>
          <w:p w14:paraId="52DBAA49" w14:textId="77777777" w:rsidR="00E53931" w:rsidRPr="00E53931" w:rsidRDefault="00E53931" w:rsidP="00E53931">
            <w:pPr>
              <w:ind w:left="0" w:right="0" w:firstLine="0"/>
              <w:jc w:val="center"/>
              <w:rPr>
                <w:sz w:val="22"/>
                <w:szCs w:val="22"/>
                <w:lang w:val="sr-Latn-RS" w:eastAsia="sr-Latn-RS"/>
              </w:rPr>
            </w:pPr>
            <w:r w:rsidRPr="00E53931">
              <w:rPr>
                <w:sz w:val="22"/>
                <w:szCs w:val="22"/>
                <w:lang w:val="sr-Latn-RS" w:eastAsia="sr-Latn-RS"/>
              </w:rPr>
              <w:t>1.</w:t>
            </w:r>
          </w:p>
        </w:tc>
        <w:tc>
          <w:tcPr>
            <w:tcW w:w="6012" w:type="dxa"/>
            <w:tcBorders>
              <w:top w:val="nil"/>
              <w:left w:val="nil"/>
              <w:bottom w:val="nil"/>
              <w:right w:val="nil"/>
            </w:tcBorders>
            <w:shd w:val="clear" w:color="auto" w:fill="auto"/>
            <w:noWrap/>
            <w:vAlign w:val="center"/>
            <w:hideMark/>
          </w:tcPr>
          <w:p w14:paraId="5020847E" w14:textId="77777777" w:rsidR="00E53931" w:rsidRPr="00E53931" w:rsidRDefault="00E53931" w:rsidP="00E53931">
            <w:pPr>
              <w:ind w:left="0" w:right="0" w:firstLine="0"/>
              <w:jc w:val="left"/>
              <w:rPr>
                <w:sz w:val="22"/>
                <w:szCs w:val="22"/>
                <w:lang w:val="sr-Latn-RS" w:eastAsia="sr-Latn-RS"/>
              </w:rPr>
            </w:pPr>
            <w:proofErr w:type="spellStart"/>
            <w:r w:rsidRPr="00E53931">
              <w:rPr>
                <w:sz w:val="22"/>
                <w:szCs w:val="22"/>
                <w:lang w:val="sr-Latn-RS" w:eastAsia="sr-Latn-RS"/>
              </w:rPr>
              <w:t>Буџетски</w:t>
            </w:r>
            <w:proofErr w:type="spellEnd"/>
            <w:r w:rsidRPr="00E53931">
              <w:rPr>
                <w:sz w:val="22"/>
                <w:szCs w:val="22"/>
                <w:lang w:val="sr-Latn-RS" w:eastAsia="sr-Latn-RS"/>
              </w:rPr>
              <w:t xml:space="preserve"> </w:t>
            </w:r>
            <w:proofErr w:type="spellStart"/>
            <w:r w:rsidRPr="00E53931">
              <w:rPr>
                <w:sz w:val="22"/>
                <w:szCs w:val="22"/>
                <w:lang w:val="sr-Latn-RS" w:eastAsia="sr-Latn-RS"/>
              </w:rPr>
              <w:t>расходи</w:t>
            </w:r>
            <w:proofErr w:type="spellEnd"/>
          </w:p>
        </w:tc>
        <w:tc>
          <w:tcPr>
            <w:tcW w:w="1655" w:type="dxa"/>
            <w:tcBorders>
              <w:top w:val="nil"/>
              <w:left w:val="nil"/>
              <w:bottom w:val="nil"/>
              <w:right w:val="nil"/>
            </w:tcBorders>
            <w:shd w:val="clear" w:color="auto" w:fill="auto"/>
            <w:noWrap/>
            <w:vAlign w:val="bottom"/>
            <w:hideMark/>
          </w:tcPr>
          <w:p w14:paraId="0A87A4AD" w14:textId="77777777" w:rsidR="00E53931" w:rsidRPr="00E53931" w:rsidRDefault="00E53931" w:rsidP="00E53931">
            <w:pPr>
              <w:ind w:left="0" w:right="0" w:firstLine="0"/>
              <w:jc w:val="right"/>
              <w:rPr>
                <w:sz w:val="22"/>
                <w:szCs w:val="22"/>
                <w:lang w:val="sr-Latn-RS" w:eastAsia="sr-Latn-RS"/>
              </w:rPr>
            </w:pPr>
            <w:r w:rsidRPr="00E53931">
              <w:rPr>
                <w:sz w:val="22"/>
                <w:szCs w:val="22"/>
                <w:lang w:val="sr-Latn-RS" w:eastAsia="sr-Latn-RS"/>
              </w:rPr>
              <w:t>13.279.645,52</w:t>
            </w:r>
          </w:p>
        </w:tc>
        <w:tc>
          <w:tcPr>
            <w:tcW w:w="1597" w:type="dxa"/>
            <w:tcBorders>
              <w:top w:val="nil"/>
              <w:left w:val="nil"/>
              <w:bottom w:val="nil"/>
              <w:right w:val="nil"/>
            </w:tcBorders>
            <w:shd w:val="clear" w:color="auto" w:fill="auto"/>
            <w:noWrap/>
            <w:vAlign w:val="bottom"/>
            <w:hideMark/>
          </w:tcPr>
          <w:p w14:paraId="10C53E97" w14:textId="77777777" w:rsidR="00E53931" w:rsidRPr="00E53931" w:rsidRDefault="00E53931" w:rsidP="00E53931">
            <w:pPr>
              <w:ind w:left="0" w:right="0" w:firstLine="0"/>
              <w:jc w:val="right"/>
              <w:rPr>
                <w:sz w:val="22"/>
                <w:szCs w:val="22"/>
                <w:lang w:val="sr-Latn-RS" w:eastAsia="sr-Latn-RS"/>
              </w:rPr>
            </w:pPr>
            <w:r w:rsidRPr="00E53931">
              <w:rPr>
                <w:sz w:val="22"/>
                <w:szCs w:val="22"/>
                <w:lang w:val="sr-Latn-RS" w:eastAsia="sr-Latn-RS"/>
              </w:rPr>
              <w:t>12.571.055,11</w:t>
            </w:r>
          </w:p>
        </w:tc>
        <w:tc>
          <w:tcPr>
            <w:tcW w:w="1014" w:type="dxa"/>
            <w:tcBorders>
              <w:top w:val="nil"/>
              <w:left w:val="nil"/>
              <w:bottom w:val="nil"/>
              <w:right w:val="nil"/>
            </w:tcBorders>
            <w:shd w:val="clear" w:color="auto" w:fill="auto"/>
            <w:noWrap/>
            <w:vAlign w:val="center"/>
            <w:hideMark/>
          </w:tcPr>
          <w:p w14:paraId="79FEF41A" w14:textId="77777777" w:rsidR="00E53931" w:rsidRPr="00E53931" w:rsidRDefault="00E53931" w:rsidP="00E53931">
            <w:pPr>
              <w:ind w:left="0" w:right="0" w:firstLine="0"/>
              <w:jc w:val="right"/>
              <w:rPr>
                <w:sz w:val="22"/>
                <w:szCs w:val="22"/>
                <w:lang w:val="sr-Latn-RS" w:eastAsia="sr-Latn-RS"/>
              </w:rPr>
            </w:pPr>
            <w:r w:rsidRPr="00E53931">
              <w:rPr>
                <w:sz w:val="22"/>
                <w:szCs w:val="22"/>
                <w:lang w:val="sr-Latn-RS" w:eastAsia="sr-Latn-RS"/>
              </w:rPr>
              <w:t>94,66</w:t>
            </w:r>
          </w:p>
        </w:tc>
      </w:tr>
      <w:tr w:rsidR="00E53931" w:rsidRPr="00E53931" w14:paraId="7509110A" w14:textId="77777777" w:rsidTr="00901BE1">
        <w:trPr>
          <w:trHeight w:val="315"/>
        </w:trPr>
        <w:tc>
          <w:tcPr>
            <w:tcW w:w="651" w:type="dxa"/>
            <w:tcBorders>
              <w:top w:val="nil"/>
              <w:left w:val="nil"/>
              <w:bottom w:val="nil"/>
              <w:right w:val="nil"/>
            </w:tcBorders>
            <w:shd w:val="clear" w:color="auto" w:fill="auto"/>
            <w:noWrap/>
            <w:vAlign w:val="center"/>
            <w:hideMark/>
          </w:tcPr>
          <w:p w14:paraId="03280527" w14:textId="77777777" w:rsidR="00E53931" w:rsidRPr="00E53931" w:rsidRDefault="00E53931" w:rsidP="00E53931">
            <w:pPr>
              <w:ind w:left="0" w:right="0" w:firstLine="0"/>
              <w:jc w:val="center"/>
              <w:rPr>
                <w:sz w:val="22"/>
                <w:szCs w:val="22"/>
                <w:lang w:val="sr-Latn-RS" w:eastAsia="sr-Latn-RS"/>
              </w:rPr>
            </w:pPr>
            <w:r w:rsidRPr="00E53931">
              <w:rPr>
                <w:sz w:val="22"/>
                <w:szCs w:val="22"/>
                <w:lang w:val="sr-Latn-RS" w:eastAsia="sr-Latn-RS"/>
              </w:rPr>
              <w:t>2.</w:t>
            </w:r>
          </w:p>
        </w:tc>
        <w:tc>
          <w:tcPr>
            <w:tcW w:w="6012" w:type="dxa"/>
            <w:tcBorders>
              <w:top w:val="nil"/>
              <w:left w:val="nil"/>
              <w:bottom w:val="nil"/>
              <w:right w:val="nil"/>
            </w:tcBorders>
            <w:shd w:val="clear" w:color="auto" w:fill="auto"/>
            <w:noWrap/>
            <w:vAlign w:val="center"/>
            <w:hideMark/>
          </w:tcPr>
          <w:p w14:paraId="315A6CC1" w14:textId="77777777" w:rsidR="00E53931" w:rsidRPr="00E53931" w:rsidRDefault="00E53931" w:rsidP="00E53931">
            <w:pPr>
              <w:ind w:left="0" w:right="0" w:firstLine="0"/>
              <w:jc w:val="left"/>
              <w:rPr>
                <w:sz w:val="22"/>
                <w:szCs w:val="22"/>
                <w:lang w:val="sr-Latn-RS" w:eastAsia="sr-Latn-RS"/>
              </w:rPr>
            </w:pPr>
            <w:proofErr w:type="spellStart"/>
            <w:r w:rsidRPr="00E53931">
              <w:rPr>
                <w:sz w:val="22"/>
                <w:szCs w:val="22"/>
                <w:lang w:val="sr-Latn-RS" w:eastAsia="sr-Latn-RS"/>
              </w:rPr>
              <w:t>Издаци</w:t>
            </w:r>
            <w:proofErr w:type="spellEnd"/>
            <w:r w:rsidRPr="00E53931">
              <w:rPr>
                <w:sz w:val="22"/>
                <w:szCs w:val="22"/>
                <w:lang w:val="sr-Latn-RS" w:eastAsia="sr-Latn-RS"/>
              </w:rPr>
              <w:t xml:space="preserve"> </w:t>
            </w:r>
            <w:proofErr w:type="spellStart"/>
            <w:r w:rsidRPr="00E53931">
              <w:rPr>
                <w:sz w:val="22"/>
                <w:szCs w:val="22"/>
                <w:lang w:val="sr-Latn-RS" w:eastAsia="sr-Latn-RS"/>
              </w:rPr>
              <w:t>за</w:t>
            </w:r>
            <w:proofErr w:type="spellEnd"/>
            <w:r w:rsidRPr="00E53931">
              <w:rPr>
                <w:sz w:val="22"/>
                <w:szCs w:val="22"/>
                <w:lang w:val="sr-Latn-RS" w:eastAsia="sr-Latn-RS"/>
              </w:rPr>
              <w:t xml:space="preserve"> </w:t>
            </w:r>
            <w:proofErr w:type="spellStart"/>
            <w:r w:rsidRPr="00E53931">
              <w:rPr>
                <w:sz w:val="22"/>
                <w:szCs w:val="22"/>
                <w:lang w:val="sr-Latn-RS" w:eastAsia="sr-Latn-RS"/>
              </w:rPr>
              <w:t>нефинансијску</w:t>
            </w:r>
            <w:proofErr w:type="spellEnd"/>
            <w:r w:rsidRPr="00E53931">
              <w:rPr>
                <w:sz w:val="22"/>
                <w:szCs w:val="22"/>
                <w:lang w:val="sr-Latn-RS" w:eastAsia="sr-Latn-RS"/>
              </w:rPr>
              <w:t xml:space="preserve"> </w:t>
            </w:r>
            <w:proofErr w:type="spellStart"/>
            <w:r w:rsidRPr="00E53931">
              <w:rPr>
                <w:sz w:val="22"/>
                <w:szCs w:val="22"/>
                <w:lang w:val="sr-Latn-RS" w:eastAsia="sr-Latn-RS"/>
              </w:rPr>
              <w:t>имовину</w:t>
            </w:r>
            <w:proofErr w:type="spellEnd"/>
          </w:p>
        </w:tc>
        <w:tc>
          <w:tcPr>
            <w:tcW w:w="1655" w:type="dxa"/>
            <w:tcBorders>
              <w:top w:val="nil"/>
              <w:left w:val="nil"/>
              <w:bottom w:val="nil"/>
              <w:right w:val="nil"/>
            </w:tcBorders>
            <w:shd w:val="clear" w:color="auto" w:fill="auto"/>
            <w:noWrap/>
            <w:vAlign w:val="bottom"/>
            <w:hideMark/>
          </w:tcPr>
          <w:p w14:paraId="750AFBCF" w14:textId="77777777" w:rsidR="00E53931" w:rsidRPr="00E53931" w:rsidRDefault="00E53931" w:rsidP="00E53931">
            <w:pPr>
              <w:ind w:left="0" w:right="0" w:firstLine="0"/>
              <w:jc w:val="right"/>
              <w:rPr>
                <w:sz w:val="22"/>
                <w:szCs w:val="22"/>
                <w:lang w:val="sr-Latn-RS" w:eastAsia="sr-Latn-RS"/>
              </w:rPr>
            </w:pPr>
            <w:r w:rsidRPr="00E53931">
              <w:rPr>
                <w:sz w:val="22"/>
                <w:szCs w:val="22"/>
                <w:lang w:val="sr-Latn-RS" w:eastAsia="sr-Latn-RS"/>
              </w:rPr>
              <w:t>3.400.744,50</w:t>
            </w:r>
          </w:p>
        </w:tc>
        <w:tc>
          <w:tcPr>
            <w:tcW w:w="1597" w:type="dxa"/>
            <w:tcBorders>
              <w:top w:val="nil"/>
              <w:left w:val="nil"/>
              <w:bottom w:val="nil"/>
              <w:right w:val="nil"/>
            </w:tcBorders>
            <w:shd w:val="clear" w:color="auto" w:fill="auto"/>
            <w:noWrap/>
            <w:vAlign w:val="bottom"/>
            <w:hideMark/>
          </w:tcPr>
          <w:p w14:paraId="416B20EC" w14:textId="77777777" w:rsidR="00E53931" w:rsidRPr="00E53931" w:rsidRDefault="00E53931" w:rsidP="00E53931">
            <w:pPr>
              <w:ind w:left="0" w:right="0" w:firstLine="0"/>
              <w:jc w:val="right"/>
              <w:rPr>
                <w:sz w:val="22"/>
                <w:szCs w:val="22"/>
                <w:lang w:val="sr-Latn-RS" w:eastAsia="sr-Latn-RS"/>
              </w:rPr>
            </w:pPr>
            <w:r w:rsidRPr="00E53931">
              <w:rPr>
                <w:sz w:val="22"/>
                <w:szCs w:val="22"/>
                <w:lang w:val="sr-Latn-RS" w:eastAsia="sr-Latn-RS"/>
              </w:rPr>
              <w:t>3.279.708,53</w:t>
            </w:r>
          </w:p>
        </w:tc>
        <w:tc>
          <w:tcPr>
            <w:tcW w:w="1014" w:type="dxa"/>
            <w:tcBorders>
              <w:top w:val="nil"/>
              <w:left w:val="nil"/>
              <w:bottom w:val="nil"/>
              <w:right w:val="nil"/>
            </w:tcBorders>
            <w:shd w:val="clear" w:color="auto" w:fill="auto"/>
            <w:noWrap/>
            <w:vAlign w:val="center"/>
            <w:hideMark/>
          </w:tcPr>
          <w:p w14:paraId="45DAC6CA" w14:textId="77777777" w:rsidR="00E53931" w:rsidRPr="00E53931" w:rsidRDefault="00E53931" w:rsidP="00E53931">
            <w:pPr>
              <w:ind w:left="0" w:right="0" w:firstLine="0"/>
              <w:jc w:val="right"/>
              <w:rPr>
                <w:sz w:val="22"/>
                <w:szCs w:val="22"/>
                <w:lang w:val="sr-Latn-RS" w:eastAsia="sr-Latn-RS"/>
              </w:rPr>
            </w:pPr>
            <w:r w:rsidRPr="00E53931">
              <w:rPr>
                <w:sz w:val="22"/>
                <w:szCs w:val="22"/>
                <w:lang w:val="sr-Latn-RS" w:eastAsia="sr-Latn-RS"/>
              </w:rPr>
              <w:t>96,44</w:t>
            </w:r>
          </w:p>
        </w:tc>
      </w:tr>
      <w:tr w:rsidR="00E53931" w:rsidRPr="00E53931" w14:paraId="4E201243" w14:textId="77777777" w:rsidTr="00901BE1">
        <w:trPr>
          <w:trHeight w:val="315"/>
        </w:trPr>
        <w:tc>
          <w:tcPr>
            <w:tcW w:w="651" w:type="dxa"/>
            <w:tcBorders>
              <w:top w:val="nil"/>
              <w:left w:val="nil"/>
              <w:bottom w:val="nil"/>
              <w:right w:val="nil"/>
            </w:tcBorders>
            <w:shd w:val="clear" w:color="auto" w:fill="auto"/>
            <w:noWrap/>
            <w:vAlign w:val="center"/>
            <w:hideMark/>
          </w:tcPr>
          <w:p w14:paraId="77DFAEC8" w14:textId="77777777" w:rsidR="00E53931" w:rsidRPr="00E53931" w:rsidRDefault="00E53931" w:rsidP="00E53931">
            <w:pPr>
              <w:ind w:left="0" w:right="0" w:firstLine="0"/>
              <w:jc w:val="center"/>
              <w:rPr>
                <w:sz w:val="22"/>
                <w:szCs w:val="22"/>
                <w:lang w:val="sr-Latn-RS" w:eastAsia="sr-Latn-RS"/>
              </w:rPr>
            </w:pPr>
            <w:r w:rsidRPr="00E53931">
              <w:rPr>
                <w:sz w:val="22"/>
                <w:szCs w:val="22"/>
                <w:lang w:val="sr-Latn-RS" w:eastAsia="sr-Latn-RS"/>
              </w:rPr>
              <w:t>3.</w:t>
            </w:r>
          </w:p>
        </w:tc>
        <w:tc>
          <w:tcPr>
            <w:tcW w:w="6012" w:type="dxa"/>
            <w:tcBorders>
              <w:top w:val="nil"/>
              <w:left w:val="nil"/>
              <w:bottom w:val="nil"/>
              <w:right w:val="nil"/>
            </w:tcBorders>
            <w:shd w:val="clear" w:color="auto" w:fill="auto"/>
            <w:noWrap/>
            <w:vAlign w:val="center"/>
            <w:hideMark/>
          </w:tcPr>
          <w:p w14:paraId="5B411C20" w14:textId="77777777" w:rsidR="00E53931" w:rsidRPr="00E53931" w:rsidRDefault="00E53931" w:rsidP="00E53931">
            <w:pPr>
              <w:ind w:left="0" w:right="0" w:firstLine="0"/>
              <w:jc w:val="left"/>
              <w:rPr>
                <w:sz w:val="22"/>
                <w:szCs w:val="22"/>
                <w:lang w:val="sr-Latn-RS" w:eastAsia="sr-Latn-RS"/>
              </w:rPr>
            </w:pPr>
            <w:proofErr w:type="spellStart"/>
            <w:r w:rsidRPr="00E53931">
              <w:rPr>
                <w:sz w:val="22"/>
                <w:szCs w:val="22"/>
                <w:lang w:val="sr-Latn-RS" w:eastAsia="sr-Latn-RS"/>
              </w:rPr>
              <w:t>Издаци</w:t>
            </w:r>
            <w:proofErr w:type="spellEnd"/>
            <w:r w:rsidRPr="00E53931">
              <w:rPr>
                <w:sz w:val="22"/>
                <w:szCs w:val="22"/>
                <w:lang w:val="sr-Latn-RS" w:eastAsia="sr-Latn-RS"/>
              </w:rPr>
              <w:t xml:space="preserve"> </w:t>
            </w:r>
            <w:proofErr w:type="spellStart"/>
            <w:r w:rsidRPr="00E53931">
              <w:rPr>
                <w:sz w:val="22"/>
                <w:szCs w:val="22"/>
                <w:lang w:val="sr-Latn-RS" w:eastAsia="sr-Latn-RS"/>
              </w:rPr>
              <w:t>за</w:t>
            </w:r>
            <w:proofErr w:type="spellEnd"/>
            <w:r w:rsidRPr="00E53931">
              <w:rPr>
                <w:sz w:val="22"/>
                <w:szCs w:val="22"/>
                <w:lang w:val="sr-Latn-RS" w:eastAsia="sr-Latn-RS"/>
              </w:rPr>
              <w:t xml:space="preserve"> </w:t>
            </w:r>
            <w:proofErr w:type="spellStart"/>
            <w:r w:rsidRPr="00E53931">
              <w:rPr>
                <w:sz w:val="22"/>
                <w:szCs w:val="22"/>
                <w:lang w:val="sr-Latn-RS" w:eastAsia="sr-Latn-RS"/>
              </w:rPr>
              <w:t>отплату</w:t>
            </w:r>
            <w:proofErr w:type="spellEnd"/>
            <w:r w:rsidRPr="00E53931">
              <w:rPr>
                <w:sz w:val="22"/>
                <w:szCs w:val="22"/>
                <w:lang w:val="sr-Latn-RS" w:eastAsia="sr-Latn-RS"/>
              </w:rPr>
              <w:t xml:space="preserve"> </w:t>
            </w:r>
            <w:proofErr w:type="spellStart"/>
            <w:r w:rsidRPr="00E53931">
              <w:rPr>
                <w:sz w:val="22"/>
                <w:szCs w:val="22"/>
                <w:lang w:val="sr-Latn-RS" w:eastAsia="sr-Latn-RS"/>
              </w:rPr>
              <w:t>дугова</w:t>
            </w:r>
            <w:proofErr w:type="spellEnd"/>
          </w:p>
        </w:tc>
        <w:tc>
          <w:tcPr>
            <w:tcW w:w="1655" w:type="dxa"/>
            <w:tcBorders>
              <w:top w:val="nil"/>
              <w:left w:val="nil"/>
              <w:bottom w:val="nil"/>
              <w:right w:val="nil"/>
            </w:tcBorders>
            <w:shd w:val="clear" w:color="auto" w:fill="auto"/>
            <w:noWrap/>
            <w:vAlign w:val="bottom"/>
            <w:hideMark/>
          </w:tcPr>
          <w:p w14:paraId="6BE0DFFF" w14:textId="77777777" w:rsidR="00E53931" w:rsidRPr="00E53931" w:rsidRDefault="00E53931" w:rsidP="00E53931">
            <w:pPr>
              <w:ind w:left="0" w:right="0" w:firstLine="0"/>
              <w:jc w:val="right"/>
              <w:rPr>
                <w:sz w:val="22"/>
                <w:szCs w:val="22"/>
                <w:lang w:val="sr-Latn-RS" w:eastAsia="sr-Latn-RS"/>
              </w:rPr>
            </w:pPr>
            <w:r w:rsidRPr="00E53931">
              <w:rPr>
                <w:sz w:val="22"/>
                <w:szCs w:val="22"/>
                <w:lang w:val="sr-Latn-RS" w:eastAsia="sr-Latn-RS"/>
              </w:rPr>
              <w:t>1.026.000,00</w:t>
            </w:r>
          </w:p>
        </w:tc>
        <w:tc>
          <w:tcPr>
            <w:tcW w:w="1597" w:type="dxa"/>
            <w:tcBorders>
              <w:top w:val="nil"/>
              <w:left w:val="nil"/>
              <w:bottom w:val="nil"/>
              <w:right w:val="nil"/>
            </w:tcBorders>
            <w:shd w:val="clear" w:color="auto" w:fill="auto"/>
            <w:noWrap/>
            <w:vAlign w:val="bottom"/>
            <w:hideMark/>
          </w:tcPr>
          <w:p w14:paraId="2CFE3AD1" w14:textId="77777777" w:rsidR="00E53931" w:rsidRPr="00E53931" w:rsidRDefault="00E53931" w:rsidP="00E53931">
            <w:pPr>
              <w:ind w:left="0" w:right="0" w:firstLine="0"/>
              <w:jc w:val="right"/>
              <w:rPr>
                <w:sz w:val="22"/>
                <w:szCs w:val="22"/>
                <w:lang w:val="sr-Latn-RS" w:eastAsia="sr-Latn-RS"/>
              </w:rPr>
            </w:pPr>
            <w:r w:rsidRPr="00E53931">
              <w:rPr>
                <w:sz w:val="22"/>
                <w:szCs w:val="22"/>
                <w:lang w:val="sr-Latn-RS" w:eastAsia="sr-Latn-RS"/>
              </w:rPr>
              <w:t>1.000.261,27</w:t>
            </w:r>
          </w:p>
        </w:tc>
        <w:tc>
          <w:tcPr>
            <w:tcW w:w="1014" w:type="dxa"/>
            <w:tcBorders>
              <w:top w:val="nil"/>
              <w:left w:val="nil"/>
              <w:bottom w:val="nil"/>
              <w:right w:val="nil"/>
            </w:tcBorders>
            <w:shd w:val="clear" w:color="auto" w:fill="auto"/>
            <w:noWrap/>
            <w:vAlign w:val="center"/>
            <w:hideMark/>
          </w:tcPr>
          <w:p w14:paraId="30231D19" w14:textId="77777777" w:rsidR="00E53931" w:rsidRPr="00E53931" w:rsidRDefault="00E53931" w:rsidP="00E53931">
            <w:pPr>
              <w:ind w:left="0" w:right="0" w:firstLine="0"/>
              <w:jc w:val="right"/>
              <w:rPr>
                <w:sz w:val="22"/>
                <w:szCs w:val="22"/>
                <w:lang w:val="sr-Latn-RS" w:eastAsia="sr-Latn-RS"/>
              </w:rPr>
            </w:pPr>
            <w:r w:rsidRPr="00E53931">
              <w:rPr>
                <w:sz w:val="22"/>
                <w:szCs w:val="22"/>
                <w:lang w:val="sr-Latn-RS" w:eastAsia="sr-Latn-RS"/>
              </w:rPr>
              <w:t>97,49</w:t>
            </w:r>
          </w:p>
        </w:tc>
      </w:tr>
      <w:tr w:rsidR="00E53931" w:rsidRPr="00E53931" w14:paraId="1C313803" w14:textId="77777777" w:rsidTr="00901BE1">
        <w:trPr>
          <w:trHeight w:val="315"/>
        </w:trPr>
        <w:tc>
          <w:tcPr>
            <w:tcW w:w="651" w:type="dxa"/>
            <w:tcBorders>
              <w:top w:val="nil"/>
              <w:left w:val="nil"/>
              <w:bottom w:val="nil"/>
              <w:right w:val="nil"/>
            </w:tcBorders>
            <w:shd w:val="clear" w:color="auto" w:fill="auto"/>
            <w:noWrap/>
            <w:vAlign w:val="center"/>
            <w:hideMark/>
          </w:tcPr>
          <w:p w14:paraId="3F696770" w14:textId="77777777" w:rsidR="00E53931" w:rsidRPr="00E53931" w:rsidRDefault="00E53931" w:rsidP="00E53931">
            <w:pPr>
              <w:ind w:left="0" w:right="0" w:firstLine="0"/>
              <w:jc w:val="center"/>
              <w:rPr>
                <w:sz w:val="22"/>
                <w:szCs w:val="22"/>
                <w:lang w:val="sr-Latn-RS" w:eastAsia="sr-Latn-RS"/>
              </w:rPr>
            </w:pPr>
            <w:r w:rsidRPr="00E53931">
              <w:rPr>
                <w:sz w:val="22"/>
                <w:szCs w:val="22"/>
                <w:lang w:val="sr-Latn-RS" w:eastAsia="sr-Latn-RS"/>
              </w:rPr>
              <w:t>4.</w:t>
            </w:r>
          </w:p>
        </w:tc>
        <w:tc>
          <w:tcPr>
            <w:tcW w:w="6012" w:type="dxa"/>
            <w:tcBorders>
              <w:top w:val="nil"/>
              <w:left w:val="nil"/>
              <w:bottom w:val="nil"/>
              <w:right w:val="nil"/>
            </w:tcBorders>
            <w:shd w:val="clear" w:color="auto" w:fill="auto"/>
            <w:noWrap/>
            <w:vAlign w:val="center"/>
            <w:hideMark/>
          </w:tcPr>
          <w:p w14:paraId="49B1F806" w14:textId="77777777" w:rsidR="00E53931" w:rsidRPr="00E53931" w:rsidRDefault="00E53931" w:rsidP="00E53931">
            <w:pPr>
              <w:ind w:left="0" w:right="0" w:firstLine="0"/>
              <w:jc w:val="left"/>
              <w:rPr>
                <w:sz w:val="22"/>
                <w:szCs w:val="22"/>
                <w:lang w:val="sr-Latn-RS" w:eastAsia="sr-Latn-RS"/>
              </w:rPr>
            </w:pPr>
            <w:proofErr w:type="spellStart"/>
            <w:r w:rsidRPr="00E53931">
              <w:rPr>
                <w:sz w:val="22"/>
                <w:szCs w:val="22"/>
                <w:lang w:val="sr-Latn-RS" w:eastAsia="sr-Latn-RS"/>
              </w:rPr>
              <w:t>Остали</w:t>
            </w:r>
            <w:proofErr w:type="spellEnd"/>
            <w:r w:rsidRPr="00E53931">
              <w:rPr>
                <w:sz w:val="22"/>
                <w:szCs w:val="22"/>
                <w:lang w:val="sr-Latn-RS" w:eastAsia="sr-Latn-RS"/>
              </w:rPr>
              <w:t xml:space="preserve"> </w:t>
            </w:r>
            <w:proofErr w:type="spellStart"/>
            <w:r w:rsidRPr="00E53931">
              <w:rPr>
                <w:sz w:val="22"/>
                <w:szCs w:val="22"/>
                <w:lang w:val="sr-Latn-RS" w:eastAsia="sr-Latn-RS"/>
              </w:rPr>
              <w:t>издаци</w:t>
            </w:r>
            <w:proofErr w:type="spellEnd"/>
            <w:r w:rsidRPr="00E53931">
              <w:rPr>
                <w:sz w:val="22"/>
                <w:szCs w:val="22"/>
                <w:lang w:val="sr-Latn-RS" w:eastAsia="sr-Latn-RS"/>
              </w:rPr>
              <w:t xml:space="preserve"> </w:t>
            </w:r>
          </w:p>
        </w:tc>
        <w:tc>
          <w:tcPr>
            <w:tcW w:w="1655" w:type="dxa"/>
            <w:tcBorders>
              <w:top w:val="nil"/>
              <w:left w:val="nil"/>
              <w:bottom w:val="nil"/>
              <w:right w:val="nil"/>
            </w:tcBorders>
            <w:shd w:val="clear" w:color="auto" w:fill="auto"/>
            <w:noWrap/>
            <w:vAlign w:val="bottom"/>
            <w:hideMark/>
          </w:tcPr>
          <w:p w14:paraId="4B84CAD5" w14:textId="77777777" w:rsidR="00E53931" w:rsidRPr="00E53931" w:rsidRDefault="00E53931" w:rsidP="00E53931">
            <w:pPr>
              <w:ind w:left="0" w:right="0" w:firstLine="0"/>
              <w:jc w:val="right"/>
              <w:rPr>
                <w:sz w:val="22"/>
                <w:szCs w:val="22"/>
                <w:lang w:val="sr-Latn-RS" w:eastAsia="sr-Latn-RS"/>
              </w:rPr>
            </w:pPr>
            <w:r w:rsidRPr="00E53931">
              <w:rPr>
                <w:sz w:val="22"/>
                <w:szCs w:val="22"/>
                <w:lang w:val="sr-Latn-RS" w:eastAsia="sr-Latn-RS"/>
              </w:rPr>
              <w:t>186.909,98</w:t>
            </w:r>
          </w:p>
        </w:tc>
        <w:tc>
          <w:tcPr>
            <w:tcW w:w="1597" w:type="dxa"/>
            <w:tcBorders>
              <w:top w:val="nil"/>
              <w:left w:val="nil"/>
              <w:bottom w:val="nil"/>
              <w:right w:val="nil"/>
            </w:tcBorders>
            <w:shd w:val="clear" w:color="auto" w:fill="auto"/>
            <w:noWrap/>
            <w:vAlign w:val="bottom"/>
            <w:hideMark/>
          </w:tcPr>
          <w:p w14:paraId="40662040" w14:textId="77777777" w:rsidR="00E53931" w:rsidRPr="00E53931" w:rsidRDefault="00E53931" w:rsidP="00E53931">
            <w:pPr>
              <w:ind w:left="0" w:right="0" w:firstLine="0"/>
              <w:jc w:val="right"/>
              <w:rPr>
                <w:sz w:val="22"/>
                <w:szCs w:val="22"/>
                <w:lang w:val="sr-Latn-RS" w:eastAsia="sr-Latn-RS"/>
              </w:rPr>
            </w:pPr>
            <w:r w:rsidRPr="00E53931">
              <w:rPr>
                <w:sz w:val="22"/>
                <w:szCs w:val="22"/>
                <w:lang w:val="sr-Latn-RS" w:eastAsia="sr-Latn-RS"/>
              </w:rPr>
              <w:t>166.772,79</w:t>
            </w:r>
          </w:p>
        </w:tc>
        <w:tc>
          <w:tcPr>
            <w:tcW w:w="1014" w:type="dxa"/>
            <w:tcBorders>
              <w:top w:val="nil"/>
              <w:left w:val="nil"/>
              <w:bottom w:val="nil"/>
              <w:right w:val="nil"/>
            </w:tcBorders>
            <w:shd w:val="clear" w:color="auto" w:fill="auto"/>
            <w:noWrap/>
            <w:vAlign w:val="center"/>
            <w:hideMark/>
          </w:tcPr>
          <w:p w14:paraId="28F00D0B" w14:textId="77777777" w:rsidR="00E53931" w:rsidRPr="00E53931" w:rsidRDefault="00E53931" w:rsidP="00E53931">
            <w:pPr>
              <w:ind w:left="0" w:right="0" w:firstLine="0"/>
              <w:jc w:val="right"/>
              <w:rPr>
                <w:sz w:val="22"/>
                <w:szCs w:val="22"/>
                <w:lang w:val="sr-Latn-RS" w:eastAsia="sr-Latn-RS"/>
              </w:rPr>
            </w:pPr>
            <w:r w:rsidRPr="00E53931">
              <w:rPr>
                <w:sz w:val="22"/>
                <w:szCs w:val="22"/>
                <w:lang w:val="sr-Latn-RS" w:eastAsia="sr-Latn-RS"/>
              </w:rPr>
              <w:t>89,23</w:t>
            </w:r>
          </w:p>
        </w:tc>
      </w:tr>
      <w:tr w:rsidR="00E53931" w:rsidRPr="00E53931" w14:paraId="30193372" w14:textId="77777777" w:rsidTr="00901BE1">
        <w:trPr>
          <w:trHeight w:val="315"/>
        </w:trPr>
        <w:tc>
          <w:tcPr>
            <w:tcW w:w="651" w:type="dxa"/>
            <w:tcBorders>
              <w:top w:val="nil"/>
              <w:left w:val="nil"/>
              <w:bottom w:val="nil"/>
              <w:right w:val="nil"/>
            </w:tcBorders>
            <w:shd w:val="clear" w:color="auto" w:fill="auto"/>
            <w:noWrap/>
            <w:vAlign w:val="center"/>
            <w:hideMark/>
          </w:tcPr>
          <w:p w14:paraId="273E9CD7" w14:textId="77777777" w:rsidR="00E53931" w:rsidRPr="00E53931" w:rsidRDefault="00E53931" w:rsidP="00E53931">
            <w:pPr>
              <w:ind w:left="0" w:right="0" w:firstLine="0"/>
              <w:jc w:val="center"/>
              <w:rPr>
                <w:b/>
                <w:bCs/>
                <w:sz w:val="22"/>
                <w:szCs w:val="22"/>
                <w:lang w:val="sr-Latn-RS" w:eastAsia="sr-Latn-RS"/>
              </w:rPr>
            </w:pPr>
            <w:r w:rsidRPr="00E53931">
              <w:rPr>
                <w:b/>
                <w:bCs/>
                <w:sz w:val="22"/>
                <w:szCs w:val="22"/>
                <w:lang w:val="sr-Latn-RS" w:eastAsia="sr-Latn-RS"/>
              </w:rPr>
              <w:t>5.</w:t>
            </w:r>
          </w:p>
        </w:tc>
        <w:tc>
          <w:tcPr>
            <w:tcW w:w="6012" w:type="dxa"/>
            <w:tcBorders>
              <w:top w:val="nil"/>
              <w:left w:val="nil"/>
              <w:bottom w:val="nil"/>
              <w:right w:val="nil"/>
            </w:tcBorders>
            <w:shd w:val="clear" w:color="auto" w:fill="auto"/>
            <w:noWrap/>
            <w:vAlign w:val="bottom"/>
            <w:hideMark/>
          </w:tcPr>
          <w:p w14:paraId="28139E1A" w14:textId="77777777" w:rsidR="00E53931" w:rsidRPr="00E53931" w:rsidRDefault="00E53931" w:rsidP="00E53931">
            <w:pPr>
              <w:ind w:left="0" w:right="0" w:firstLine="0"/>
              <w:jc w:val="left"/>
              <w:rPr>
                <w:b/>
                <w:bCs/>
                <w:sz w:val="22"/>
                <w:szCs w:val="22"/>
                <w:lang w:val="sr-Latn-RS" w:eastAsia="sr-Latn-RS"/>
              </w:rPr>
            </w:pPr>
            <w:r w:rsidRPr="00E53931">
              <w:rPr>
                <w:b/>
                <w:bCs/>
                <w:sz w:val="22"/>
                <w:szCs w:val="22"/>
                <w:lang w:val="sr-Latn-RS" w:eastAsia="sr-Latn-RS"/>
              </w:rPr>
              <w:t>УКУПНИ БУЏЕТСКИ ИЗДАЦИ ФОНД 01 (1+2+3+4)</w:t>
            </w:r>
          </w:p>
        </w:tc>
        <w:tc>
          <w:tcPr>
            <w:tcW w:w="1655" w:type="dxa"/>
            <w:tcBorders>
              <w:top w:val="nil"/>
              <w:left w:val="nil"/>
              <w:bottom w:val="nil"/>
              <w:right w:val="nil"/>
            </w:tcBorders>
            <w:shd w:val="clear" w:color="auto" w:fill="auto"/>
            <w:noWrap/>
            <w:vAlign w:val="center"/>
            <w:hideMark/>
          </w:tcPr>
          <w:p w14:paraId="13A5158D" w14:textId="77777777" w:rsidR="00E53931" w:rsidRPr="00E53931" w:rsidRDefault="00E53931" w:rsidP="00E53931">
            <w:pPr>
              <w:ind w:left="0" w:right="0" w:firstLine="0"/>
              <w:jc w:val="right"/>
              <w:rPr>
                <w:b/>
                <w:bCs/>
                <w:sz w:val="22"/>
                <w:szCs w:val="22"/>
                <w:lang w:val="sr-Latn-RS" w:eastAsia="sr-Latn-RS"/>
              </w:rPr>
            </w:pPr>
            <w:r w:rsidRPr="00E53931">
              <w:rPr>
                <w:b/>
                <w:bCs/>
                <w:sz w:val="22"/>
                <w:szCs w:val="22"/>
                <w:lang w:val="sr-Latn-RS" w:eastAsia="sr-Latn-RS"/>
              </w:rPr>
              <w:t>17.893.300,00</w:t>
            </w:r>
          </w:p>
        </w:tc>
        <w:tc>
          <w:tcPr>
            <w:tcW w:w="1597" w:type="dxa"/>
            <w:tcBorders>
              <w:top w:val="nil"/>
              <w:left w:val="nil"/>
              <w:bottom w:val="nil"/>
              <w:right w:val="nil"/>
            </w:tcBorders>
            <w:shd w:val="clear" w:color="auto" w:fill="auto"/>
            <w:noWrap/>
            <w:vAlign w:val="center"/>
            <w:hideMark/>
          </w:tcPr>
          <w:p w14:paraId="3F388E5A" w14:textId="77777777" w:rsidR="00E53931" w:rsidRPr="00E53931" w:rsidRDefault="00E53931" w:rsidP="00E53931">
            <w:pPr>
              <w:ind w:left="0" w:right="0" w:firstLine="0"/>
              <w:jc w:val="right"/>
              <w:rPr>
                <w:b/>
                <w:bCs/>
                <w:sz w:val="22"/>
                <w:szCs w:val="22"/>
                <w:lang w:val="sr-Latn-RS" w:eastAsia="sr-Latn-RS"/>
              </w:rPr>
            </w:pPr>
            <w:r w:rsidRPr="00E53931">
              <w:rPr>
                <w:b/>
                <w:bCs/>
                <w:sz w:val="22"/>
                <w:szCs w:val="22"/>
                <w:lang w:val="sr-Latn-RS" w:eastAsia="sr-Latn-RS"/>
              </w:rPr>
              <w:t>17.017.797,70</w:t>
            </w:r>
          </w:p>
        </w:tc>
        <w:tc>
          <w:tcPr>
            <w:tcW w:w="1014" w:type="dxa"/>
            <w:tcBorders>
              <w:top w:val="nil"/>
              <w:left w:val="nil"/>
              <w:bottom w:val="nil"/>
              <w:right w:val="nil"/>
            </w:tcBorders>
            <w:shd w:val="clear" w:color="auto" w:fill="auto"/>
            <w:noWrap/>
            <w:vAlign w:val="center"/>
            <w:hideMark/>
          </w:tcPr>
          <w:p w14:paraId="77B9DB26" w14:textId="77777777" w:rsidR="00E53931" w:rsidRPr="00E53931" w:rsidRDefault="00E53931" w:rsidP="00E53931">
            <w:pPr>
              <w:ind w:left="0" w:right="0" w:firstLine="0"/>
              <w:jc w:val="right"/>
              <w:rPr>
                <w:b/>
                <w:bCs/>
                <w:sz w:val="22"/>
                <w:szCs w:val="22"/>
                <w:lang w:val="sr-Latn-RS" w:eastAsia="sr-Latn-RS"/>
              </w:rPr>
            </w:pPr>
            <w:r w:rsidRPr="00E53931">
              <w:rPr>
                <w:b/>
                <w:bCs/>
                <w:sz w:val="22"/>
                <w:szCs w:val="22"/>
                <w:lang w:val="sr-Latn-RS" w:eastAsia="sr-Latn-RS"/>
              </w:rPr>
              <w:t>95,11</w:t>
            </w:r>
          </w:p>
        </w:tc>
      </w:tr>
      <w:tr w:rsidR="00E53931" w:rsidRPr="00E53931" w14:paraId="4C46AB4C" w14:textId="77777777" w:rsidTr="00901BE1">
        <w:trPr>
          <w:trHeight w:val="330"/>
        </w:trPr>
        <w:tc>
          <w:tcPr>
            <w:tcW w:w="651" w:type="dxa"/>
            <w:tcBorders>
              <w:top w:val="nil"/>
              <w:left w:val="nil"/>
              <w:bottom w:val="nil"/>
              <w:right w:val="nil"/>
            </w:tcBorders>
            <w:shd w:val="clear" w:color="auto" w:fill="auto"/>
            <w:noWrap/>
            <w:vAlign w:val="center"/>
            <w:hideMark/>
          </w:tcPr>
          <w:p w14:paraId="51D772F5" w14:textId="77777777" w:rsidR="00E53931" w:rsidRPr="00E53931" w:rsidRDefault="00E53931" w:rsidP="00E53931">
            <w:pPr>
              <w:ind w:left="0" w:right="0" w:firstLine="0"/>
              <w:jc w:val="center"/>
              <w:rPr>
                <w:sz w:val="22"/>
                <w:szCs w:val="22"/>
                <w:lang w:val="sr-Latn-RS" w:eastAsia="sr-Latn-RS"/>
              </w:rPr>
            </w:pPr>
            <w:r w:rsidRPr="00E53931">
              <w:rPr>
                <w:sz w:val="22"/>
                <w:szCs w:val="22"/>
                <w:lang w:val="sr-Latn-RS" w:eastAsia="sr-Latn-RS"/>
              </w:rPr>
              <w:t>6.</w:t>
            </w:r>
          </w:p>
        </w:tc>
        <w:tc>
          <w:tcPr>
            <w:tcW w:w="6012" w:type="dxa"/>
            <w:tcBorders>
              <w:top w:val="nil"/>
              <w:left w:val="nil"/>
              <w:bottom w:val="nil"/>
              <w:right w:val="nil"/>
            </w:tcBorders>
            <w:shd w:val="clear" w:color="auto" w:fill="auto"/>
            <w:noWrap/>
            <w:vAlign w:val="center"/>
            <w:hideMark/>
          </w:tcPr>
          <w:p w14:paraId="5161F2FA" w14:textId="77777777" w:rsidR="00E53931" w:rsidRPr="00E53931" w:rsidRDefault="00E53931" w:rsidP="00E53931">
            <w:pPr>
              <w:ind w:left="0" w:right="0" w:firstLine="0"/>
              <w:jc w:val="left"/>
              <w:rPr>
                <w:sz w:val="22"/>
                <w:szCs w:val="22"/>
                <w:lang w:val="sr-Latn-RS" w:eastAsia="sr-Latn-RS"/>
              </w:rPr>
            </w:pPr>
            <w:proofErr w:type="spellStart"/>
            <w:r w:rsidRPr="00E53931">
              <w:rPr>
                <w:sz w:val="22"/>
                <w:szCs w:val="22"/>
                <w:lang w:val="sr-Latn-RS" w:eastAsia="sr-Latn-RS"/>
              </w:rPr>
              <w:t>Расходи</w:t>
            </w:r>
            <w:proofErr w:type="spellEnd"/>
            <w:r w:rsidRPr="00E53931">
              <w:rPr>
                <w:sz w:val="22"/>
                <w:szCs w:val="22"/>
                <w:lang w:val="sr-Latn-RS" w:eastAsia="sr-Latn-RS"/>
              </w:rPr>
              <w:t>/</w:t>
            </w:r>
            <w:proofErr w:type="spellStart"/>
            <w:r w:rsidRPr="00E53931">
              <w:rPr>
                <w:sz w:val="22"/>
                <w:szCs w:val="22"/>
                <w:lang w:val="sr-Latn-RS" w:eastAsia="sr-Latn-RS"/>
              </w:rPr>
              <w:t>издаци</w:t>
            </w:r>
            <w:proofErr w:type="spellEnd"/>
            <w:r w:rsidRPr="00E53931">
              <w:rPr>
                <w:sz w:val="22"/>
                <w:szCs w:val="22"/>
                <w:lang w:val="sr-Latn-RS" w:eastAsia="sr-Latn-RS"/>
              </w:rPr>
              <w:t xml:space="preserve"> </w:t>
            </w:r>
            <w:proofErr w:type="spellStart"/>
            <w:r w:rsidRPr="00E53931">
              <w:rPr>
                <w:sz w:val="22"/>
                <w:szCs w:val="22"/>
                <w:lang w:val="sr-Latn-RS" w:eastAsia="sr-Latn-RS"/>
              </w:rPr>
              <w:t>фонда</w:t>
            </w:r>
            <w:proofErr w:type="spellEnd"/>
            <w:r w:rsidRPr="00E53931">
              <w:rPr>
                <w:sz w:val="22"/>
                <w:szCs w:val="22"/>
                <w:lang w:val="sr-Latn-RS" w:eastAsia="sr-Latn-RS"/>
              </w:rPr>
              <w:t xml:space="preserve"> 03</w:t>
            </w:r>
          </w:p>
        </w:tc>
        <w:tc>
          <w:tcPr>
            <w:tcW w:w="1655" w:type="dxa"/>
            <w:tcBorders>
              <w:top w:val="nil"/>
              <w:left w:val="nil"/>
              <w:bottom w:val="nil"/>
              <w:right w:val="nil"/>
            </w:tcBorders>
            <w:shd w:val="clear" w:color="auto" w:fill="auto"/>
            <w:noWrap/>
            <w:vAlign w:val="bottom"/>
            <w:hideMark/>
          </w:tcPr>
          <w:p w14:paraId="35B32FB9" w14:textId="77777777" w:rsidR="00E53931" w:rsidRPr="00E53931" w:rsidRDefault="00E53931" w:rsidP="00E53931">
            <w:pPr>
              <w:ind w:left="0" w:right="0" w:firstLine="0"/>
              <w:jc w:val="right"/>
              <w:rPr>
                <w:sz w:val="22"/>
                <w:szCs w:val="22"/>
                <w:lang w:val="sr-Latn-RS" w:eastAsia="sr-Latn-RS"/>
              </w:rPr>
            </w:pPr>
            <w:r w:rsidRPr="00E53931">
              <w:rPr>
                <w:sz w:val="22"/>
                <w:szCs w:val="22"/>
                <w:lang w:val="sr-Latn-RS" w:eastAsia="sr-Latn-RS"/>
              </w:rPr>
              <w:t>0,00</w:t>
            </w:r>
          </w:p>
        </w:tc>
        <w:tc>
          <w:tcPr>
            <w:tcW w:w="1597" w:type="dxa"/>
            <w:tcBorders>
              <w:top w:val="nil"/>
              <w:left w:val="nil"/>
              <w:bottom w:val="nil"/>
              <w:right w:val="nil"/>
            </w:tcBorders>
            <w:shd w:val="clear" w:color="auto" w:fill="auto"/>
            <w:noWrap/>
            <w:vAlign w:val="bottom"/>
            <w:hideMark/>
          </w:tcPr>
          <w:p w14:paraId="363A89F3" w14:textId="77777777" w:rsidR="00E53931" w:rsidRPr="00E53931" w:rsidRDefault="00E53931" w:rsidP="00E53931">
            <w:pPr>
              <w:ind w:left="0" w:right="0" w:firstLine="0"/>
              <w:jc w:val="right"/>
              <w:rPr>
                <w:sz w:val="22"/>
                <w:szCs w:val="22"/>
                <w:lang w:val="sr-Latn-RS" w:eastAsia="sr-Latn-RS"/>
              </w:rPr>
            </w:pPr>
            <w:r w:rsidRPr="00E53931">
              <w:rPr>
                <w:sz w:val="22"/>
                <w:szCs w:val="22"/>
                <w:lang w:val="sr-Latn-RS" w:eastAsia="sr-Latn-RS"/>
              </w:rPr>
              <w:t>146.687,25</w:t>
            </w:r>
          </w:p>
        </w:tc>
        <w:tc>
          <w:tcPr>
            <w:tcW w:w="1014" w:type="dxa"/>
            <w:tcBorders>
              <w:top w:val="nil"/>
              <w:left w:val="nil"/>
              <w:bottom w:val="nil"/>
              <w:right w:val="nil"/>
            </w:tcBorders>
            <w:shd w:val="clear" w:color="auto" w:fill="auto"/>
            <w:noWrap/>
            <w:vAlign w:val="center"/>
            <w:hideMark/>
          </w:tcPr>
          <w:p w14:paraId="7ECAFC86" w14:textId="77777777" w:rsidR="00E53931" w:rsidRPr="00E53931" w:rsidRDefault="00E53931" w:rsidP="00E53931">
            <w:pPr>
              <w:ind w:left="0" w:right="0" w:firstLine="0"/>
              <w:jc w:val="right"/>
              <w:rPr>
                <w:sz w:val="22"/>
                <w:szCs w:val="22"/>
                <w:lang w:val="sr-Latn-RS" w:eastAsia="sr-Latn-RS"/>
              </w:rPr>
            </w:pPr>
            <w:r w:rsidRPr="00E53931">
              <w:rPr>
                <w:sz w:val="22"/>
                <w:szCs w:val="22"/>
                <w:lang w:val="sr-Latn-RS" w:eastAsia="sr-Latn-RS"/>
              </w:rPr>
              <w:t>0,00</w:t>
            </w:r>
          </w:p>
        </w:tc>
      </w:tr>
      <w:tr w:rsidR="00E53931" w:rsidRPr="00E53931" w14:paraId="13EB399A" w14:textId="77777777" w:rsidTr="00901BE1">
        <w:trPr>
          <w:trHeight w:val="600"/>
        </w:trPr>
        <w:tc>
          <w:tcPr>
            <w:tcW w:w="651" w:type="dxa"/>
            <w:tcBorders>
              <w:top w:val="single" w:sz="8" w:space="0" w:color="auto"/>
              <w:left w:val="nil"/>
              <w:bottom w:val="single" w:sz="8" w:space="0" w:color="auto"/>
              <w:right w:val="nil"/>
            </w:tcBorders>
            <w:shd w:val="clear" w:color="auto" w:fill="auto"/>
            <w:noWrap/>
            <w:vAlign w:val="center"/>
            <w:hideMark/>
          </w:tcPr>
          <w:p w14:paraId="4E265DF2" w14:textId="77777777" w:rsidR="00E53931" w:rsidRPr="00E53931" w:rsidRDefault="00E53931" w:rsidP="00E53931">
            <w:pPr>
              <w:ind w:left="0" w:right="0" w:firstLine="0"/>
              <w:jc w:val="center"/>
              <w:rPr>
                <w:b/>
                <w:bCs/>
                <w:sz w:val="22"/>
                <w:szCs w:val="22"/>
                <w:lang w:val="sr-Latn-RS" w:eastAsia="sr-Latn-RS"/>
              </w:rPr>
            </w:pPr>
            <w:r w:rsidRPr="00E53931">
              <w:rPr>
                <w:b/>
                <w:bCs/>
                <w:sz w:val="22"/>
                <w:szCs w:val="22"/>
                <w:lang w:val="sr-Latn-RS" w:eastAsia="sr-Latn-RS"/>
              </w:rPr>
              <w:t>Б.</w:t>
            </w:r>
          </w:p>
        </w:tc>
        <w:tc>
          <w:tcPr>
            <w:tcW w:w="6012" w:type="dxa"/>
            <w:tcBorders>
              <w:top w:val="single" w:sz="8" w:space="0" w:color="auto"/>
              <w:left w:val="nil"/>
              <w:bottom w:val="single" w:sz="8" w:space="0" w:color="auto"/>
              <w:right w:val="nil"/>
            </w:tcBorders>
            <w:shd w:val="clear" w:color="auto" w:fill="auto"/>
            <w:vAlign w:val="bottom"/>
            <w:hideMark/>
          </w:tcPr>
          <w:p w14:paraId="30EEF6DD" w14:textId="77777777" w:rsidR="00E53931" w:rsidRPr="00E53931" w:rsidRDefault="00E53931" w:rsidP="00E53931">
            <w:pPr>
              <w:ind w:left="0" w:right="0" w:firstLine="0"/>
              <w:jc w:val="left"/>
              <w:rPr>
                <w:b/>
                <w:bCs/>
                <w:sz w:val="22"/>
                <w:szCs w:val="22"/>
                <w:lang w:val="sr-Latn-RS" w:eastAsia="sr-Latn-RS"/>
              </w:rPr>
            </w:pPr>
            <w:r w:rsidRPr="00E53931">
              <w:rPr>
                <w:b/>
                <w:bCs/>
                <w:sz w:val="22"/>
                <w:szCs w:val="22"/>
                <w:lang w:val="sr-Latn-RS" w:eastAsia="sr-Latn-RS"/>
              </w:rPr>
              <w:t>УКУПНО ОСТВАРЕНИ РАСХОДИ И ИЗДАЦИ ЗА ПЕРИОД 01.01-31.12.2020. ГОДИНЕ (ФОНД 01 и 03)</w:t>
            </w:r>
          </w:p>
        </w:tc>
        <w:tc>
          <w:tcPr>
            <w:tcW w:w="1655" w:type="dxa"/>
            <w:tcBorders>
              <w:top w:val="single" w:sz="8" w:space="0" w:color="auto"/>
              <w:left w:val="nil"/>
              <w:bottom w:val="single" w:sz="8" w:space="0" w:color="auto"/>
              <w:right w:val="nil"/>
            </w:tcBorders>
            <w:shd w:val="clear" w:color="auto" w:fill="auto"/>
            <w:noWrap/>
            <w:vAlign w:val="center"/>
            <w:hideMark/>
          </w:tcPr>
          <w:p w14:paraId="5A814FFB" w14:textId="77777777" w:rsidR="00E53931" w:rsidRPr="00E53931" w:rsidRDefault="00E53931" w:rsidP="00E53931">
            <w:pPr>
              <w:ind w:left="0" w:right="0" w:firstLine="0"/>
              <w:jc w:val="right"/>
              <w:rPr>
                <w:b/>
                <w:bCs/>
                <w:sz w:val="22"/>
                <w:szCs w:val="22"/>
                <w:lang w:val="sr-Latn-RS" w:eastAsia="sr-Latn-RS"/>
              </w:rPr>
            </w:pPr>
            <w:r w:rsidRPr="00E53931">
              <w:rPr>
                <w:b/>
                <w:bCs/>
                <w:sz w:val="22"/>
                <w:szCs w:val="22"/>
                <w:lang w:val="sr-Latn-RS" w:eastAsia="sr-Latn-RS"/>
              </w:rPr>
              <w:t>17.893.300,00</w:t>
            </w:r>
          </w:p>
        </w:tc>
        <w:tc>
          <w:tcPr>
            <w:tcW w:w="1597" w:type="dxa"/>
            <w:tcBorders>
              <w:top w:val="single" w:sz="8" w:space="0" w:color="auto"/>
              <w:left w:val="nil"/>
              <w:bottom w:val="single" w:sz="8" w:space="0" w:color="auto"/>
              <w:right w:val="nil"/>
            </w:tcBorders>
            <w:shd w:val="clear" w:color="auto" w:fill="auto"/>
            <w:noWrap/>
            <w:vAlign w:val="center"/>
            <w:hideMark/>
          </w:tcPr>
          <w:p w14:paraId="2DE625E7" w14:textId="77777777" w:rsidR="00E53931" w:rsidRPr="00E53931" w:rsidRDefault="00E53931" w:rsidP="00E53931">
            <w:pPr>
              <w:ind w:left="0" w:right="0" w:firstLine="0"/>
              <w:jc w:val="right"/>
              <w:rPr>
                <w:b/>
                <w:bCs/>
                <w:sz w:val="22"/>
                <w:szCs w:val="22"/>
                <w:lang w:val="sr-Latn-RS" w:eastAsia="sr-Latn-RS"/>
              </w:rPr>
            </w:pPr>
            <w:r w:rsidRPr="00E53931">
              <w:rPr>
                <w:b/>
                <w:bCs/>
                <w:sz w:val="22"/>
                <w:szCs w:val="22"/>
                <w:lang w:val="sr-Latn-RS" w:eastAsia="sr-Latn-RS"/>
              </w:rPr>
              <w:t>17.164.484,95</w:t>
            </w:r>
          </w:p>
        </w:tc>
        <w:tc>
          <w:tcPr>
            <w:tcW w:w="1014" w:type="dxa"/>
            <w:tcBorders>
              <w:top w:val="single" w:sz="8" w:space="0" w:color="auto"/>
              <w:left w:val="nil"/>
              <w:bottom w:val="single" w:sz="8" w:space="0" w:color="auto"/>
              <w:right w:val="nil"/>
            </w:tcBorders>
            <w:shd w:val="clear" w:color="auto" w:fill="auto"/>
            <w:noWrap/>
            <w:vAlign w:val="center"/>
            <w:hideMark/>
          </w:tcPr>
          <w:p w14:paraId="7148E0F6" w14:textId="77777777" w:rsidR="00E53931" w:rsidRPr="00E53931" w:rsidRDefault="00E53931" w:rsidP="00E53931">
            <w:pPr>
              <w:ind w:left="0" w:right="0" w:firstLine="0"/>
              <w:jc w:val="right"/>
              <w:rPr>
                <w:b/>
                <w:bCs/>
                <w:sz w:val="22"/>
                <w:szCs w:val="22"/>
                <w:lang w:val="sr-Latn-RS" w:eastAsia="sr-Latn-RS"/>
              </w:rPr>
            </w:pPr>
            <w:r w:rsidRPr="00E53931">
              <w:rPr>
                <w:b/>
                <w:bCs/>
                <w:sz w:val="22"/>
                <w:szCs w:val="22"/>
                <w:lang w:val="sr-Latn-RS" w:eastAsia="sr-Latn-RS"/>
              </w:rPr>
              <w:t>47,36</w:t>
            </w:r>
          </w:p>
        </w:tc>
      </w:tr>
      <w:tr w:rsidR="00E53931" w:rsidRPr="00E53931" w14:paraId="2A2D6922" w14:textId="77777777" w:rsidTr="00C41EC6">
        <w:trPr>
          <w:trHeight w:val="173"/>
        </w:trPr>
        <w:tc>
          <w:tcPr>
            <w:tcW w:w="651" w:type="dxa"/>
            <w:tcBorders>
              <w:top w:val="nil"/>
              <w:left w:val="nil"/>
              <w:bottom w:val="nil"/>
              <w:right w:val="nil"/>
            </w:tcBorders>
            <w:shd w:val="clear" w:color="auto" w:fill="auto"/>
            <w:noWrap/>
            <w:vAlign w:val="bottom"/>
            <w:hideMark/>
          </w:tcPr>
          <w:p w14:paraId="420D82B7" w14:textId="77777777" w:rsidR="00E53931" w:rsidRPr="00E53931" w:rsidRDefault="00E53931" w:rsidP="00E53931">
            <w:pPr>
              <w:ind w:left="0" w:right="0" w:firstLine="0"/>
              <w:jc w:val="right"/>
              <w:rPr>
                <w:b/>
                <w:bCs/>
                <w:sz w:val="22"/>
                <w:szCs w:val="22"/>
                <w:lang w:val="sr-Latn-RS" w:eastAsia="sr-Latn-RS"/>
              </w:rPr>
            </w:pPr>
          </w:p>
        </w:tc>
        <w:tc>
          <w:tcPr>
            <w:tcW w:w="6012" w:type="dxa"/>
            <w:tcBorders>
              <w:top w:val="nil"/>
              <w:left w:val="nil"/>
              <w:bottom w:val="nil"/>
              <w:right w:val="nil"/>
            </w:tcBorders>
            <w:shd w:val="clear" w:color="auto" w:fill="auto"/>
            <w:noWrap/>
            <w:vAlign w:val="bottom"/>
            <w:hideMark/>
          </w:tcPr>
          <w:p w14:paraId="1B5C820C" w14:textId="77777777" w:rsidR="00E53931" w:rsidRPr="00E53931" w:rsidRDefault="00E53931" w:rsidP="00E53931">
            <w:pPr>
              <w:ind w:left="0" w:right="0" w:firstLine="0"/>
              <w:jc w:val="left"/>
              <w:rPr>
                <w:sz w:val="22"/>
                <w:szCs w:val="22"/>
                <w:lang w:val="sr-Latn-RS" w:eastAsia="sr-Latn-RS"/>
              </w:rPr>
            </w:pPr>
          </w:p>
        </w:tc>
        <w:tc>
          <w:tcPr>
            <w:tcW w:w="1655" w:type="dxa"/>
            <w:tcBorders>
              <w:top w:val="nil"/>
              <w:left w:val="nil"/>
              <w:bottom w:val="nil"/>
              <w:right w:val="nil"/>
            </w:tcBorders>
            <w:shd w:val="clear" w:color="auto" w:fill="auto"/>
            <w:noWrap/>
            <w:vAlign w:val="bottom"/>
            <w:hideMark/>
          </w:tcPr>
          <w:p w14:paraId="46F5B87C" w14:textId="77777777" w:rsidR="00E53931" w:rsidRPr="00E53931" w:rsidRDefault="00E53931" w:rsidP="00E53931">
            <w:pPr>
              <w:ind w:left="0" w:right="0" w:firstLine="0"/>
              <w:jc w:val="left"/>
              <w:rPr>
                <w:sz w:val="22"/>
                <w:szCs w:val="22"/>
                <w:lang w:val="sr-Latn-RS" w:eastAsia="sr-Latn-RS"/>
              </w:rPr>
            </w:pPr>
          </w:p>
        </w:tc>
        <w:tc>
          <w:tcPr>
            <w:tcW w:w="1597" w:type="dxa"/>
            <w:tcBorders>
              <w:top w:val="nil"/>
              <w:left w:val="nil"/>
              <w:bottom w:val="nil"/>
              <w:right w:val="nil"/>
            </w:tcBorders>
            <w:shd w:val="clear" w:color="auto" w:fill="auto"/>
            <w:noWrap/>
            <w:vAlign w:val="bottom"/>
            <w:hideMark/>
          </w:tcPr>
          <w:p w14:paraId="5BB35ABE" w14:textId="77777777" w:rsidR="00E53931" w:rsidRPr="00E53931" w:rsidRDefault="00E53931" w:rsidP="00E53931">
            <w:pPr>
              <w:ind w:left="0" w:right="0" w:firstLine="0"/>
              <w:jc w:val="left"/>
              <w:rPr>
                <w:sz w:val="22"/>
                <w:szCs w:val="22"/>
                <w:lang w:val="sr-Latn-RS" w:eastAsia="sr-Latn-RS"/>
              </w:rPr>
            </w:pPr>
          </w:p>
        </w:tc>
        <w:tc>
          <w:tcPr>
            <w:tcW w:w="1014" w:type="dxa"/>
            <w:tcBorders>
              <w:top w:val="nil"/>
              <w:left w:val="nil"/>
              <w:bottom w:val="nil"/>
              <w:right w:val="nil"/>
            </w:tcBorders>
            <w:shd w:val="clear" w:color="auto" w:fill="auto"/>
            <w:noWrap/>
            <w:vAlign w:val="bottom"/>
            <w:hideMark/>
          </w:tcPr>
          <w:p w14:paraId="0AAD01DE" w14:textId="77777777" w:rsidR="00E53931" w:rsidRPr="00E53931" w:rsidRDefault="00E53931" w:rsidP="00E53931">
            <w:pPr>
              <w:ind w:left="0" w:right="0" w:firstLine="0"/>
              <w:jc w:val="left"/>
              <w:rPr>
                <w:sz w:val="22"/>
                <w:szCs w:val="22"/>
                <w:lang w:val="sr-Latn-RS" w:eastAsia="sr-Latn-RS"/>
              </w:rPr>
            </w:pPr>
          </w:p>
        </w:tc>
      </w:tr>
      <w:tr w:rsidR="00E53931" w:rsidRPr="00E53931" w14:paraId="37AEC19D" w14:textId="77777777" w:rsidTr="00901BE1">
        <w:trPr>
          <w:trHeight w:val="726"/>
        </w:trPr>
        <w:tc>
          <w:tcPr>
            <w:tcW w:w="651" w:type="dxa"/>
            <w:tcBorders>
              <w:top w:val="single" w:sz="8" w:space="0" w:color="auto"/>
              <w:left w:val="nil"/>
              <w:bottom w:val="single" w:sz="8" w:space="0" w:color="auto"/>
              <w:right w:val="nil"/>
            </w:tcBorders>
            <w:shd w:val="clear" w:color="auto" w:fill="auto"/>
            <w:noWrap/>
            <w:vAlign w:val="bottom"/>
            <w:hideMark/>
          </w:tcPr>
          <w:p w14:paraId="2B26FBC5" w14:textId="77777777" w:rsidR="00E53931" w:rsidRPr="00E53931" w:rsidRDefault="00E53931" w:rsidP="00E53931">
            <w:pPr>
              <w:ind w:left="0" w:right="0" w:firstLine="0"/>
              <w:jc w:val="left"/>
              <w:rPr>
                <w:sz w:val="22"/>
                <w:szCs w:val="22"/>
                <w:lang w:val="sr-Latn-RS" w:eastAsia="sr-Latn-RS"/>
              </w:rPr>
            </w:pPr>
            <w:r w:rsidRPr="00E53931">
              <w:rPr>
                <w:sz w:val="22"/>
                <w:szCs w:val="22"/>
                <w:lang w:val="sr-Latn-RS" w:eastAsia="sr-Latn-RS"/>
              </w:rPr>
              <w:t> </w:t>
            </w:r>
          </w:p>
        </w:tc>
        <w:tc>
          <w:tcPr>
            <w:tcW w:w="6012" w:type="dxa"/>
            <w:tcBorders>
              <w:top w:val="single" w:sz="8" w:space="0" w:color="auto"/>
              <w:left w:val="nil"/>
              <w:bottom w:val="single" w:sz="8" w:space="0" w:color="auto"/>
              <w:right w:val="nil"/>
            </w:tcBorders>
            <w:shd w:val="clear" w:color="auto" w:fill="auto"/>
            <w:vAlign w:val="bottom"/>
            <w:hideMark/>
          </w:tcPr>
          <w:p w14:paraId="119573CF" w14:textId="77777777" w:rsidR="00E53931" w:rsidRPr="00E53931" w:rsidRDefault="00E53931" w:rsidP="00E53931">
            <w:pPr>
              <w:ind w:left="0" w:right="0" w:firstLine="0"/>
              <w:jc w:val="left"/>
              <w:rPr>
                <w:b/>
                <w:bCs/>
                <w:sz w:val="22"/>
                <w:szCs w:val="22"/>
                <w:lang w:val="sr-Latn-RS" w:eastAsia="sr-Latn-RS"/>
              </w:rPr>
            </w:pPr>
            <w:r w:rsidRPr="00E53931">
              <w:rPr>
                <w:b/>
                <w:bCs/>
                <w:sz w:val="22"/>
                <w:szCs w:val="22"/>
                <w:lang w:val="sr-Latn-RS" w:eastAsia="sr-Latn-RS"/>
              </w:rPr>
              <w:t>РАЗЛИКА ИЗМЕЂУ УКУПНО ОСТВАРЕНИХ ПРИХОДА И ПРИМИТАКА И УКУПНО ОСТВАРЕНИХ РАСХОДА И ИЗДАТАКА ЗА ПЕРИОД 01.01-31.12.2020. ГОДИНЕ (А-Б)</w:t>
            </w:r>
          </w:p>
        </w:tc>
        <w:tc>
          <w:tcPr>
            <w:tcW w:w="1655" w:type="dxa"/>
            <w:tcBorders>
              <w:top w:val="single" w:sz="8" w:space="0" w:color="auto"/>
              <w:left w:val="nil"/>
              <w:bottom w:val="single" w:sz="8" w:space="0" w:color="auto"/>
              <w:right w:val="nil"/>
            </w:tcBorders>
            <w:shd w:val="clear" w:color="auto" w:fill="auto"/>
            <w:noWrap/>
            <w:vAlign w:val="bottom"/>
            <w:hideMark/>
          </w:tcPr>
          <w:p w14:paraId="2D888B5D" w14:textId="77777777" w:rsidR="00E53931" w:rsidRPr="00E53931" w:rsidRDefault="00E53931" w:rsidP="00E53931">
            <w:pPr>
              <w:ind w:left="0" w:right="0" w:firstLine="0"/>
              <w:jc w:val="left"/>
              <w:rPr>
                <w:sz w:val="22"/>
                <w:szCs w:val="22"/>
                <w:lang w:val="sr-Latn-RS" w:eastAsia="sr-Latn-RS"/>
              </w:rPr>
            </w:pPr>
            <w:r w:rsidRPr="00E53931">
              <w:rPr>
                <w:sz w:val="22"/>
                <w:szCs w:val="22"/>
                <w:lang w:val="sr-Latn-RS" w:eastAsia="sr-Latn-RS"/>
              </w:rPr>
              <w:t> </w:t>
            </w:r>
          </w:p>
        </w:tc>
        <w:tc>
          <w:tcPr>
            <w:tcW w:w="1597" w:type="dxa"/>
            <w:tcBorders>
              <w:top w:val="single" w:sz="8" w:space="0" w:color="auto"/>
              <w:left w:val="nil"/>
              <w:bottom w:val="single" w:sz="8" w:space="0" w:color="auto"/>
              <w:right w:val="nil"/>
            </w:tcBorders>
            <w:shd w:val="clear" w:color="auto" w:fill="auto"/>
            <w:noWrap/>
            <w:vAlign w:val="center"/>
            <w:hideMark/>
          </w:tcPr>
          <w:p w14:paraId="6A574D58" w14:textId="77777777" w:rsidR="00E53931" w:rsidRPr="00E53931" w:rsidRDefault="00E53931" w:rsidP="00E53931">
            <w:pPr>
              <w:ind w:left="0" w:right="0" w:firstLine="0"/>
              <w:jc w:val="right"/>
              <w:rPr>
                <w:b/>
                <w:bCs/>
                <w:sz w:val="22"/>
                <w:szCs w:val="22"/>
                <w:lang w:val="sr-Latn-RS" w:eastAsia="sr-Latn-RS"/>
              </w:rPr>
            </w:pPr>
            <w:r w:rsidRPr="00E53931">
              <w:rPr>
                <w:b/>
                <w:bCs/>
                <w:sz w:val="22"/>
                <w:szCs w:val="22"/>
                <w:lang w:val="sr-Latn-RS" w:eastAsia="sr-Latn-RS"/>
              </w:rPr>
              <w:t>65.881,16</w:t>
            </w:r>
          </w:p>
        </w:tc>
        <w:tc>
          <w:tcPr>
            <w:tcW w:w="1014" w:type="dxa"/>
            <w:tcBorders>
              <w:top w:val="single" w:sz="8" w:space="0" w:color="auto"/>
              <w:left w:val="nil"/>
              <w:bottom w:val="single" w:sz="8" w:space="0" w:color="auto"/>
              <w:right w:val="nil"/>
            </w:tcBorders>
            <w:shd w:val="clear" w:color="auto" w:fill="auto"/>
            <w:noWrap/>
            <w:vAlign w:val="bottom"/>
            <w:hideMark/>
          </w:tcPr>
          <w:p w14:paraId="323F0BA7" w14:textId="77777777" w:rsidR="00E53931" w:rsidRPr="00E53931" w:rsidRDefault="00E53931" w:rsidP="00E53931">
            <w:pPr>
              <w:ind w:left="0" w:right="0" w:firstLine="0"/>
              <w:jc w:val="left"/>
              <w:rPr>
                <w:sz w:val="22"/>
                <w:szCs w:val="22"/>
                <w:lang w:val="sr-Latn-RS" w:eastAsia="sr-Latn-RS"/>
              </w:rPr>
            </w:pPr>
            <w:r w:rsidRPr="00E53931">
              <w:rPr>
                <w:sz w:val="22"/>
                <w:szCs w:val="22"/>
                <w:lang w:val="sr-Latn-RS" w:eastAsia="sr-Latn-RS"/>
              </w:rPr>
              <w:t> </w:t>
            </w:r>
          </w:p>
        </w:tc>
      </w:tr>
    </w:tbl>
    <w:p w14:paraId="46466380" w14:textId="77777777" w:rsidR="00213CEC" w:rsidRDefault="00213CEC" w:rsidP="0050650E">
      <w:pPr>
        <w:spacing w:before="240"/>
        <w:ind w:left="0" w:firstLine="720"/>
      </w:pPr>
      <w:r>
        <w:t>Укупно остварени вишак прихода над расходима по свим рачуноводственим фондовима једнак је износу оствареног вишка при</w:t>
      </w:r>
      <w:r w:rsidR="009241CE">
        <w:t>хода над расходима на фонду 01.</w:t>
      </w:r>
    </w:p>
    <w:p w14:paraId="1563F993" w14:textId="77777777" w:rsidR="00F647C8" w:rsidRPr="00B0595E" w:rsidRDefault="00F647C8" w:rsidP="00ED4F84">
      <w:pPr>
        <w:ind w:left="0" w:firstLine="0"/>
      </w:pPr>
    </w:p>
    <w:p w14:paraId="376A283C" w14:textId="77777777" w:rsidR="00D43DC6" w:rsidRPr="00E339BE" w:rsidRDefault="00D43DC6" w:rsidP="00213CEC">
      <w:pPr>
        <w:pStyle w:val="Glavninaslovi"/>
        <w:rPr>
          <w:sz w:val="24"/>
          <w:szCs w:val="24"/>
        </w:rPr>
      </w:pPr>
      <w:bookmarkStart w:id="93" w:name="_Toc491329742"/>
      <w:bookmarkStart w:id="94" w:name="_Toc510165771"/>
      <w:bookmarkStart w:id="95" w:name="_Toc530745898"/>
      <w:bookmarkStart w:id="96" w:name="_Toc50641217"/>
      <w:r w:rsidRPr="00E339BE">
        <w:rPr>
          <w:sz w:val="24"/>
          <w:szCs w:val="24"/>
        </w:rPr>
        <w:t>4. РЕАЛОКАЦИЈЕ БУЏЕТСКИХ СРЕДСТАВА</w:t>
      </w:r>
      <w:bookmarkEnd w:id="93"/>
      <w:bookmarkEnd w:id="94"/>
      <w:bookmarkEnd w:id="95"/>
      <w:bookmarkEnd w:id="96"/>
    </w:p>
    <w:p w14:paraId="7E966999" w14:textId="77777777" w:rsidR="00D43DC6" w:rsidRDefault="00D43DC6" w:rsidP="00236ED3">
      <w:pPr>
        <w:ind w:left="0" w:firstLine="720"/>
      </w:pPr>
    </w:p>
    <w:p w14:paraId="6B5E10AF" w14:textId="77777777" w:rsidR="002B5546" w:rsidRPr="00521D04" w:rsidRDefault="002B5546" w:rsidP="00236ED3">
      <w:pPr>
        <w:pStyle w:val="Teloteksta"/>
        <w:ind w:left="0" w:firstLine="720"/>
        <w:rPr>
          <w:bCs/>
          <w:highlight w:val="yellow"/>
        </w:rPr>
      </w:pPr>
      <w:r w:rsidRPr="00521D04">
        <w:rPr>
          <w:bCs/>
          <w:lang w:val="en-US"/>
        </w:rPr>
        <w:t xml:space="preserve">У </w:t>
      </w:r>
      <w:proofErr w:type="spellStart"/>
      <w:r w:rsidRPr="00521D04">
        <w:rPr>
          <w:bCs/>
          <w:lang w:val="en-US"/>
        </w:rPr>
        <w:t>складу</w:t>
      </w:r>
      <w:proofErr w:type="spellEnd"/>
      <w:r w:rsidRPr="00521D04">
        <w:rPr>
          <w:bCs/>
          <w:lang w:val="en-US"/>
        </w:rPr>
        <w:t xml:space="preserve"> </w:t>
      </w:r>
      <w:proofErr w:type="spellStart"/>
      <w:r w:rsidRPr="00521D04">
        <w:rPr>
          <w:bCs/>
          <w:lang w:val="en-US"/>
        </w:rPr>
        <w:t>са</w:t>
      </w:r>
      <w:proofErr w:type="spellEnd"/>
      <w:r w:rsidRPr="00521D04">
        <w:rPr>
          <w:bCs/>
          <w:lang w:val="en-US"/>
        </w:rPr>
        <w:t xml:space="preserve"> </w:t>
      </w:r>
      <w:proofErr w:type="spellStart"/>
      <w:r w:rsidRPr="00521D04">
        <w:rPr>
          <w:bCs/>
          <w:lang w:val="en-US"/>
        </w:rPr>
        <w:t>чланом</w:t>
      </w:r>
      <w:proofErr w:type="spellEnd"/>
      <w:r w:rsidRPr="00521D04">
        <w:rPr>
          <w:bCs/>
          <w:lang w:val="en-US"/>
        </w:rPr>
        <w:t xml:space="preserve"> 4</w:t>
      </w:r>
      <w:r w:rsidRPr="00521D04">
        <w:rPr>
          <w:bCs/>
        </w:rPr>
        <w:t>1</w:t>
      </w:r>
      <w:r w:rsidRPr="00521D04">
        <w:rPr>
          <w:bCs/>
          <w:lang w:val="en-US"/>
        </w:rPr>
        <w:t xml:space="preserve">. </w:t>
      </w:r>
      <w:proofErr w:type="spellStart"/>
      <w:r w:rsidRPr="00521D04">
        <w:rPr>
          <w:bCs/>
          <w:lang w:val="en-US"/>
        </w:rPr>
        <w:t>Закона</w:t>
      </w:r>
      <w:proofErr w:type="spellEnd"/>
      <w:r w:rsidRPr="00521D04">
        <w:rPr>
          <w:bCs/>
          <w:lang w:val="en-US"/>
        </w:rPr>
        <w:t xml:space="preserve"> о </w:t>
      </w:r>
      <w:proofErr w:type="spellStart"/>
      <w:r w:rsidRPr="00521D04">
        <w:rPr>
          <w:bCs/>
          <w:lang w:val="en-US"/>
        </w:rPr>
        <w:t>буџетском</w:t>
      </w:r>
      <w:proofErr w:type="spellEnd"/>
      <w:r w:rsidRPr="00521D04">
        <w:rPr>
          <w:bCs/>
          <w:lang w:val="en-US"/>
        </w:rPr>
        <w:t xml:space="preserve"> </w:t>
      </w:r>
      <w:proofErr w:type="spellStart"/>
      <w:r w:rsidRPr="00521D04">
        <w:rPr>
          <w:bCs/>
          <w:lang w:val="en-US"/>
        </w:rPr>
        <w:t>систему</w:t>
      </w:r>
      <w:proofErr w:type="spellEnd"/>
      <w:r w:rsidRPr="00521D04">
        <w:rPr>
          <w:bCs/>
          <w:lang w:val="en-US"/>
        </w:rPr>
        <w:t xml:space="preserve"> </w:t>
      </w:r>
      <w:proofErr w:type="spellStart"/>
      <w:r w:rsidRPr="00521D04">
        <w:rPr>
          <w:bCs/>
          <w:lang w:val="en-US"/>
        </w:rPr>
        <w:t>Републике</w:t>
      </w:r>
      <w:proofErr w:type="spellEnd"/>
      <w:r w:rsidRPr="00521D04">
        <w:rPr>
          <w:bCs/>
          <w:lang w:val="en-US"/>
        </w:rPr>
        <w:t xml:space="preserve"> </w:t>
      </w:r>
      <w:proofErr w:type="spellStart"/>
      <w:r w:rsidRPr="00521D04">
        <w:rPr>
          <w:bCs/>
          <w:lang w:val="en-US"/>
        </w:rPr>
        <w:t>Српске</w:t>
      </w:r>
      <w:proofErr w:type="spellEnd"/>
      <w:r w:rsidRPr="00521D04">
        <w:rPr>
          <w:bCs/>
          <w:lang w:val="en-US"/>
        </w:rPr>
        <w:t xml:space="preserve"> („</w:t>
      </w:r>
      <w:proofErr w:type="spellStart"/>
      <w:r w:rsidRPr="00521D04">
        <w:rPr>
          <w:bCs/>
          <w:lang w:val="en-US"/>
        </w:rPr>
        <w:t>Службени</w:t>
      </w:r>
      <w:proofErr w:type="spellEnd"/>
      <w:r w:rsidRPr="00521D04">
        <w:rPr>
          <w:bCs/>
          <w:lang w:val="en-US"/>
        </w:rPr>
        <w:t xml:space="preserve"> </w:t>
      </w:r>
      <w:proofErr w:type="spellStart"/>
      <w:r w:rsidRPr="00521D04">
        <w:rPr>
          <w:bCs/>
          <w:lang w:val="en-US"/>
        </w:rPr>
        <w:t>гласник</w:t>
      </w:r>
      <w:proofErr w:type="spellEnd"/>
      <w:r w:rsidRPr="00521D04">
        <w:rPr>
          <w:bCs/>
          <w:lang w:val="en-US"/>
        </w:rPr>
        <w:t xml:space="preserve"> </w:t>
      </w:r>
      <w:proofErr w:type="spellStart"/>
      <w:r w:rsidRPr="00521D04">
        <w:rPr>
          <w:bCs/>
          <w:lang w:val="en-US"/>
        </w:rPr>
        <w:t>Републике</w:t>
      </w:r>
      <w:proofErr w:type="spellEnd"/>
      <w:r w:rsidRPr="00521D04">
        <w:rPr>
          <w:bCs/>
          <w:lang w:val="en-US"/>
        </w:rPr>
        <w:t xml:space="preserve"> </w:t>
      </w:r>
      <w:proofErr w:type="spellStart"/>
      <w:r w:rsidRPr="00521D04">
        <w:rPr>
          <w:bCs/>
          <w:lang w:val="en-US"/>
        </w:rPr>
        <w:t>Српске</w:t>
      </w:r>
      <w:proofErr w:type="spellEnd"/>
      <w:r w:rsidRPr="00521D04">
        <w:rPr>
          <w:bCs/>
          <w:lang w:val="en-US"/>
        </w:rPr>
        <w:t>“</w:t>
      </w:r>
      <w:r w:rsidRPr="00521D04">
        <w:rPr>
          <w:bCs/>
        </w:rPr>
        <w:t>,</w:t>
      </w:r>
      <w:r w:rsidRPr="00521D04">
        <w:rPr>
          <w:bCs/>
          <w:lang w:val="en-US"/>
        </w:rPr>
        <w:t xml:space="preserve"> </w:t>
      </w:r>
      <w:proofErr w:type="spellStart"/>
      <w:r w:rsidRPr="00521D04">
        <w:rPr>
          <w:bCs/>
          <w:lang w:val="en-US"/>
        </w:rPr>
        <w:t>број</w:t>
      </w:r>
      <w:proofErr w:type="spellEnd"/>
      <w:r w:rsidRPr="00521D04">
        <w:rPr>
          <w:bCs/>
          <w:lang w:val="en-US"/>
        </w:rPr>
        <w:t xml:space="preserve"> </w:t>
      </w:r>
      <w:r w:rsidRPr="00521D04">
        <w:rPr>
          <w:bCs/>
        </w:rPr>
        <w:t>121/12</w:t>
      </w:r>
      <w:r w:rsidRPr="00521D04">
        <w:rPr>
          <w:bCs/>
          <w:lang w:val="sr-Latn-CS"/>
        </w:rPr>
        <w:t>,</w:t>
      </w:r>
      <w:r w:rsidRPr="00521D04">
        <w:rPr>
          <w:bCs/>
        </w:rPr>
        <w:t xml:space="preserve"> 52/14</w:t>
      </w:r>
      <w:r w:rsidRPr="00521D04">
        <w:rPr>
          <w:bCs/>
          <w:lang w:val="sr-Latn-CS"/>
        </w:rPr>
        <w:t>, 103/15</w:t>
      </w:r>
      <w:r w:rsidRPr="00521D04">
        <w:rPr>
          <w:bCs/>
        </w:rPr>
        <w:t xml:space="preserve"> и 15/16</w:t>
      </w:r>
      <w:r w:rsidR="00E339BE">
        <w:rPr>
          <w:bCs/>
          <w:lang w:val="en-US"/>
        </w:rPr>
        <w:t xml:space="preserve">) и </w:t>
      </w:r>
      <w:proofErr w:type="spellStart"/>
      <w:r w:rsidR="00E339BE">
        <w:rPr>
          <w:bCs/>
          <w:lang w:val="en-US"/>
        </w:rPr>
        <w:t>чланом</w:t>
      </w:r>
      <w:proofErr w:type="spellEnd"/>
      <w:r w:rsidR="00E339BE">
        <w:rPr>
          <w:bCs/>
          <w:lang w:val="en-US"/>
        </w:rPr>
        <w:t xml:space="preserve"> 8</w:t>
      </w:r>
      <w:r w:rsidRPr="00521D04">
        <w:rPr>
          <w:bCs/>
          <w:lang w:val="en-US"/>
        </w:rPr>
        <w:t xml:space="preserve">. </w:t>
      </w:r>
      <w:proofErr w:type="spellStart"/>
      <w:r w:rsidRPr="00521D04">
        <w:rPr>
          <w:bCs/>
          <w:lang w:val="en-US"/>
        </w:rPr>
        <w:t>Одлуке</w:t>
      </w:r>
      <w:proofErr w:type="spellEnd"/>
      <w:r w:rsidRPr="00521D04">
        <w:rPr>
          <w:bCs/>
          <w:lang w:val="en-US"/>
        </w:rPr>
        <w:t xml:space="preserve"> о </w:t>
      </w:r>
      <w:proofErr w:type="spellStart"/>
      <w:r w:rsidRPr="00521D04">
        <w:rPr>
          <w:bCs/>
          <w:lang w:val="en-US"/>
        </w:rPr>
        <w:t>изврше</w:t>
      </w:r>
      <w:r w:rsidR="00E339BE">
        <w:rPr>
          <w:bCs/>
          <w:lang w:val="en-US"/>
        </w:rPr>
        <w:t>њу</w:t>
      </w:r>
      <w:proofErr w:type="spellEnd"/>
      <w:r w:rsidR="00E339BE">
        <w:rPr>
          <w:bCs/>
          <w:lang w:val="en-US"/>
        </w:rPr>
        <w:t xml:space="preserve"> </w:t>
      </w:r>
      <w:proofErr w:type="spellStart"/>
      <w:r w:rsidR="00E339BE">
        <w:rPr>
          <w:bCs/>
          <w:lang w:val="en-US"/>
        </w:rPr>
        <w:t>буџета</w:t>
      </w:r>
      <w:proofErr w:type="spellEnd"/>
      <w:r w:rsidR="00E339BE">
        <w:rPr>
          <w:bCs/>
          <w:lang w:val="en-US"/>
        </w:rPr>
        <w:t xml:space="preserve"> </w:t>
      </w:r>
      <w:proofErr w:type="spellStart"/>
      <w:r w:rsidR="00E339BE">
        <w:rPr>
          <w:bCs/>
          <w:lang w:val="en-US"/>
        </w:rPr>
        <w:t>општине</w:t>
      </w:r>
      <w:proofErr w:type="spellEnd"/>
      <w:r w:rsidR="00E339BE">
        <w:rPr>
          <w:bCs/>
          <w:lang w:val="en-US"/>
        </w:rPr>
        <w:t xml:space="preserve"> </w:t>
      </w:r>
      <w:proofErr w:type="spellStart"/>
      <w:r w:rsidR="00E339BE">
        <w:rPr>
          <w:bCs/>
          <w:lang w:val="en-US"/>
        </w:rPr>
        <w:t>Прњавор</w:t>
      </w:r>
      <w:proofErr w:type="spellEnd"/>
      <w:r w:rsidR="00E339BE">
        <w:rPr>
          <w:bCs/>
          <w:lang w:val="en-US"/>
        </w:rPr>
        <w:t xml:space="preserve"> </w:t>
      </w:r>
      <w:proofErr w:type="spellStart"/>
      <w:r w:rsidR="00E339BE">
        <w:rPr>
          <w:bCs/>
          <w:lang w:val="en-US"/>
        </w:rPr>
        <w:t>за</w:t>
      </w:r>
      <w:proofErr w:type="spellEnd"/>
      <w:r w:rsidR="00E339BE">
        <w:rPr>
          <w:bCs/>
          <w:lang w:val="en-US"/>
        </w:rPr>
        <w:t xml:space="preserve"> 2020</w:t>
      </w:r>
      <w:r w:rsidRPr="00521D04">
        <w:rPr>
          <w:bCs/>
          <w:lang w:val="en-US"/>
        </w:rPr>
        <w:t xml:space="preserve">. </w:t>
      </w:r>
      <w:proofErr w:type="spellStart"/>
      <w:r w:rsidRPr="00521D04">
        <w:rPr>
          <w:bCs/>
          <w:lang w:val="en-US"/>
        </w:rPr>
        <w:t>годину</w:t>
      </w:r>
      <w:proofErr w:type="spellEnd"/>
      <w:r w:rsidRPr="00521D04">
        <w:rPr>
          <w:bCs/>
          <w:lang w:val="en-US"/>
        </w:rPr>
        <w:t xml:space="preserve"> („</w:t>
      </w:r>
      <w:proofErr w:type="spellStart"/>
      <w:r w:rsidRPr="00521D04">
        <w:rPr>
          <w:bCs/>
          <w:lang w:val="en-US"/>
        </w:rPr>
        <w:t>Службени</w:t>
      </w:r>
      <w:proofErr w:type="spellEnd"/>
      <w:r w:rsidRPr="00521D04">
        <w:rPr>
          <w:bCs/>
          <w:lang w:val="en-US"/>
        </w:rPr>
        <w:t xml:space="preserve"> </w:t>
      </w:r>
      <w:proofErr w:type="spellStart"/>
      <w:r w:rsidRPr="00521D04">
        <w:rPr>
          <w:bCs/>
          <w:lang w:val="en-US"/>
        </w:rPr>
        <w:t>гласник</w:t>
      </w:r>
      <w:proofErr w:type="spellEnd"/>
      <w:r w:rsidRPr="00521D04">
        <w:rPr>
          <w:bCs/>
          <w:lang w:val="en-US"/>
        </w:rPr>
        <w:t xml:space="preserve"> </w:t>
      </w:r>
      <w:proofErr w:type="spellStart"/>
      <w:r w:rsidRPr="00521D04">
        <w:rPr>
          <w:bCs/>
          <w:lang w:val="en-US"/>
        </w:rPr>
        <w:t>општине</w:t>
      </w:r>
      <w:proofErr w:type="spellEnd"/>
      <w:r w:rsidRPr="00521D04">
        <w:rPr>
          <w:bCs/>
          <w:lang w:val="en-US"/>
        </w:rPr>
        <w:t xml:space="preserve"> </w:t>
      </w:r>
      <w:proofErr w:type="spellStart"/>
      <w:r w:rsidRPr="00521D04">
        <w:rPr>
          <w:bCs/>
          <w:lang w:val="en-US"/>
        </w:rPr>
        <w:t>Прњавор</w:t>
      </w:r>
      <w:proofErr w:type="spellEnd"/>
      <w:r w:rsidRPr="00521D04">
        <w:rPr>
          <w:bCs/>
          <w:lang w:val="en-US"/>
        </w:rPr>
        <w:t xml:space="preserve">“ </w:t>
      </w:r>
      <w:proofErr w:type="spellStart"/>
      <w:r w:rsidRPr="00521D04">
        <w:rPr>
          <w:bCs/>
          <w:lang w:val="en-US"/>
        </w:rPr>
        <w:t>број</w:t>
      </w:r>
      <w:proofErr w:type="spellEnd"/>
      <w:r w:rsidRPr="00521D04">
        <w:rPr>
          <w:bCs/>
          <w:lang w:val="en-US"/>
        </w:rPr>
        <w:t xml:space="preserve"> </w:t>
      </w:r>
      <w:r w:rsidR="00E339BE">
        <w:rPr>
          <w:bCs/>
        </w:rPr>
        <w:t>19/19</w:t>
      </w:r>
      <w:r w:rsidR="00901BE1">
        <w:rPr>
          <w:bCs/>
          <w:lang w:val="sr-Cyrl-RS"/>
        </w:rPr>
        <w:t xml:space="preserve"> и 51/20</w:t>
      </w:r>
      <w:r w:rsidRPr="00521D04">
        <w:rPr>
          <w:bCs/>
          <w:lang w:val="en-US"/>
        </w:rPr>
        <w:t xml:space="preserve">) </w:t>
      </w:r>
      <w:r w:rsidRPr="00521D04">
        <w:rPr>
          <w:bCs/>
        </w:rPr>
        <w:t>н</w:t>
      </w:r>
      <w:proofErr w:type="spellStart"/>
      <w:r w:rsidRPr="00521D04">
        <w:rPr>
          <w:bCs/>
          <w:lang w:val="en-US"/>
        </w:rPr>
        <w:t>ачелник</w:t>
      </w:r>
      <w:proofErr w:type="spellEnd"/>
      <w:r w:rsidRPr="00521D04">
        <w:rPr>
          <w:bCs/>
          <w:lang w:val="en-US"/>
        </w:rPr>
        <w:t xml:space="preserve"> </w:t>
      </w:r>
      <w:proofErr w:type="spellStart"/>
      <w:r w:rsidRPr="00521D04">
        <w:rPr>
          <w:bCs/>
          <w:lang w:val="en-US"/>
        </w:rPr>
        <w:t>општине</w:t>
      </w:r>
      <w:proofErr w:type="spellEnd"/>
      <w:r w:rsidRPr="00521D04">
        <w:rPr>
          <w:bCs/>
          <w:lang w:val="en-US"/>
        </w:rPr>
        <w:t xml:space="preserve"> </w:t>
      </w:r>
      <w:proofErr w:type="spellStart"/>
      <w:r w:rsidRPr="00521D04">
        <w:rPr>
          <w:bCs/>
          <w:lang w:val="en-US"/>
        </w:rPr>
        <w:t>може</w:t>
      </w:r>
      <w:proofErr w:type="spellEnd"/>
      <w:r w:rsidRPr="00521D04">
        <w:rPr>
          <w:bCs/>
          <w:lang w:val="en-US"/>
        </w:rPr>
        <w:t xml:space="preserve"> </w:t>
      </w:r>
      <w:proofErr w:type="spellStart"/>
      <w:r w:rsidRPr="00521D04">
        <w:rPr>
          <w:bCs/>
          <w:lang w:val="en-US"/>
        </w:rPr>
        <w:t>на</w:t>
      </w:r>
      <w:proofErr w:type="spellEnd"/>
      <w:r w:rsidRPr="00521D04">
        <w:rPr>
          <w:bCs/>
          <w:lang w:val="en-US"/>
        </w:rPr>
        <w:t xml:space="preserve"> </w:t>
      </w:r>
      <w:proofErr w:type="spellStart"/>
      <w:r w:rsidRPr="00521D04">
        <w:rPr>
          <w:bCs/>
          <w:lang w:val="en-US"/>
        </w:rPr>
        <w:t>приједлог</w:t>
      </w:r>
      <w:proofErr w:type="spellEnd"/>
      <w:r w:rsidRPr="00521D04">
        <w:rPr>
          <w:bCs/>
          <w:lang w:val="en-US"/>
        </w:rPr>
        <w:t xml:space="preserve"> </w:t>
      </w:r>
      <w:proofErr w:type="spellStart"/>
      <w:r w:rsidRPr="00521D04">
        <w:rPr>
          <w:bCs/>
          <w:lang w:val="en-US"/>
        </w:rPr>
        <w:t>Одјељења</w:t>
      </w:r>
      <w:proofErr w:type="spellEnd"/>
      <w:r w:rsidRPr="00521D04">
        <w:rPr>
          <w:bCs/>
          <w:lang w:val="en-US"/>
        </w:rPr>
        <w:t xml:space="preserve"> </w:t>
      </w:r>
      <w:proofErr w:type="spellStart"/>
      <w:r w:rsidRPr="00521D04">
        <w:rPr>
          <w:bCs/>
          <w:lang w:val="en-US"/>
        </w:rPr>
        <w:t>за</w:t>
      </w:r>
      <w:proofErr w:type="spellEnd"/>
      <w:r w:rsidRPr="00521D04">
        <w:rPr>
          <w:bCs/>
          <w:lang w:val="en-US"/>
        </w:rPr>
        <w:t xml:space="preserve"> </w:t>
      </w:r>
      <w:proofErr w:type="spellStart"/>
      <w:r w:rsidRPr="00521D04">
        <w:rPr>
          <w:bCs/>
          <w:lang w:val="en-US"/>
        </w:rPr>
        <w:t>финансије</w:t>
      </w:r>
      <w:proofErr w:type="spellEnd"/>
      <w:r w:rsidRPr="00521D04">
        <w:rPr>
          <w:bCs/>
          <w:lang w:val="en-US"/>
        </w:rPr>
        <w:t xml:space="preserve"> </w:t>
      </w:r>
      <w:proofErr w:type="spellStart"/>
      <w:r w:rsidRPr="00521D04">
        <w:rPr>
          <w:bCs/>
          <w:lang w:val="en-US"/>
        </w:rPr>
        <w:t>средства</w:t>
      </w:r>
      <w:proofErr w:type="spellEnd"/>
      <w:r w:rsidRPr="00521D04">
        <w:rPr>
          <w:bCs/>
          <w:lang w:val="en-US"/>
        </w:rPr>
        <w:t xml:space="preserve"> </w:t>
      </w:r>
      <w:proofErr w:type="spellStart"/>
      <w:r w:rsidRPr="00521D04">
        <w:rPr>
          <w:bCs/>
          <w:lang w:val="en-US"/>
        </w:rPr>
        <w:t>распоређена</w:t>
      </w:r>
      <w:proofErr w:type="spellEnd"/>
      <w:r w:rsidRPr="00521D04">
        <w:rPr>
          <w:bCs/>
          <w:lang w:val="en-US"/>
        </w:rPr>
        <w:t xml:space="preserve"> </w:t>
      </w:r>
      <w:proofErr w:type="spellStart"/>
      <w:r w:rsidRPr="00521D04">
        <w:rPr>
          <w:bCs/>
          <w:lang w:val="en-US"/>
        </w:rPr>
        <w:t>буџетом</w:t>
      </w:r>
      <w:proofErr w:type="spellEnd"/>
      <w:r w:rsidRPr="00521D04">
        <w:rPr>
          <w:bCs/>
        </w:rPr>
        <w:t xml:space="preserve"> прераспоређивати и то:</w:t>
      </w:r>
    </w:p>
    <w:p w14:paraId="12B2FE64" w14:textId="77777777" w:rsidR="002B5546" w:rsidRPr="001C0D1B" w:rsidRDefault="002B5546" w:rsidP="002B5546">
      <w:pPr>
        <w:pStyle w:val="Teloteksta"/>
        <w:numPr>
          <w:ilvl w:val="0"/>
          <w:numId w:val="8"/>
        </w:numPr>
        <w:spacing w:after="0"/>
        <w:ind w:right="-792"/>
        <w:rPr>
          <w:bCs/>
        </w:rPr>
      </w:pPr>
      <w:r w:rsidRPr="001C0D1B">
        <w:rPr>
          <w:bCs/>
        </w:rPr>
        <w:lastRenderedPageBreak/>
        <w:t>у оквиру потрошачке јединице без ограничења,</w:t>
      </w:r>
      <w:r w:rsidRPr="001C0D1B">
        <w:rPr>
          <w:bCs/>
          <w:lang w:val="sr-Latn-CS"/>
        </w:rPr>
        <w:t xml:space="preserve"> и</w:t>
      </w:r>
    </w:p>
    <w:p w14:paraId="77D5FCB2" w14:textId="77777777" w:rsidR="002B5546" w:rsidRDefault="002B5546" w:rsidP="002B5546">
      <w:pPr>
        <w:pStyle w:val="Teloteksta"/>
        <w:numPr>
          <w:ilvl w:val="0"/>
          <w:numId w:val="8"/>
        </w:numPr>
        <w:spacing w:after="0"/>
        <w:ind w:right="-792"/>
        <w:rPr>
          <w:bCs/>
        </w:rPr>
      </w:pPr>
      <w:r w:rsidRPr="001C0D1B">
        <w:rPr>
          <w:bCs/>
        </w:rPr>
        <w:t xml:space="preserve">између потрошачких јединица, и то до износа од 5% у односу на укупну </w:t>
      </w:r>
      <w:proofErr w:type="spellStart"/>
      <w:r w:rsidRPr="001C0D1B">
        <w:rPr>
          <w:bCs/>
        </w:rPr>
        <w:t>вриједност</w:t>
      </w:r>
      <w:proofErr w:type="spellEnd"/>
      <w:r w:rsidRPr="001C0D1B">
        <w:rPr>
          <w:bCs/>
        </w:rPr>
        <w:t xml:space="preserve"> планираних средстава потрошачке јединице са које се врши </w:t>
      </w:r>
      <w:proofErr w:type="spellStart"/>
      <w:r w:rsidRPr="001C0D1B">
        <w:rPr>
          <w:bCs/>
        </w:rPr>
        <w:t>реалокација</w:t>
      </w:r>
      <w:proofErr w:type="spellEnd"/>
      <w:r w:rsidRPr="001C0D1B">
        <w:rPr>
          <w:bCs/>
        </w:rPr>
        <w:t>.</w:t>
      </w:r>
    </w:p>
    <w:p w14:paraId="674C259C" w14:textId="77777777" w:rsidR="002B5546" w:rsidRPr="00997527" w:rsidRDefault="002B5546" w:rsidP="002B5546">
      <w:pPr>
        <w:pStyle w:val="Teloteksta"/>
        <w:spacing w:after="0"/>
        <w:ind w:left="720" w:right="-792" w:firstLine="0"/>
        <w:rPr>
          <w:bCs/>
        </w:rPr>
      </w:pPr>
    </w:p>
    <w:p w14:paraId="6F4BAFB4" w14:textId="77777777" w:rsidR="002B5546" w:rsidRDefault="002B5546" w:rsidP="002B5546">
      <w:pPr>
        <w:pStyle w:val="Teloteksta"/>
        <w:spacing w:after="0"/>
        <w:ind w:left="0" w:right="-792" w:firstLine="720"/>
        <w:rPr>
          <w:bCs/>
        </w:rPr>
      </w:pPr>
      <w:proofErr w:type="spellStart"/>
      <w:r w:rsidRPr="001C0D1B">
        <w:rPr>
          <w:bCs/>
          <w:lang w:val="en-US"/>
        </w:rPr>
        <w:t>Приједлог</w:t>
      </w:r>
      <w:proofErr w:type="spellEnd"/>
      <w:r w:rsidRPr="001C0D1B">
        <w:rPr>
          <w:bCs/>
          <w:lang w:val="en-US"/>
        </w:rPr>
        <w:t xml:space="preserve"> </w:t>
      </w:r>
      <w:proofErr w:type="spellStart"/>
      <w:r w:rsidRPr="001C0D1B">
        <w:rPr>
          <w:bCs/>
          <w:lang w:val="en-US"/>
        </w:rPr>
        <w:t>за</w:t>
      </w:r>
      <w:proofErr w:type="spellEnd"/>
      <w:r w:rsidRPr="001C0D1B">
        <w:rPr>
          <w:bCs/>
          <w:lang w:val="en-US"/>
        </w:rPr>
        <w:t xml:space="preserve"> </w:t>
      </w:r>
      <w:proofErr w:type="spellStart"/>
      <w:r w:rsidRPr="001C0D1B">
        <w:rPr>
          <w:bCs/>
          <w:lang w:val="en-US"/>
        </w:rPr>
        <w:t>реалокацију</w:t>
      </w:r>
      <w:proofErr w:type="spellEnd"/>
      <w:r w:rsidRPr="001C0D1B">
        <w:rPr>
          <w:bCs/>
          <w:lang w:val="en-US"/>
        </w:rPr>
        <w:t xml:space="preserve"> </w:t>
      </w:r>
      <w:proofErr w:type="spellStart"/>
      <w:r w:rsidRPr="001C0D1B">
        <w:rPr>
          <w:bCs/>
          <w:lang w:val="en-US"/>
        </w:rPr>
        <w:t>средстава</w:t>
      </w:r>
      <w:proofErr w:type="spellEnd"/>
      <w:r w:rsidRPr="001C0D1B">
        <w:rPr>
          <w:bCs/>
          <w:lang w:val="en-US"/>
        </w:rPr>
        <w:t xml:space="preserve"> </w:t>
      </w:r>
      <w:proofErr w:type="spellStart"/>
      <w:r w:rsidRPr="001C0D1B">
        <w:rPr>
          <w:bCs/>
          <w:lang w:val="en-US"/>
        </w:rPr>
        <w:t>покреће</w:t>
      </w:r>
      <w:proofErr w:type="spellEnd"/>
      <w:r w:rsidRPr="001C0D1B">
        <w:rPr>
          <w:bCs/>
          <w:lang w:val="en-US"/>
        </w:rPr>
        <w:t xml:space="preserve"> </w:t>
      </w:r>
      <w:proofErr w:type="spellStart"/>
      <w:r w:rsidRPr="001C0D1B">
        <w:rPr>
          <w:bCs/>
          <w:lang w:val="en-US"/>
        </w:rPr>
        <w:t>буџетски</w:t>
      </w:r>
      <w:proofErr w:type="spellEnd"/>
      <w:r w:rsidRPr="001C0D1B">
        <w:rPr>
          <w:bCs/>
          <w:lang w:val="en-US"/>
        </w:rPr>
        <w:t xml:space="preserve"> </w:t>
      </w:r>
      <w:proofErr w:type="spellStart"/>
      <w:r w:rsidRPr="001C0D1B">
        <w:rPr>
          <w:bCs/>
          <w:lang w:val="en-US"/>
        </w:rPr>
        <w:t>корисник</w:t>
      </w:r>
      <w:proofErr w:type="spellEnd"/>
      <w:r w:rsidRPr="001C0D1B">
        <w:rPr>
          <w:bCs/>
          <w:lang w:val="en-US"/>
        </w:rPr>
        <w:t xml:space="preserve"> </w:t>
      </w:r>
      <w:proofErr w:type="spellStart"/>
      <w:r w:rsidRPr="001C0D1B">
        <w:rPr>
          <w:bCs/>
          <w:lang w:val="en-US"/>
        </w:rPr>
        <w:t>тако</w:t>
      </w:r>
      <w:proofErr w:type="spellEnd"/>
      <w:r w:rsidRPr="001C0D1B">
        <w:rPr>
          <w:bCs/>
          <w:lang w:val="en-US"/>
        </w:rPr>
        <w:t xml:space="preserve"> </w:t>
      </w:r>
      <w:proofErr w:type="spellStart"/>
      <w:r w:rsidRPr="001C0D1B">
        <w:rPr>
          <w:bCs/>
          <w:lang w:val="en-US"/>
        </w:rPr>
        <w:t>што</w:t>
      </w:r>
      <w:proofErr w:type="spellEnd"/>
      <w:r w:rsidRPr="001C0D1B">
        <w:rPr>
          <w:bCs/>
          <w:lang w:val="en-US"/>
        </w:rPr>
        <w:t xml:space="preserve"> </w:t>
      </w:r>
      <w:proofErr w:type="spellStart"/>
      <w:r w:rsidRPr="001C0D1B">
        <w:rPr>
          <w:bCs/>
          <w:lang w:val="en-US"/>
        </w:rPr>
        <w:t>подноси</w:t>
      </w:r>
      <w:proofErr w:type="spellEnd"/>
      <w:r w:rsidRPr="001C0D1B">
        <w:rPr>
          <w:bCs/>
          <w:lang w:val="en-US"/>
        </w:rPr>
        <w:t xml:space="preserve"> </w:t>
      </w:r>
      <w:proofErr w:type="spellStart"/>
      <w:r w:rsidRPr="001C0D1B">
        <w:rPr>
          <w:bCs/>
          <w:lang w:val="en-US"/>
        </w:rPr>
        <w:t>захтјев</w:t>
      </w:r>
      <w:proofErr w:type="spellEnd"/>
      <w:r w:rsidRPr="001C0D1B">
        <w:rPr>
          <w:bCs/>
          <w:lang w:val="en-US"/>
        </w:rPr>
        <w:t xml:space="preserve"> </w:t>
      </w:r>
      <w:proofErr w:type="spellStart"/>
      <w:r w:rsidRPr="001C0D1B">
        <w:rPr>
          <w:bCs/>
          <w:lang w:val="en-US"/>
        </w:rPr>
        <w:t>за</w:t>
      </w:r>
      <w:proofErr w:type="spellEnd"/>
      <w:r w:rsidRPr="001C0D1B">
        <w:rPr>
          <w:bCs/>
          <w:lang w:val="en-US"/>
        </w:rPr>
        <w:t xml:space="preserve"> </w:t>
      </w:r>
      <w:proofErr w:type="spellStart"/>
      <w:r w:rsidRPr="001C0D1B">
        <w:rPr>
          <w:bCs/>
          <w:lang w:val="en-US"/>
        </w:rPr>
        <w:t>реалокацију</w:t>
      </w:r>
      <w:proofErr w:type="spellEnd"/>
      <w:r w:rsidRPr="001C0D1B">
        <w:rPr>
          <w:bCs/>
          <w:lang w:val="en-US"/>
        </w:rPr>
        <w:t xml:space="preserve"> </w:t>
      </w:r>
      <w:proofErr w:type="spellStart"/>
      <w:r w:rsidRPr="001C0D1B">
        <w:rPr>
          <w:bCs/>
          <w:lang w:val="en-US"/>
        </w:rPr>
        <w:t>Одјељењу</w:t>
      </w:r>
      <w:proofErr w:type="spellEnd"/>
      <w:r w:rsidRPr="001C0D1B">
        <w:rPr>
          <w:bCs/>
          <w:lang w:val="en-US"/>
        </w:rPr>
        <w:t xml:space="preserve"> </w:t>
      </w:r>
      <w:proofErr w:type="spellStart"/>
      <w:r w:rsidRPr="001C0D1B">
        <w:rPr>
          <w:bCs/>
          <w:lang w:val="en-US"/>
        </w:rPr>
        <w:t>за</w:t>
      </w:r>
      <w:proofErr w:type="spellEnd"/>
      <w:r w:rsidRPr="001C0D1B">
        <w:rPr>
          <w:bCs/>
          <w:lang w:val="en-US"/>
        </w:rPr>
        <w:t xml:space="preserve"> </w:t>
      </w:r>
      <w:proofErr w:type="spellStart"/>
      <w:r w:rsidRPr="001C0D1B">
        <w:rPr>
          <w:bCs/>
          <w:lang w:val="en-US"/>
        </w:rPr>
        <w:t>финансије</w:t>
      </w:r>
      <w:proofErr w:type="spellEnd"/>
      <w:r w:rsidRPr="001C0D1B">
        <w:rPr>
          <w:bCs/>
          <w:lang w:val="en-US"/>
        </w:rPr>
        <w:t xml:space="preserve">, </w:t>
      </w:r>
      <w:proofErr w:type="spellStart"/>
      <w:r w:rsidRPr="001C0D1B">
        <w:rPr>
          <w:bCs/>
          <w:lang w:val="en-US"/>
        </w:rPr>
        <w:t>које</w:t>
      </w:r>
      <w:proofErr w:type="spellEnd"/>
      <w:r w:rsidRPr="001C0D1B">
        <w:rPr>
          <w:bCs/>
          <w:lang w:val="en-US"/>
        </w:rPr>
        <w:t xml:space="preserve"> </w:t>
      </w:r>
      <w:proofErr w:type="spellStart"/>
      <w:r w:rsidRPr="001C0D1B">
        <w:rPr>
          <w:bCs/>
          <w:lang w:val="en-US"/>
        </w:rPr>
        <w:t>исти</w:t>
      </w:r>
      <w:proofErr w:type="spellEnd"/>
      <w:r w:rsidRPr="001C0D1B">
        <w:rPr>
          <w:bCs/>
          <w:lang w:val="en-US"/>
        </w:rPr>
        <w:t xml:space="preserve"> </w:t>
      </w:r>
      <w:proofErr w:type="spellStart"/>
      <w:r w:rsidRPr="001C0D1B">
        <w:rPr>
          <w:bCs/>
          <w:lang w:val="en-US"/>
        </w:rPr>
        <w:t>разматра</w:t>
      </w:r>
      <w:proofErr w:type="spellEnd"/>
      <w:r w:rsidRPr="001C0D1B">
        <w:rPr>
          <w:bCs/>
          <w:lang w:val="en-US"/>
        </w:rPr>
        <w:t xml:space="preserve"> и </w:t>
      </w:r>
      <w:proofErr w:type="spellStart"/>
      <w:r w:rsidRPr="001C0D1B">
        <w:rPr>
          <w:bCs/>
          <w:lang w:val="en-US"/>
        </w:rPr>
        <w:t>доставља</w:t>
      </w:r>
      <w:proofErr w:type="spellEnd"/>
      <w:r w:rsidRPr="001C0D1B">
        <w:rPr>
          <w:bCs/>
        </w:rPr>
        <w:t xml:space="preserve"> н</w:t>
      </w:r>
      <w:proofErr w:type="spellStart"/>
      <w:r w:rsidRPr="001C0D1B">
        <w:rPr>
          <w:bCs/>
          <w:lang w:val="en-US"/>
        </w:rPr>
        <w:t>ачелнику</w:t>
      </w:r>
      <w:proofErr w:type="spellEnd"/>
      <w:r w:rsidRPr="001C0D1B">
        <w:rPr>
          <w:bCs/>
          <w:lang w:val="en-US"/>
        </w:rPr>
        <w:t xml:space="preserve"> </w:t>
      </w:r>
      <w:proofErr w:type="spellStart"/>
      <w:r w:rsidRPr="001C0D1B">
        <w:rPr>
          <w:bCs/>
          <w:lang w:val="en-US"/>
        </w:rPr>
        <w:t>општине</w:t>
      </w:r>
      <w:proofErr w:type="spellEnd"/>
      <w:r w:rsidRPr="001C0D1B">
        <w:rPr>
          <w:bCs/>
          <w:lang w:val="en-US"/>
        </w:rPr>
        <w:t xml:space="preserve"> </w:t>
      </w:r>
      <w:proofErr w:type="spellStart"/>
      <w:r w:rsidRPr="001C0D1B">
        <w:rPr>
          <w:bCs/>
          <w:lang w:val="en-US"/>
        </w:rPr>
        <w:t>приједлог</w:t>
      </w:r>
      <w:proofErr w:type="spellEnd"/>
      <w:r w:rsidRPr="001C0D1B">
        <w:rPr>
          <w:bCs/>
          <w:lang w:val="en-US"/>
        </w:rPr>
        <w:t xml:space="preserve"> </w:t>
      </w:r>
      <w:proofErr w:type="spellStart"/>
      <w:r w:rsidRPr="001C0D1B">
        <w:rPr>
          <w:bCs/>
          <w:lang w:val="en-US"/>
        </w:rPr>
        <w:t>прерасподјеле</w:t>
      </w:r>
      <w:proofErr w:type="spellEnd"/>
      <w:r w:rsidRPr="001C0D1B">
        <w:rPr>
          <w:bCs/>
          <w:lang w:val="en-US"/>
        </w:rPr>
        <w:t xml:space="preserve"> </w:t>
      </w:r>
      <w:proofErr w:type="spellStart"/>
      <w:r w:rsidRPr="001C0D1B">
        <w:rPr>
          <w:bCs/>
          <w:lang w:val="en-US"/>
        </w:rPr>
        <w:t>средстава</w:t>
      </w:r>
      <w:proofErr w:type="spellEnd"/>
      <w:r w:rsidRPr="001C0D1B">
        <w:rPr>
          <w:bCs/>
          <w:lang w:val="en-US"/>
        </w:rPr>
        <w:t xml:space="preserve"> </w:t>
      </w:r>
      <w:proofErr w:type="spellStart"/>
      <w:r w:rsidRPr="001C0D1B">
        <w:rPr>
          <w:bCs/>
          <w:lang w:val="en-US"/>
        </w:rPr>
        <w:t>на</w:t>
      </w:r>
      <w:proofErr w:type="spellEnd"/>
      <w:r w:rsidRPr="001C0D1B">
        <w:rPr>
          <w:bCs/>
          <w:lang w:val="en-US"/>
        </w:rPr>
        <w:t xml:space="preserve"> </w:t>
      </w:r>
      <w:proofErr w:type="spellStart"/>
      <w:r w:rsidRPr="001C0D1B">
        <w:rPr>
          <w:bCs/>
          <w:lang w:val="en-US"/>
        </w:rPr>
        <w:t>одобравање</w:t>
      </w:r>
      <w:proofErr w:type="spellEnd"/>
      <w:r w:rsidRPr="001C0D1B">
        <w:rPr>
          <w:bCs/>
          <w:lang w:val="en-US"/>
        </w:rPr>
        <w:t>.</w:t>
      </w:r>
      <w:r w:rsidR="00901BE1">
        <w:rPr>
          <w:bCs/>
          <w:lang w:val="sr-Cyrl-RS"/>
        </w:rPr>
        <w:t xml:space="preserve"> </w:t>
      </w:r>
      <w:proofErr w:type="spellStart"/>
      <w:r w:rsidR="003F02C3">
        <w:rPr>
          <w:bCs/>
        </w:rPr>
        <w:t>Одјељење</w:t>
      </w:r>
      <w:proofErr w:type="spellEnd"/>
      <w:r w:rsidR="003F02C3">
        <w:rPr>
          <w:bCs/>
        </w:rPr>
        <w:t xml:space="preserve"> за финансије </w:t>
      </w:r>
      <w:proofErr w:type="spellStart"/>
      <w:r w:rsidR="003F02C3">
        <w:rPr>
          <w:bCs/>
        </w:rPr>
        <w:t>тромјесечно</w:t>
      </w:r>
      <w:proofErr w:type="spellEnd"/>
      <w:r w:rsidR="003F02C3">
        <w:rPr>
          <w:bCs/>
        </w:rPr>
        <w:t xml:space="preserve"> </w:t>
      </w:r>
      <w:proofErr w:type="spellStart"/>
      <w:r w:rsidR="003F02C3">
        <w:rPr>
          <w:bCs/>
        </w:rPr>
        <w:t>извјештава</w:t>
      </w:r>
      <w:proofErr w:type="spellEnd"/>
      <w:r w:rsidR="003F02C3">
        <w:rPr>
          <w:bCs/>
        </w:rPr>
        <w:t xml:space="preserve"> начелника општине о извршеним </w:t>
      </w:r>
      <w:proofErr w:type="spellStart"/>
      <w:r w:rsidR="003F02C3">
        <w:rPr>
          <w:bCs/>
        </w:rPr>
        <w:t>реалокацијама</w:t>
      </w:r>
      <w:proofErr w:type="spellEnd"/>
      <w:r w:rsidR="003F02C3">
        <w:rPr>
          <w:bCs/>
        </w:rPr>
        <w:t xml:space="preserve"> буџетских средстава, а н</w:t>
      </w:r>
      <w:r w:rsidRPr="001C0D1B">
        <w:rPr>
          <w:bCs/>
        </w:rPr>
        <w:t xml:space="preserve">ачелник је обавезан да полугодишње </w:t>
      </w:r>
      <w:proofErr w:type="spellStart"/>
      <w:r w:rsidRPr="001C0D1B">
        <w:rPr>
          <w:bCs/>
        </w:rPr>
        <w:t>извјештава</w:t>
      </w:r>
      <w:proofErr w:type="spellEnd"/>
      <w:r w:rsidRPr="001C0D1B">
        <w:rPr>
          <w:bCs/>
        </w:rPr>
        <w:t xml:space="preserve"> Скупштину општине о извршеној </w:t>
      </w:r>
      <w:proofErr w:type="spellStart"/>
      <w:r w:rsidRPr="001C0D1B">
        <w:rPr>
          <w:bCs/>
        </w:rPr>
        <w:t>прерасподјели</w:t>
      </w:r>
      <w:proofErr w:type="spellEnd"/>
      <w:r w:rsidRPr="001C0D1B">
        <w:rPr>
          <w:bCs/>
        </w:rPr>
        <w:t xml:space="preserve"> средстава. Закључци о извршеним </w:t>
      </w:r>
      <w:proofErr w:type="spellStart"/>
      <w:r w:rsidRPr="001C0D1B">
        <w:rPr>
          <w:bCs/>
        </w:rPr>
        <w:t>реалокацијама</w:t>
      </w:r>
      <w:proofErr w:type="spellEnd"/>
      <w:r w:rsidRPr="001C0D1B">
        <w:rPr>
          <w:bCs/>
        </w:rPr>
        <w:t xml:space="preserve"> објављују с</w:t>
      </w:r>
      <w:r w:rsidRPr="001C0D1B">
        <w:rPr>
          <w:bCs/>
          <w:lang w:val="sr-Latn-CS"/>
        </w:rPr>
        <w:t>e</w:t>
      </w:r>
      <w:r w:rsidRPr="001C0D1B">
        <w:rPr>
          <w:bCs/>
        </w:rPr>
        <w:t xml:space="preserve"> у Службеном гласнику општине Прњавор.</w:t>
      </w:r>
    </w:p>
    <w:p w14:paraId="45A08B05" w14:textId="77777777" w:rsidR="00901BE1" w:rsidRPr="00575D21" w:rsidRDefault="00901BE1" w:rsidP="00901BE1">
      <w:pPr>
        <w:pStyle w:val="Teloteksta"/>
        <w:spacing w:after="0"/>
        <w:ind w:left="0" w:right="-792" w:firstLine="720"/>
        <w:rPr>
          <w:bCs/>
        </w:rPr>
      </w:pPr>
      <w:r>
        <w:rPr>
          <w:lang w:val="sr-Cyrl-RS"/>
        </w:rPr>
        <w:t>У периоду 01.01-31.12.2020</w:t>
      </w:r>
      <w:r w:rsidR="00AB144E">
        <w:rPr>
          <w:lang w:val="sr-Cyrl-RS"/>
        </w:rPr>
        <w:t xml:space="preserve">. године </w:t>
      </w:r>
      <w:proofErr w:type="spellStart"/>
      <w:r w:rsidR="00AB144E">
        <w:rPr>
          <w:lang w:val="sr-Cyrl-RS"/>
        </w:rPr>
        <w:t>одобренo</w:t>
      </w:r>
      <w:proofErr w:type="spellEnd"/>
      <w:r>
        <w:rPr>
          <w:lang w:val="sr-Cyrl-RS"/>
        </w:rPr>
        <w:t xml:space="preserve"> </w:t>
      </w:r>
      <w:r>
        <w:t>је</w:t>
      </w:r>
      <w:r>
        <w:rPr>
          <w:lang w:val="sr-Cyrl-RS"/>
        </w:rPr>
        <w:t xml:space="preserve"> укупно</w:t>
      </w:r>
      <w:r>
        <w:t xml:space="preserve"> </w:t>
      </w:r>
      <w:r w:rsidR="00AB144E">
        <w:rPr>
          <w:lang w:val="sr-Latn-RS"/>
        </w:rPr>
        <w:t>65</w:t>
      </w:r>
      <w:r>
        <w:t xml:space="preserve"> </w:t>
      </w:r>
      <w:proofErr w:type="spellStart"/>
      <w:r>
        <w:t>реалокација</w:t>
      </w:r>
      <w:proofErr w:type="spellEnd"/>
      <w:r>
        <w:t xml:space="preserve"> буџетских средстава</w:t>
      </w:r>
      <w:r>
        <w:rPr>
          <w:lang w:val="sr-Cyrl-RS"/>
        </w:rPr>
        <w:t xml:space="preserve">, с тим да су </w:t>
      </w:r>
      <w:proofErr w:type="spellStart"/>
      <w:r>
        <w:rPr>
          <w:lang w:val="sr-Cyrl-RS"/>
        </w:rPr>
        <w:t>реалокације</w:t>
      </w:r>
      <w:proofErr w:type="spellEnd"/>
      <w:r>
        <w:rPr>
          <w:lang w:val="sr-Cyrl-RS"/>
        </w:rPr>
        <w:t xml:space="preserve"> одобрене до усвајања ребаланса буџета (</w:t>
      </w:r>
      <w:r w:rsidR="00AB144E">
        <w:rPr>
          <w:lang w:val="sr-Latn-RS"/>
        </w:rPr>
        <w:t>36</w:t>
      </w:r>
      <w:r w:rsidR="00AB144E">
        <w:rPr>
          <w:lang w:val="sr-Cyrl-RS"/>
        </w:rPr>
        <w:t xml:space="preserve"> </w:t>
      </w:r>
      <w:proofErr w:type="spellStart"/>
      <w:r w:rsidR="00AB144E">
        <w:rPr>
          <w:lang w:val="sr-Cyrl-RS"/>
        </w:rPr>
        <w:t>реалокацијa</w:t>
      </w:r>
      <w:proofErr w:type="spellEnd"/>
      <w:r>
        <w:rPr>
          <w:lang w:val="sr-Cyrl-RS"/>
        </w:rPr>
        <w:t xml:space="preserve">) уврштене у ребаланс, док је </w:t>
      </w:r>
      <w:r>
        <w:rPr>
          <w:lang w:val="sr-Latn-RS"/>
        </w:rPr>
        <w:t>29</w:t>
      </w:r>
      <w:r>
        <w:rPr>
          <w:lang w:val="sr-Cyrl-RS"/>
        </w:rPr>
        <w:t xml:space="preserve"> </w:t>
      </w:r>
      <w:proofErr w:type="spellStart"/>
      <w:r>
        <w:rPr>
          <w:lang w:val="sr-Cyrl-RS"/>
        </w:rPr>
        <w:t>реалокација</w:t>
      </w:r>
      <w:proofErr w:type="spellEnd"/>
      <w:r>
        <w:rPr>
          <w:lang w:val="sr-Cyrl-RS"/>
        </w:rPr>
        <w:t xml:space="preserve"> у укупној </w:t>
      </w:r>
      <w:proofErr w:type="spellStart"/>
      <w:r>
        <w:rPr>
          <w:lang w:val="sr-Cyrl-RS"/>
        </w:rPr>
        <w:t>вриједности</w:t>
      </w:r>
      <w:proofErr w:type="spellEnd"/>
      <w:r>
        <w:rPr>
          <w:lang w:val="sr-Cyrl-RS"/>
        </w:rPr>
        <w:t xml:space="preserve"> од </w:t>
      </w:r>
      <w:r w:rsidR="00AB144E">
        <w:rPr>
          <w:lang w:val="sr-Latn-RS"/>
        </w:rPr>
        <w:t>191.590,13</w:t>
      </w:r>
      <w:r>
        <w:rPr>
          <w:lang w:val="sr-Cyrl-RS"/>
        </w:rPr>
        <w:t xml:space="preserve"> КМ одобрено након усвајања ребаланса</w:t>
      </w:r>
      <w:r>
        <w:t xml:space="preserve"> </w:t>
      </w:r>
      <w:r>
        <w:rPr>
          <w:lang w:val="sr-Cyrl-RS"/>
        </w:rPr>
        <w:t xml:space="preserve">и приказано кроз табеларни </w:t>
      </w:r>
      <w:proofErr w:type="spellStart"/>
      <w:r>
        <w:rPr>
          <w:lang w:val="sr-Cyrl-RS"/>
        </w:rPr>
        <w:t>дио</w:t>
      </w:r>
      <w:proofErr w:type="spellEnd"/>
      <w:r>
        <w:rPr>
          <w:lang w:val="sr-Cyrl-RS"/>
        </w:rPr>
        <w:t xml:space="preserve"> </w:t>
      </w:r>
      <w:proofErr w:type="spellStart"/>
      <w:r>
        <w:rPr>
          <w:lang w:val="sr-Cyrl-RS"/>
        </w:rPr>
        <w:t>извјештаја</w:t>
      </w:r>
      <w:proofErr w:type="spellEnd"/>
      <w:r>
        <w:rPr>
          <w:lang w:val="sr-Cyrl-RS"/>
        </w:rPr>
        <w:t xml:space="preserve"> о извршењу буџета. </w:t>
      </w:r>
      <w:r>
        <w:rPr>
          <w:bCs/>
        </w:rPr>
        <w:t xml:space="preserve">Детаљне информације о </w:t>
      </w:r>
      <w:r>
        <w:rPr>
          <w:bCs/>
          <w:lang w:val="sr-Cyrl-RS"/>
        </w:rPr>
        <w:t xml:space="preserve">одобреним </w:t>
      </w:r>
      <w:proofErr w:type="spellStart"/>
      <w:r>
        <w:rPr>
          <w:bCs/>
          <w:lang w:val="sr-Cyrl-RS"/>
        </w:rPr>
        <w:t>реалокацијама</w:t>
      </w:r>
      <w:proofErr w:type="spellEnd"/>
      <w:r>
        <w:rPr>
          <w:bCs/>
          <w:lang w:val="sr-Cyrl-RS"/>
        </w:rPr>
        <w:t xml:space="preserve"> након усвајања ребаланса буџета (број и датум закључка о </w:t>
      </w:r>
      <w:proofErr w:type="spellStart"/>
      <w:r>
        <w:rPr>
          <w:bCs/>
          <w:lang w:val="sr-Cyrl-RS"/>
        </w:rPr>
        <w:t>реалокацији</w:t>
      </w:r>
      <w:proofErr w:type="spellEnd"/>
      <w:r>
        <w:rPr>
          <w:bCs/>
          <w:lang w:val="sr-Cyrl-RS"/>
        </w:rPr>
        <w:t xml:space="preserve">, број и назив организационе јединице и буџетска позиција са које је извршена </w:t>
      </w:r>
      <w:proofErr w:type="spellStart"/>
      <w:r>
        <w:rPr>
          <w:bCs/>
          <w:lang w:val="sr-Cyrl-RS"/>
        </w:rPr>
        <w:t>реалокација</w:t>
      </w:r>
      <w:proofErr w:type="spellEnd"/>
      <w:r>
        <w:rPr>
          <w:bCs/>
          <w:lang w:val="sr-Cyrl-RS"/>
        </w:rPr>
        <w:t xml:space="preserve">, број и назив организационе јединице и буџетска позиција на коју је извршена </w:t>
      </w:r>
      <w:proofErr w:type="spellStart"/>
      <w:r>
        <w:rPr>
          <w:bCs/>
          <w:lang w:val="sr-Cyrl-RS"/>
        </w:rPr>
        <w:t>реалокација</w:t>
      </w:r>
      <w:proofErr w:type="spellEnd"/>
      <w:r>
        <w:rPr>
          <w:bCs/>
          <w:lang w:val="sr-Cyrl-RS"/>
        </w:rPr>
        <w:t xml:space="preserve"> и износ </w:t>
      </w:r>
      <w:proofErr w:type="spellStart"/>
      <w:r>
        <w:rPr>
          <w:bCs/>
          <w:lang w:val="sr-Cyrl-RS"/>
        </w:rPr>
        <w:t>реалокације</w:t>
      </w:r>
      <w:proofErr w:type="spellEnd"/>
      <w:r>
        <w:rPr>
          <w:bCs/>
          <w:lang w:val="sr-Cyrl-RS"/>
        </w:rPr>
        <w:t xml:space="preserve">) </w:t>
      </w:r>
      <w:r>
        <w:rPr>
          <w:bCs/>
        </w:rPr>
        <w:t xml:space="preserve">дате су у прилогу овог </w:t>
      </w:r>
      <w:proofErr w:type="spellStart"/>
      <w:r>
        <w:rPr>
          <w:bCs/>
        </w:rPr>
        <w:t>извјештаја</w:t>
      </w:r>
      <w:proofErr w:type="spellEnd"/>
      <w:r>
        <w:rPr>
          <w:bCs/>
        </w:rPr>
        <w:t>, у табели бр. 2.</w:t>
      </w:r>
      <w:r w:rsidRPr="00521D04">
        <w:rPr>
          <w:bCs/>
          <w:highlight w:val="yellow"/>
        </w:rPr>
        <w:t xml:space="preserve"> </w:t>
      </w:r>
    </w:p>
    <w:p w14:paraId="3B0217C2" w14:textId="77777777" w:rsidR="002B5546" w:rsidRDefault="002B5546" w:rsidP="00AB144E">
      <w:pPr>
        <w:ind w:left="0" w:firstLine="0"/>
      </w:pPr>
    </w:p>
    <w:p w14:paraId="5A563841" w14:textId="77777777" w:rsidR="002B5546" w:rsidRPr="00A90326" w:rsidRDefault="002B5546" w:rsidP="00236ED3">
      <w:pPr>
        <w:pStyle w:val="Glavninaslovi"/>
        <w:rPr>
          <w:sz w:val="24"/>
          <w:szCs w:val="24"/>
        </w:rPr>
      </w:pPr>
      <w:bookmarkStart w:id="97" w:name="_Toc530745899"/>
      <w:bookmarkStart w:id="98" w:name="_Toc50641218"/>
      <w:r w:rsidRPr="00A90326">
        <w:rPr>
          <w:sz w:val="24"/>
          <w:szCs w:val="24"/>
        </w:rPr>
        <w:t>5. РЕАЛОКАЦИЈЕ СРЕДСТАВА БУЏЕТСКЕ РЕЗЕРВЕ</w:t>
      </w:r>
      <w:bookmarkEnd w:id="97"/>
      <w:bookmarkEnd w:id="98"/>
    </w:p>
    <w:p w14:paraId="38B8FA18" w14:textId="77777777" w:rsidR="002B5546" w:rsidRDefault="002B5546" w:rsidP="008C238F">
      <w:pPr>
        <w:ind w:left="0" w:firstLine="720"/>
      </w:pPr>
    </w:p>
    <w:p w14:paraId="2B5F3473" w14:textId="77777777" w:rsidR="00D43DC6" w:rsidRDefault="00D43DC6" w:rsidP="00E339BE">
      <w:pPr>
        <w:ind w:left="0" w:right="-792" w:firstLine="720"/>
      </w:pPr>
      <w:r w:rsidRPr="00E66933">
        <w:t xml:space="preserve">Буџетска резерва представља </w:t>
      </w:r>
      <w:proofErr w:type="spellStart"/>
      <w:r w:rsidRPr="00E66933">
        <w:t>дио</w:t>
      </w:r>
      <w:proofErr w:type="spellEnd"/>
      <w:r w:rsidRPr="00E66933">
        <w:t xml:space="preserve"> планираних средстава буџета која се </w:t>
      </w:r>
      <w:r w:rsidR="008A02E8">
        <w:t xml:space="preserve">у складу са Законом о буџетском систему </w:t>
      </w:r>
      <w:r w:rsidRPr="00E66933">
        <w:t>могу користити</w:t>
      </w:r>
      <w:r>
        <w:t xml:space="preserve"> за</w:t>
      </w:r>
      <w:r w:rsidRPr="00E66933">
        <w:t>:</w:t>
      </w:r>
    </w:p>
    <w:p w14:paraId="7E6BEF6C" w14:textId="77777777" w:rsidR="00D43DC6" w:rsidRDefault="00D43DC6" w:rsidP="00E339BE">
      <w:pPr>
        <w:numPr>
          <w:ilvl w:val="0"/>
          <w:numId w:val="6"/>
        </w:numPr>
        <w:spacing w:before="120"/>
        <w:ind w:left="714" w:hanging="357"/>
      </w:pPr>
      <w:r>
        <w:t>покривање непредвиђених издатака за које нису планирана средства у буџету,</w:t>
      </w:r>
    </w:p>
    <w:p w14:paraId="0DCD05A9" w14:textId="77777777" w:rsidR="00D43DC6" w:rsidRDefault="00D43DC6" w:rsidP="00D43DC6">
      <w:pPr>
        <w:numPr>
          <w:ilvl w:val="0"/>
          <w:numId w:val="6"/>
        </w:numPr>
      </w:pPr>
      <w:r>
        <w:t>буџетске издатке за које се покаже да планирана буџетска средства нису довољна,</w:t>
      </w:r>
    </w:p>
    <w:p w14:paraId="0D5EEEF4" w14:textId="77777777" w:rsidR="00D43DC6" w:rsidRDefault="00D43DC6" w:rsidP="00D43DC6">
      <w:pPr>
        <w:numPr>
          <w:ilvl w:val="0"/>
          <w:numId w:val="6"/>
        </w:numPr>
      </w:pPr>
      <w:r>
        <w:t xml:space="preserve">привремено извршавање обавеза буџета </w:t>
      </w:r>
      <w:proofErr w:type="spellStart"/>
      <w:r>
        <w:t>усљед</w:t>
      </w:r>
      <w:proofErr w:type="spellEnd"/>
      <w:r>
        <w:t xml:space="preserve"> смањеног обима буџетских средстава, и</w:t>
      </w:r>
    </w:p>
    <w:p w14:paraId="0E01AFDB" w14:textId="77777777" w:rsidR="00D43DC6" w:rsidRPr="005258B0" w:rsidRDefault="00D43DC6" w:rsidP="00D43DC6">
      <w:pPr>
        <w:numPr>
          <w:ilvl w:val="0"/>
          <w:numId w:val="6"/>
        </w:numPr>
      </w:pPr>
      <w:r>
        <w:t xml:space="preserve">изузетно за остале </w:t>
      </w:r>
      <w:proofErr w:type="spellStart"/>
      <w:r>
        <w:t>намјене</w:t>
      </w:r>
      <w:proofErr w:type="spellEnd"/>
      <w:r>
        <w:t xml:space="preserve"> у складу са одлукама начелника општине.</w:t>
      </w:r>
    </w:p>
    <w:p w14:paraId="71C41449" w14:textId="77777777" w:rsidR="00D43DC6" w:rsidRDefault="00D43DC6" w:rsidP="00D43DC6">
      <w:pPr>
        <w:pStyle w:val="Teloteksta"/>
        <w:spacing w:after="0"/>
        <w:ind w:left="0" w:firstLine="720"/>
      </w:pPr>
    </w:p>
    <w:p w14:paraId="0A4B2969" w14:textId="77777777" w:rsidR="00D43DC6" w:rsidRPr="007E2887" w:rsidRDefault="00D43DC6" w:rsidP="00D43DC6">
      <w:pPr>
        <w:pStyle w:val="Teloteksta"/>
        <w:spacing w:after="0"/>
        <w:ind w:left="0" w:firstLine="720"/>
        <w:rPr>
          <w:bCs/>
        </w:rPr>
      </w:pPr>
      <w:r>
        <w:t>Средства буџетске резерве се не планирају на одређеном организационом, економском</w:t>
      </w:r>
      <w:r w:rsidRPr="005A0341">
        <w:t>, као ни</w:t>
      </w:r>
      <w:r>
        <w:t xml:space="preserve"> функционалном</w:t>
      </w:r>
      <w:r w:rsidRPr="005A0341">
        <w:t xml:space="preserve"> код</w:t>
      </w:r>
      <w:r>
        <w:t>у</w:t>
      </w:r>
      <w:r w:rsidRPr="005A0341">
        <w:t>.</w:t>
      </w:r>
      <w:r>
        <w:t xml:space="preserve"> Одобравање коришћења средстава буџетске резерве врши начелник општине у форми закључка, након чега се средства буџетске резерве </w:t>
      </w:r>
      <w:proofErr w:type="spellStart"/>
      <w:r>
        <w:t>реалоцирају</w:t>
      </w:r>
      <w:proofErr w:type="spellEnd"/>
      <w:r>
        <w:t xml:space="preserve"> на одговарајућу потрошачку јединицу и позицију у буџету, у складу са </w:t>
      </w:r>
      <w:proofErr w:type="spellStart"/>
      <w:r>
        <w:t>намјеном</w:t>
      </w:r>
      <w:proofErr w:type="spellEnd"/>
      <w:r>
        <w:t xml:space="preserve"> за коју су средства одобрена</w:t>
      </w:r>
      <w:r w:rsidRPr="009E43D3">
        <w:t xml:space="preserve">. </w:t>
      </w:r>
      <w:r w:rsidRPr="009E43D3">
        <w:rPr>
          <w:bCs/>
        </w:rPr>
        <w:t xml:space="preserve">У табеларном </w:t>
      </w:r>
      <w:proofErr w:type="spellStart"/>
      <w:r w:rsidRPr="009E43D3">
        <w:rPr>
          <w:bCs/>
        </w:rPr>
        <w:t>дијелу</w:t>
      </w:r>
      <w:proofErr w:type="spellEnd"/>
      <w:r w:rsidRPr="009E43D3">
        <w:rPr>
          <w:bCs/>
        </w:rPr>
        <w:t xml:space="preserve"> буџета трошење одобрених средстава текуће буџетске резерве ради јаснијег идентификовања раздвојено је у односу на трошење редовних буџетских средстава.</w:t>
      </w:r>
    </w:p>
    <w:p w14:paraId="00806269" w14:textId="77777777" w:rsidR="00D43DC6" w:rsidRDefault="00D43DC6" w:rsidP="00D43DC6">
      <w:pPr>
        <w:pStyle w:val="Teloteksta"/>
        <w:spacing w:after="0"/>
        <w:ind w:left="0" w:firstLine="720"/>
      </w:pPr>
      <w:r>
        <w:t xml:space="preserve">Законом о буџетском систему Републике Српске </w:t>
      </w:r>
      <w:r w:rsidRPr="00AB3D7C">
        <w:t xml:space="preserve">(„Службени гласник Републике Српске“, број </w:t>
      </w:r>
      <w:r w:rsidRPr="00AB3D7C">
        <w:rPr>
          <w:lang w:val="sr-Latn-CS"/>
        </w:rPr>
        <w:t>121/12</w:t>
      </w:r>
      <w:r>
        <w:rPr>
          <w:lang w:val="sr-Latn-CS"/>
        </w:rPr>
        <w:t>, 52/14, 103/15</w:t>
      </w:r>
      <w:r>
        <w:t xml:space="preserve"> и 15/16</w:t>
      </w:r>
      <w:r w:rsidRPr="00AB3D7C">
        <w:t>)</w:t>
      </w:r>
      <w:r>
        <w:t xml:space="preserve"> и Одлуком о извршењ</w:t>
      </w:r>
      <w:r w:rsidR="00E339BE">
        <w:t>у буџета општине Прњавор за 2020</w:t>
      </w:r>
      <w:r>
        <w:t xml:space="preserve">. годину </w:t>
      </w:r>
      <w:r w:rsidRPr="00AB3D7C">
        <w:t xml:space="preserve">(„Службени гласник општине Прњавор“, број </w:t>
      </w:r>
      <w:r w:rsidR="00E339BE">
        <w:t>19/19</w:t>
      </w:r>
      <w:r w:rsidR="00AB144E">
        <w:rPr>
          <w:lang w:val="sr-Cyrl-RS"/>
        </w:rPr>
        <w:t xml:space="preserve"> и 51/20</w:t>
      </w:r>
      <w:r w:rsidRPr="00AB3D7C">
        <w:t>)</w:t>
      </w:r>
      <w:r>
        <w:t xml:space="preserve"> прописани су рокови </w:t>
      </w:r>
      <w:proofErr w:type="spellStart"/>
      <w:r>
        <w:t>извјештавања</w:t>
      </w:r>
      <w:proofErr w:type="spellEnd"/>
      <w:r>
        <w:t xml:space="preserve"> о коришћењу средстава текуће буџетске резерве. </w:t>
      </w:r>
      <w:proofErr w:type="spellStart"/>
      <w:r>
        <w:t>Одјељење</w:t>
      </w:r>
      <w:proofErr w:type="spellEnd"/>
      <w:r>
        <w:t xml:space="preserve"> за финансије је обавезно да </w:t>
      </w:r>
      <w:proofErr w:type="spellStart"/>
      <w:r>
        <w:t>тромјесечно</w:t>
      </w:r>
      <w:proofErr w:type="spellEnd"/>
      <w:r>
        <w:t xml:space="preserve"> </w:t>
      </w:r>
      <w:proofErr w:type="spellStart"/>
      <w:r>
        <w:t>извјештава</w:t>
      </w:r>
      <w:proofErr w:type="spellEnd"/>
      <w:r>
        <w:t xml:space="preserve"> начелника општине о коришћењу средстава текуће буџетске резерве, а начелник општине је обавезан да полугодишње </w:t>
      </w:r>
      <w:proofErr w:type="spellStart"/>
      <w:r>
        <w:t>извјештава</w:t>
      </w:r>
      <w:proofErr w:type="spellEnd"/>
      <w:r>
        <w:t xml:space="preserve"> Скупштину општине о коришћењу средстава буџетске резерве.   </w:t>
      </w:r>
    </w:p>
    <w:p w14:paraId="584C11A3" w14:textId="77777777" w:rsidR="00AB144E" w:rsidRPr="00A3658E" w:rsidRDefault="00AB144E" w:rsidP="00A3658E">
      <w:pPr>
        <w:ind w:left="0" w:firstLine="720"/>
        <w:rPr>
          <w:bCs/>
        </w:rPr>
      </w:pPr>
      <w:r w:rsidRPr="00AB144E">
        <w:rPr>
          <w:bCs/>
        </w:rPr>
        <w:t>У периоду 01.01-3</w:t>
      </w:r>
      <w:r w:rsidRPr="00AB144E">
        <w:rPr>
          <w:bCs/>
          <w:lang w:val="sr-Cyrl-RS"/>
        </w:rPr>
        <w:t>1</w:t>
      </w:r>
      <w:r w:rsidRPr="00AB144E">
        <w:rPr>
          <w:bCs/>
        </w:rPr>
        <w:t>.12</w:t>
      </w:r>
      <w:r>
        <w:rPr>
          <w:bCs/>
        </w:rPr>
        <w:t>.2020</w:t>
      </w:r>
      <w:r w:rsidRPr="00AB144E">
        <w:rPr>
          <w:bCs/>
        </w:rPr>
        <w:t xml:space="preserve">. године </w:t>
      </w:r>
      <w:r w:rsidRPr="00AB144E">
        <w:rPr>
          <w:bCs/>
          <w:lang w:val="sr-Cyrl-RS"/>
        </w:rPr>
        <w:t xml:space="preserve">одобрено је укупно </w:t>
      </w:r>
      <w:r>
        <w:rPr>
          <w:bCs/>
          <w:lang w:val="sr-Cyrl-RS"/>
        </w:rPr>
        <w:t>208</w:t>
      </w:r>
      <w:r w:rsidRPr="00AB144E">
        <w:rPr>
          <w:bCs/>
          <w:lang w:val="sr-Cyrl-RS"/>
        </w:rPr>
        <w:t xml:space="preserve"> </w:t>
      </w:r>
      <w:proofErr w:type="spellStart"/>
      <w:r w:rsidRPr="00AB144E">
        <w:rPr>
          <w:bCs/>
          <w:lang w:val="sr-Cyrl-RS"/>
        </w:rPr>
        <w:t>реалокација</w:t>
      </w:r>
      <w:proofErr w:type="spellEnd"/>
      <w:r w:rsidRPr="00AB144E">
        <w:rPr>
          <w:bCs/>
          <w:lang w:val="sr-Cyrl-RS"/>
        </w:rPr>
        <w:t xml:space="preserve"> </w:t>
      </w:r>
      <w:proofErr w:type="spellStart"/>
      <w:r w:rsidRPr="00AB144E">
        <w:rPr>
          <w:bCs/>
        </w:rPr>
        <w:t>средст</w:t>
      </w:r>
      <w:proofErr w:type="spellEnd"/>
      <w:r w:rsidRPr="00AB144E">
        <w:rPr>
          <w:bCs/>
          <w:lang w:val="sr-Cyrl-RS"/>
        </w:rPr>
        <w:t>а</w:t>
      </w:r>
      <w:proofErr w:type="spellStart"/>
      <w:r w:rsidRPr="00AB144E">
        <w:rPr>
          <w:bCs/>
        </w:rPr>
        <w:t>ва</w:t>
      </w:r>
      <w:proofErr w:type="spellEnd"/>
      <w:r w:rsidRPr="00AB144E">
        <w:rPr>
          <w:bCs/>
        </w:rPr>
        <w:t xml:space="preserve"> </w:t>
      </w:r>
      <w:r w:rsidRPr="00AB144E">
        <w:rPr>
          <w:bCs/>
          <w:lang w:val="sr-Cyrl-RS"/>
        </w:rPr>
        <w:t xml:space="preserve">текуће </w:t>
      </w:r>
      <w:r w:rsidRPr="00AB144E">
        <w:rPr>
          <w:bCs/>
        </w:rPr>
        <w:t xml:space="preserve">буџетске резерве, а укупна </w:t>
      </w:r>
      <w:proofErr w:type="spellStart"/>
      <w:r w:rsidRPr="00AB144E">
        <w:rPr>
          <w:bCs/>
        </w:rPr>
        <w:t>вриједност</w:t>
      </w:r>
      <w:proofErr w:type="spellEnd"/>
      <w:r w:rsidRPr="00AB144E">
        <w:rPr>
          <w:bCs/>
        </w:rPr>
        <w:t xml:space="preserve"> извршених </w:t>
      </w:r>
      <w:proofErr w:type="spellStart"/>
      <w:r w:rsidRPr="00AB144E">
        <w:rPr>
          <w:bCs/>
        </w:rPr>
        <w:t>реалокација</w:t>
      </w:r>
      <w:proofErr w:type="spellEnd"/>
      <w:r w:rsidRPr="00AB144E">
        <w:rPr>
          <w:bCs/>
        </w:rPr>
        <w:t xml:space="preserve"> износи </w:t>
      </w:r>
      <w:r>
        <w:rPr>
          <w:bCs/>
          <w:lang w:val="sr-Cyrl-RS"/>
        </w:rPr>
        <w:t>213.646,67</w:t>
      </w:r>
      <w:r w:rsidRPr="00AB144E">
        <w:rPr>
          <w:bCs/>
        </w:rPr>
        <w:t xml:space="preserve"> КМ. </w:t>
      </w:r>
      <w:r w:rsidRPr="00AB144E">
        <w:rPr>
          <w:lang w:val="sr-Cyrl-RS"/>
        </w:rPr>
        <w:t>Основним буџетом средства буџетске резерве су планирана у износу од 1</w:t>
      </w:r>
      <w:r w:rsidRPr="00AB144E">
        <w:rPr>
          <w:lang w:val="sr-Latn-RS"/>
        </w:rPr>
        <w:t>8</w:t>
      </w:r>
      <w:r w:rsidRPr="00AB144E">
        <w:rPr>
          <w:lang w:val="sr-Cyrl-RS"/>
        </w:rPr>
        <w:t>0.000,00 КМ. Ребалансом буџета за 20</w:t>
      </w:r>
      <w:r>
        <w:rPr>
          <w:lang w:val="sr-Cyrl-RS"/>
        </w:rPr>
        <w:t>20</w:t>
      </w:r>
      <w:r w:rsidRPr="00AB144E">
        <w:rPr>
          <w:lang w:val="sr-Cyrl-RS"/>
        </w:rPr>
        <w:t xml:space="preserve">. годину све до тада извршене </w:t>
      </w:r>
      <w:proofErr w:type="spellStart"/>
      <w:r w:rsidRPr="00AB144E">
        <w:rPr>
          <w:lang w:val="sr-Cyrl-RS"/>
        </w:rPr>
        <w:t>реалокације</w:t>
      </w:r>
      <w:proofErr w:type="spellEnd"/>
      <w:r w:rsidRPr="00AB144E">
        <w:rPr>
          <w:lang w:val="sr-Cyrl-RS"/>
        </w:rPr>
        <w:t>, одн. 1</w:t>
      </w:r>
      <w:r>
        <w:rPr>
          <w:lang w:val="sr-Cyrl-RS"/>
        </w:rPr>
        <w:t>75</w:t>
      </w:r>
      <w:r w:rsidRPr="00AB144E">
        <w:rPr>
          <w:lang w:val="sr-Cyrl-RS"/>
        </w:rPr>
        <w:t xml:space="preserve"> </w:t>
      </w:r>
      <w:proofErr w:type="spellStart"/>
      <w:r w:rsidRPr="00AB144E">
        <w:rPr>
          <w:lang w:val="sr-Cyrl-RS"/>
        </w:rPr>
        <w:t>реалокација</w:t>
      </w:r>
      <w:proofErr w:type="spellEnd"/>
      <w:r w:rsidRPr="00AB144E">
        <w:rPr>
          <w:lang w:val="sr-Cyrl-RS"/>
        </w:rPr>
        <w:t xml:space="preserve"> у укупној </w:t>
      </w:r>
      <w:proofErr w:type="spellStart"/>
      <w:r w:rsidRPr="00AB144E">
        <w:rPr>
          <w:lang w:val="sr-Cyrl-RS"/>
        </w:rPr>
        <w:t>вриједности</w:t>
      </w:r>
      <w:proofErr w:type="spellEnd"/>
      <w:r w:rsidRPr="00AB144E">
        <w:rPr>
          <w:lang w:val="sr-Cyrl-RS"/>
        </w:rPr>
        <w:t xml:space="preserve"> од </w:t>
      </w:r>
      <w:r>
        <w:rPr>
          <w:lang w:val="sr-Cyrl-RS"/>
        </w:rPr>
        <w:t>178.860,10</w:t>
      </w:r>
      <w:r w:rsidRPr="00AB144E">
        <w:rPr>
          <w:lang w:val="sr-Cyrl-RS"/>
        </w:rPr>
        <w:t xml:space="preserve"> КМ, обухваћен</w:t>
      </w:r>
      <w:r w:rsidRPr="00AB144E">
        <w:rPr>
          <w:lang w:val="sr-Latn-RS"/>
        </w:rPr>
        <w:t>e</w:t>
      </w:r>
      <w:r w:rsidRPr="00AB144E">
        <w:rPr>
          <w:lang w:val="sr-Cyrl-RS"/>
        </w:rPr>
        <w:t xml:space="preserve"> су и планиране у оквиру буџетских позиција </w:t>
      </w:r>
      <w:proofErr w:type="spellStart"/>
      <w:r w:rsidRPr="00AB144E">
        <w:rPr>
          <w:lang w:val="sr-Cyrl-RS"/>
        </w:rPr>
        <w:t>гдје</w:t>
      </w:r>
      <w:proofErr w:type="spellEnd"/>
      <w:r w:rsidRPr="00AB144E">
        <w:rPr>
          <w:lang w:val="sr-Cyrl-RS"/>
        </w:rPr>
        <w:t xml:space="preserve"> су средства буџетске резерве </w:t>
      </w:r>
      <w:proofErr w:type="spellStart"/>
      <w:r w:rsidRPr="00AB144E">
        <w:rPr>
          <w:lang w:val="sr-Cyrl-RS"/>
        </w:rPr>
        <w:t>реалоцирана</w:t>
      </w:r>
      <w:proofErr w:type="spellEnd"/>
      <w:r w:rsidRPr="00AB144E">
        <w:rPr>
          <w:lang w:val="sr-Cyrl-RS"/>
        </w:rPr>
        <w:t xml:space="preserve">. Ребалансом буџета </w:t>
      </w:r>
      <w:r w:rsidR="00A3658E">
        <w:rPr>
          <w:lang w:val="sr-Cyrl-RS"/>
        </w:rPr>
        <w:t xml:space="preserve">планирана су средства текуће буџетске </w:t>
      </w:r>
      <w:r w:rsidR="00A3658E">
        <w:rPr>
          <w:lang w:val="sr-Cyrl-RS"/>
        </w:rPr>
        <w:lastRenderedPageBreak/>
        <w:t xml:space="preserve">резерве у износу од 34.870,00 КМ, што значи да је уз претходно неутрошена средства од 1.139,90 КМ ребалансом </w:t>
      </w:r>
      <w:proofErr w:type="spellStart"/>
      <w:r w:rsidR="00A3658E">
        <w:rPr>
          <w:lang w:val="sr-Cyrl-RS"/>
        </w:rPr>
        <w:t>обезбијеђено</w:t>
      </w:r>
      <w:proofErr w:type="spellEnd"/>
      <w:r w:rsidR="00A3658E">
        <w:rPr>
          <w:lang w:val="sr-Cyrl-RS"/>
        </w:rPr>
        <w:t xml:space="preserve"> додатних 33.730,10 КМ. Након усвајања ребаланса буџета, средства текуће буџетске резерве су искоришћена у износу од 34.786,57 КМ кроз 33 одобрене </w:t>
      </w:r>
      <w:proofErr w:type="spellStart"/>
      <w:r w:rsidR="00A3658E">
        <w:rPr>
          <w:lang w:val="sr-Cyrl-RS"/>
        </w:rPr>
        <w:t>реалокације</w:t>
      </w:r>
      <w:proofErr w:type="spellEnd"/>
      <w:r w:rsidR="00A3658E">
        <w:rPr>
          <w:lang w:val="sr-Cyrl-RS"/>
        </w:rPr>
        <w:t xml:space="preserve">. </w:t>
      </w:r>
      <w:r w:rsidRPr="00AB144E">
        <w:t xml:space="preserve">Ако посматрамо распоред средстава текуће буџетске резерве по контима </w:t>
      </w:r>
      <w:proofErr w:type="spellStart"/>
      <w:r w:rsidRPr="00AB144E">
        <w:t>видјећемо</w:t>
      </w:r>
      <w:proofErr w:type="spellEnd"/>
      <w:r w:rsidRPr="00AB144E">
        <w:t xml:space="preserve"> да је највећи </w:t>
      </w:r>
      <w:proofErr w:type="spellStart"/>
      <w:r w:rsidRPr="00AB144E">
        <w:t>дио</w:t>
      </w:r>
      <w:proofErr w:type="spellEnd"/>
      <w:r w:rsidRPr="00AB144E">
        <w:t xml:space="preserve"> средстава буџетске резерве распоређен на позиције у оквиру грантова</w:t>
      </w:r>
      <w:r w:rsidR="00A3658E" w:rsidRPr="00A3658E">
        <w:t xml:space="preserve"> </w:t>
      </w:r>
      <w:r w:rsidR="00A3658E">
        <w:t xml:space="preserve">и дознака на име социјалне заштите (једнократне помоћи). </w:t>
      </w:r>
      <w:r w:rsidRPr="00AB144E">
        <w:t xml:space="preserve"> По синтетичким контима средства текуће буџетске резерве су распоређена како </w:t>
      </w:r>
      <w:proofErr w:type="spellStart"/>
      <w:r w:rsidRPr="00AB144E">
        <w:t>слиједи</w:t>
      </w:r>
      <w:proofErr w:type="spellEnd"/>
      <w:r w:rsidRPr="00AB144E">
        <w:t xml:space="preserve">: </w:t>
      </w:r>
    </w:p>
    <w:p w14:paraId="794D7C98" w14:textId="77777777" w:rsidR="0085458B" w:rsidRPr="00590A50" w:rsidRDefault="0085458B" w:rsidP="00A90326">
      <w:pPr>
        <w:numPr>
          <w:ilvl w:val="0"/>
          <w:numId w:val="7"/>
        </w:numPr>
        <w:spacing w:before="120"/>
        <w:ind w:left="714" w:right="0" w:hanging="357"/>
      </w:pPr>
      <w:r>
        <w:rPr>
          <w:i/>
        </w:rPr>
        <w:t xml:space="preserve">412900 </w:t>
      </w:r>
      <w:r>
        <w:t xml:space="preserve">– Остали непоменути расходи износ од </w:t>
      </w:r>
      <w:r w:rsidR="00A90326">
        <w:t>6.900</w:t>
      </w:r>
      <w:r>
        <w:t>,00 КМ</w:t>
      </w:r>
    </w:p>
    <w:p w14:paraId="2CB1CB7B" w14:textId="77777777" w:rsidR="00D43DC6" w:rsidRDefault="00D43DC6" w:rsidP="00D43DC6">
      <w:pPr>
        <w:numPr>
          <w:ilvl w:val="0"/>
          <w:numId w:val="7"/>
        </w:numPr>
        <w:ind w:right="0"/>
      </w:pPr>
      <w:r w:rsidRPr="009F3752">
        <w:rPr>
          <w:i/>
        </w:rPr>
        <w:t>415200</w:t>
      </w:r>
      <w:r>
        <w:t xml:space="preserve"> – Грантови у земљи  износ од </w:t>
      </w:r>
      <w:r w:rsidR="00A3658E">
        <w:rPr>
          <w:lang w:val="sr-Cyrl-RS"/>
        </w:rPr>
        <w:t>96.696,41</w:t>
      </w:r>
      <w:r w:rsidR="0085458B">
        <w:t xml:space="preserve"> КМ,</w:t>
      </w:r>
    </w:p>
    <w:p w14:paraId="3BD7F5B1" w14:textId="77777777" w:rsidR="00A90326" w:rsidRDefault="00D43DC6" w:rsidP="003F02C3">
      <w:pPr>
        <w:keepNext/>
        <w:keepLines/>
        <w:numPr>
          <w:ilvl w:val="0"/>
          <w:numId w:val="7"/>
        </w:numPr>
        <w:ind w:left="714" w:right="-805" w:hanging="357"/>
      </w:pPr>
      <w:r w:rsidRPr="009F3752">
        <w:rPr>
          <w:i/>
        </w:rPr>
        <w:t>416100</w:t>
      </w:r>
      <w:r>
        <w:t xml:space="preserve"> – Дознаке грађанима које се исплаћују из буџета општине  износ од</w:t>
      </w:r>
    </w:p>
    <w:p w14:paraId="66F95021" w14:textId="77777777" w:rsidR="00D43DC6" w:rsidRDefault="00A3658E" w:rsidP="00A90326">
      <w:pPr>
        <w:keepNext/>
        <w:keepLines/>
        <w:ind w:left="714" w:right="-805" w:firstLine="0"/>
      </w:pPr>
      <w:r>
        <w:rPr>
          <w:lang w:val="sr-Cyrl-RS"/>
        </w:rPr>
        <w:t xml:space="preserve">                105.100,26</w:t>
      </w:r>
      <w:r w:rsidR="00D43DC6" w:rsidRPr="00F471A5">
        <w:t xml:space="preserve"> КМ</w:t>
      </w:r>
      <w:r w:rsidR="001D66FF">
        <w:t>,</w:t>
      </w:r>
    </w:p>
    <w:p w14:paraId="0583F11C" w14:textId="77777777" w:rsidR="0085458B" w:rsidRPr="00B42354" w:rsidRDefault="0085458B" w:rsidP="0085458B">
      <w:pPr>
        <w:keepNext/>
        <w:keepLines/>
        <w:numPr>
          <w:ilvl w:val="0"/>
          <w:numId w:val="7"/>
        </w:numPr>
        <w:ind w:left="714" w:right="-805" w:hanging="357"/>
      </w:pPr>
      <w:r>
        <w:rPr>
          <w:i/>
        </w:rPr>
        <w:t xml:space="preserve">487900 – </w:t>
      </w:r>
      <w:r w:rsidRPr="0085458B">
        <w:t>Трансфери између различитих јединица власти износ од</w:t>
      </w:r>
      <w:r w:rsidR="00A3658E">
        <w:rPr>
          <w:lang w:val="sr-Cyrl-RS"/>
        </w:rPr>
        <w:t xml:space="preserve"> </w:t>
      </w:r>
      <w:r w:rsidR="00B42354">
        <w:t>250,00 КМ и</w:t>
      </w:r>
    </w:p>
    <w:p w14:paraId="31C580F6" w14:textId="77777777" w:rsidR="00B42354" w:rsidRPr="0085458B" w:rsidRDefault="00B42354" w:rsidP="0085458B">
      <w:pPr>
        <w:keepNext/>
        <w:keepLines/>
        <w:numPr>
          <w:ilvl w:val="0"/>
          <w:numId w:val="7"/>
        </w:numPr>
        <w:ind w:left="714" w:right="-805" w:hanging="357"/>
      </w:pPr>
      <w:r>
        <w:rPr>
          <w:i/>
        </w:rPr>
        <w:t>511300 –</w:t>
      </w:r>
      <w:r>
        <w:t xml:space="preserve"> Набавка опреме износ од 4.700,00 КМ.</w:t>
      </w:r>
    </w:p>
    <w:p w14:paraId="00F12348" w14:textId="77777777" w:rsidR="00D43DC6" w:rsidRPr="003047DF" w:rsidRDefault="00D43DC6" w:rsidP="00D43DC6">
      <w:pPr>
        <w:pStyle w:val="Teloteksta"/>
        <w:spacing w:after="0"/>
        <w:ind w:left="0" w:firstLine="720"/>
        <w:rPr>
          <w:bCs/>
        </w:rPr>
      </w:pPr>
    </w:p>
    <w:p w14:paraId="3DE32054" w14:textId="77777777" w:rsidR="00D43DC6" w:rsidRDefault="00D43DC6" w:rsidP="00D43DC6">
      <w:pPr>
        <w:pStyle w:val="Teloteksta"/>
        <w:spacing w:after="0"/>
        <w:ind w:left="0" w:firstLine="720"/>
        <w:rPr>
          <w:bCs/>
        </w:rPr>
      </w:pPr>
      <w:r w:rsidRPr="00430840">
        <w:rPr>
          <w:bCs/>
        </w:rPr>
        <w:t xml:space="preserve">У прилогу овог </w:t>
      </w:r>
      <w:proofErr w:type="spellStart"/>
      <w:r w:rsidRPr="00430840">
        <w:rPr>
          <w:bCs/>
        </w:rPr>
        <w:t>извјештаја</w:t>
      </w:r>
      <w:proofErr w:type="spellEnd"/>
      <w:r w:rsidRPr="00430840">
        <w:rPr>
          <w:bCs/>
        </w:rPr>
        <w:t xml:space="preserve">, у табели бр. </w:t>
      </w:r>
      <w:r w:rsidR="002B5546">
        <w:rPr>
          <w:bCs/>
        </w:rPr>
        <w:t>3</w:t>
      </w:r>
      <w:r>
        <w:rPr>
          <w:bCs/>
        </w:rPr>
        <w:t>,</w:t>
      </w:r>
      <w:r w:rsidRPr="00430840">
        <w:rPr>
          <w:bCs/>
        </w:rPr>
        <w:t xml:space="preserve"> дат</w:t>
      </w:r>
      <w:r>
        <w:rPr>
          <w:bCs/>
        </w:rPr>
        <w:t>е</w:t>
      </w:r>
      <w:r w:rsidR="007021BF">
        <w:rPr>
          <w:bCs/>
          <w:lang w:val="sr-Cyrl-RS"/>
        </w:rPr>
        <w:t xml:space="preserve"> </w:t>
      </w:r>
      <w:r>
        <w:rPr>
          <w:bCs/>
        </w:rPr>
        <w:t>су детаљне информације о</w:t>
      </w:r>
      <w:r w:rsidR="007021BF">
        <w:rPr>
          <w:bCs/>
          <w:lang w:val="sr-Cyrl-RS"/>
        </w:rPr>
        <w:t xml:space="preserve"> </w:t>
      </w:r>
      <w:proofErr w:type="spellStart"/>
      <w:r>
        <w:rPr>
          <w:bCs/>
        </w:rPr>
        <w:t>реалоцираним</w:t>
      </w:r>
      <w:proofErr w:type="spellEnd"/>
      <w:r w:rsidRPr="00430840">
        <w:rPr>
          <w:bCs/>
        </w:rPr>
        <w:t xml:space="preserve"> с</w:t>
      </w:r>
      <w:r>
        <w:rPr>
          <w:bCs/>
        </w:rPr>
        <w:t>редствима текуће буџетске резерве</w:t>
      </w:r>
      <w:r w:rsidR="001F7E58">
        <w:rPr>
          <w:bCs/>
        </w:rPr>
        <w:t xml:space="preserve"> у</w:t>
      </w:r>
      <w:r w:rsidR="007021BF">
        <w:rPr>
          <w:bCs/>
        </w:rPr>
        <w:t xml:space="preserve"> периоду 01.01-31.12</w:t>
      </w:r>
      <w:r w:rsidR="00A90326">
        <w:rPr>
          <w:bCs/>
        </w:rPr>
        <w:t>.2020</w:t>
      </w:r>
      <w:r w:rsidRPr="00430840">
        <w:rPr>
          <w:bCs/>
        </w:rPr>
        <w:t>. године</w:t>
      </w:r>
      <w:r>
        <w:rPr>
          <w:bCs/>
        </w:rPr>
        <w:t xml:space="preserve"> (број и датум закључка о </w:t>
      </w:r>
      <w:proofErr w:type="spellStart"/>
      <w:r>
        <w:rPr>
          <w:bCs/>
        </w:rPr>
        <w:t>реалокацији</w:t>
      </w:r>
      <w:proofErr w:type="spellEnd"/>
      <w:r>
        <w:rPr>
          <w:bCs/>
        </w:rPr>
        <w:t xml:space="preserve">, конто и назив буџетске позиције на коју је извршена </w:t>
      </w:r>
      <w:proofErr w:type="spellStart"/>
      <w:r>
        <w:rPr>
          <w:bCs/>
        </w:rPr>
        <w:t>реалокација</w:t>
      </w:r>
      <w:proofErr w:type="spellEnd"/>
      <w:r>
        <w:rPr>
          <w:bCs/>
        </w:rPr>
        <w:t>, износ и сврха одобрених средстава)</w:t>
      </w:r>
      <w:r w:rsidRPr="00430840">
        <w:rPr>
          <w:bCs/>
        </w:rPr>
        <w:t>.</w:t>
      </w:r>
    </w:p>
    <w:p w14:paraId="4D5BFF92" w14:textId="77777777" w:rsidR="00E312F9" w:rsidRDefault="00E312F9" w:rsidP="002E08BF">
      <w:pPr>
        <w:ind w:left="0" w:firstLine="0"/>
      </w:pPr>
    </w:p>
    <w:p w14:paraId="5D686D29" w14:textId="77777777" w:rsidR="00F46F36" w:rsidRPr="00A90326" w:rsidRDefault="00A90040" w:rsidP="003F02C3">
      <w:pPr>
        <w:pStyle w:val="Glavninaslovi"/>
        <w:rPr>
          <w:sz w:val="24"/>
          <w:szCs w:val="24"/>
        </w:rPr>
      </w:pPr>
      <w:bookmarkStart w:id="99" w:name="_Toc530745900"/>
      <w:bookmarkStart w:id="100" w:name="_Toc50641219"/>
      <w:r w:rsidRPr="00A90326">
        <w:rPr>
          <w:sz w:val="24"/>
          <w:szCs w:val="24"/>
        </w:rPr>
        <w:t xml:space="preserve">6. </w:t>
      </w:r>
      <w:r w:rsidR="00F46F36" w:rsidRPr="00A90326">
        <w:rPr>
          <w:sz w:val="24"/>
          <w:szCs w:val="24"/>
        </w:rPr>
        <w:t>СТАЊЕ НОВЧАНИХ СРЕДСТАВА НА</w:t>
      </w:r>
      <w:bookmarkEnd w:id="99"/>
      <w:bookmarkEnd w:id="100"/>
    </w:p>
    <w:p w14:paraId="0A30B808" w14:textId="77777777" w:rsidR="00F46F36" w:rsidRPr="00A90326" w:rsidRDefault="00F46F36" w:rsidP="00236ED3">
      <w:pPr>
        <w:pStyle w:val="Glavninaslovi"/>
        <w:spacing w:before="0"/>
        <w:rPr>
          <w:sz w:val="24"/>
          <w:szCs w:val="24"/>
        </w:rPr>
      </w:pPr>
      <w:bookmarkStart w:id="101" w:name="_Toc491329745"/>
      <w:bookmarkStart w:id="102" w:name="_Toc530745901"/>
      <w:bookmarkStart w:id="103" w:name="_Toc50641220"/>
      <w:r w:rsidRPr="00A90326">
        <w:rPr>
          <w:sz w:val="24"/>
          <w:szCs w:val="24"/>
        </w:rPr>
        <w:t>РАЧУНИМА ОПШТИНЕ ПРЊАВОР</w:t>
      </w:r>
      <w:bookmarkEnd w:id="101"/>
      <w:bookmarkEnd w:id="102"/>
      <w:bookmarkEnd w:id="103"/>
    </w:p>
    <w:p w14:paraId="0A10C13C" w14:textId="77777777" w:rsidR="00F46F36" w:rsidRPr="007638A9" w:rsidRDefault="00F46F36" w:rsidP="00F46F36">
      <w:pPr>
        <w:ind w:left="-432" w:right="-792" w:firstLine="360"/>
        <w:rPr>
          <w:b/>
          <w:bCs/>
        </w:rPr>
      </w:pPr>
    </w:p>
    <w:p w14:paraId="3FD1C25C" w14:textId="77777777" w:rsidR="00B31F57" w:rsidRDefault="00912AF6" w:rsidP="00F46F36">
      <w:pPr>
        <w:ind w:left="0" w:hanging="68"/>
        <w:rPr>
          <w:bCs/>
        </w:rPr>
      </w:pPr>
      <w:r>
        <w:rPr>
          <w:b/>
          <w:bCs/>
          <w:sz w:val="28"/>
          <w:szCs w:val="28"/>
        </w:rPr>
        <w:tab/>
      </w:r>
      <w:r>
        <w:rPr>
          <w:b/>
          <w:bCs/>
          <w:sz w:val="28"/>
          <w:szCs w:val="28"/>
        </w:rPr>
        <w:tab/>
      </w:r>
      <w:r w:rsidR="00F46F36" w:rsidRPr="005671DD">
        <w:rPr>
          <w:bCs/>
        </w:rPr>
        <w:t xml:space="preserve">Општина Прњавор своје финансијске трансакције обавља преко </w:t>
      </w:r>
      <w:proofErr w:type="spellStart"/>
      <w:r w:rsidR="00F46F36" w:rsidRPr="005671DD">
        <w:rPr>
          <w:bCs/>
        </w:rPr>
        <w:t>жиро</w:t>
      </w:r>
      <w:proofErr w:type="spellEnd"/>
      <w:r w:rsidR="00F46F36">
        <w:rPr>
          <w:bCs/>
        </w:rPr>
        <w:t xml:space="preserve"> рачуна отворених код пословних банака – јединственог рачуна трезора и рачуна посебних </w:t>
      </w:r>
      <w:proofErr w:type="spellStart"/>
      <w:r w:rsidR="00F46F36">
        <w:rPr>
          <w:bCs/>
        </w:rPr>
        <w:t>намјена</w:t>
      </w:r>
      <w:proofErr w:type="spellEnd"/>
      <w:r w:rsidR="00F46F36">
        <w:rPr>
          <w:bCs/>
        </w:rPr>
        <w:t xml:space="preserve">. </w:t>
      </w:r>
      <w:r w:rsidR="00F46F36" w:rsidRPr="00BB7364">
        <w:rPr>
          <w:bCs/>
        </w:rPr>
        <w:t xml:space="preserve">Стање </w:t>
      </w:r>
      <w:r w:rsidR="00F46F36">
        <w:rPr>
          <w:bCs/>
        </w:rPr>
        <w:t xml:space="preserve">новчаних средстава општине Прњавор на почетку и на крају </w:t>
      </w:r>
      <w:proofErr w:type="spellStart"/>
      <w:r w:rsidR="00F46F36">
        <w:rPr>
          <w:bCs/>
        </w:rPr>
        <w:t>извјештајног</w:t>
      </w:r>
      <w:proofErr w:type="spellEnd"/>
      <w:r w:rsidR="00F46F36">
        <w:rPr>
          <w:bCs/>
        </w:rPr>
        <w:t xml:space="preserve"> периода дато је у сљедећем табеларном прегледу:</w:t>
      </w:r>
    </w:p>
    <w:p w14:paraId="6D1A19A9" w14:textId="77777777" w:rsidR="00AB7374" w:rsidRPr="00D973D9" w:rsidRDefault="00AB7374" w:rsidP="00F46F36">
      <w:pPr>
        <w:ind w:left="0" w:hanging="68"/>
        <w:rPr>
          <w:bCs/>
        </w:rPr>
      </w:pPr>
    </w:p>
    <w:p w14:paraId="1D576B39" w14:textId="77777777" w:rsidR="00912AF6" w:rsidRDefault="0071772F" w:rsidP="00E54868">
      <w:pPr>
        <w:spacing w:before="120"/>
        <w:ind w:firstLine="357"/>
        <w:jc w:val="center"/>
        <w:rPr>
          <w:bCs/>
        </w:rPr>
      </w:pPr>
      <w:r>
        <w:rPr>
          <w:bCs/>
        </w:rPr>
        <w:t xml:space="preserve">Табела бр. </w:t>
      </w:r>
      <w:r w:rsidR="00AB7374">
        <w:rPr>
          <w:bCs/>
        </w:rPr>
        <w:t>1</w:t>
      </w:r>
      <w:r w:rsidR="00456BB5">
        <w:rPr>
          <w:bCs/>
        </w:rPr>
        <w:t>3</w:t>
      </w:r>
      <w:r w:rsidR="00912AF6">
        <w:rPr>
          <w:bCs/>
        </w:rPr>
        <w:t>. Почетно и завршно стање банковних рачуна општине</w:t>
      </w:r>
    </w:p>
    <w:tbl>
      <w:tblPr>
        <w:tblW w:w="9200" w:type="dxa"/>
        <w:tblInd w:w="534" w:type="dxa"/>
        <w:tblLook w:val="04A0" w:firstRow="1" w:lastRow="0" w:firstColumn="1" w:lastColumn="0" w:noHBand="0" w:noVBand="1"/>
      </w:tblPr>
      <w:tblGrid>
        <w:gridCol w:w="640"/>
        <w:gridCol w:w="5820"/>
        <w:gridCol w:w="1400"/>
        <w:gridCol w:w="1340"/>
      </w:tblGrid>
      <w:tr w:rsidR="00456BB5" w:rsidRPr="00456BB5" w14:paraId="1C53121E" w14:textId="77777777" w:rsidTr="009D275F">
        <w:trPr>
          <w:trHeight w:val="765"/>
          <w:tblHeader/>
        </w:trPr>
        <w:tc>
          <w:tcPr>
            <w:tcW w:w="640" w:type="dxa"/>
            <w:tcBorders>
              <w:top w:val="double" w:sz="6" w:space="0" w:color="auto"/>
              <w:left w:val="double" w:sz="6" w:space="0" w:color="auto"/>
              <w:bottom w:val="single" w:sz="8" w:space="0" w:color="auto"/>
              <w:right w:val="single" w:sz="4" w:space="0" w:color="auto"/>
            </w:tcBorders>
            <w:shd w:val="clear" w:color="auto" w:fill="auto"/>
            <w:vAlign w:val="center"/>
            <w:hideMark/>
          </w:tcPr>
          <w:p w14:paraId="3DB922E1" w14:textId="77777777" w:rsidR="00456BB5" w:rsidRPr="00456BB5" w:rsidRDefault="00456BB5" w:rsidP="00456BB5">
            <w:pPr>
              <w:ind w:left="0" w:right="0" w:firstLine="0"/>
              <w:jc w:val="center"/>
              <w:rPr>
                <w:b/>
                <w:bCs/>
                <w:sz w:val="20"/>
                <w:szCs w:val="20"/>
                <w:lang w:val="sr-Latn-RS" w:eastAsia="sr-Latn-RS"/>
              </w:rPr>
            </w:pPr>
            <w:proofErr w:type="spellStart"/>
            <w:r w:rsidRPr="00456BB5">
              <w:rPr>
                <w:b/>
                <w:bCs/>
                <w:sz w:val="20"/>
                <w:szCs w:val="20"/>
                <w:lang w:val="sr-Latn-RS" w:eastAsia="sr-Latn-RS"/>
              </w:rPr>
              <w:t>Ред</w:t>
            </w:r>
            <w:proofErr w:type="spellEnd"/>
            <w:r w:rsidRPr="00456BB5">
              <w:rPr>
                <w:b/>
                <w:bCs/>
                <w:sz w:val="20"/>
                <w:szCs w:val="20"/>
                <w:lang w:val="sr-Latn-RS" w:eastAsia="sr-Latn-RS"/>
              </w:rPr>
              <w:t xml:space="preserve">. </w:t>
            </w:r>
            <w:proofErr w:type="spellStart"/>
            <w:r w:rsidRPr="00456BB5">
              <w:rPr>
                <w:b/>
                <w:bCs/>
                <w:sz w:val="20"/>
                <w:szCs w:val="20"/>
                <w:lang w:val="sr-Latn-RS" w:eastAsia="sr-Latn-RS"/>
              </w:rPr>
              <w:t>бр</w:t>
            </w:r>
            <w:proofErr w:type="spellEnd"/>
            <w:r w:rsidRPr="00456BB5">
              <w:rPr>
                <w:b/>
                <w:bCs/>
                <w:sz w:val="20"/>
                <w:szCs w:val="20"/>
                <w:lang w:val="sr-Latn-RS" w:eastAsia="sr-Latn-RS"/>
              </w:rPr>
              <w:t>.</w:t>
            </w:r>
          </w:p>
        </w:tc>
        <w:tc>
          <w:tcPr>
            <w:tcW w:w="5820" w:type="dxa"/>
            <w:tcBorders>
              <w:top w:val="double" w:sz="6" w:space="0" w:color="auto"/>
              <w:left w:val="nil"/>
              <w:bottom w:val="single" w:sz="8" w:space="0" w:color="auto"/>
              <w:right w:val="single" w:sz="4" w:space="0" w:color="auto"/>
            </w:tcBorders>
            <w:shd w:val="clear" w:color="auto" w:fill="auto"/>
            <w:noWrap/>
            <w:vAlign w:val="center"/>
            <w:hideMark/>
          </w:tcPr>
          <w:p w14:paraId="027BDBEC" w14:textId="77777777" w:rsidR="00456BB5" w:rsidRPr="00456BB5" w:rsidRDefault="00456BB5" w:rsidP="00456BB5">
            <w:pPr>
              <w:ind w:left="0" w:right="0" w:firstLine="0"/>
              <w:jc w:val="center"/>
              <w:rPr>
                <w:b/>
                <w:bCs/>
                <w:sz w:val="20"/>
                <w:szCs w:val="20"/>
                <w:lang w:val="sr-Latn-RS" w:eastAsia="sr-Latn-RS"/>
              </w:rPr>
            </w:pPr>
            <w:r w:rsidRPr="00456BB5">
              <w:rPr>
                <w:b/>
                <w:bCs/>
                <w:sz w:val="20"/>
                <w:szCs w:val="20"/>
                <w:lang w:val="sr-Latn-RS" w:eastAsia="sr-Latn-RS"/>
              </w:rPr>
              <w:t xml:space="preserve">Б А Н К О В Н И   Р А Ч У Н </w:t>
            </w:r>
          </w:p>
        </w:tc>
        <w:tc>
          <w:tcPr>
            <w:tcW w:w="1400" w:type="dxa"/>
            <w:tcBorders>
              <w:top w:val="double" w:sz="6" w:space="0" w:color="auto"/>
              <w:left w:val="nil"/>
              <w:bottom w:val="single" w:sz="8" w:space="0" w:color="auto"/>
              <w:right w:val="single" w:sz="4" w:space="0" w:color="auto"/>
            </w:tcBorders>
            <w:shd w:val="clear" w:color="auto" w:fill="auto"/>
            <w:vAlign w:val="center"/>
            <w:hideMark/>
          </w:tcPr>
          <w:p w14:paraId="64B09977" w14:textId="77777777" w:rsidR="00456BB5" w:rsidRPr="00456BB5" w:rsidRDefault="00456BB5" w:rsidP="00456BB5">
            <w:pPr>
              <w:ind w:left="0" w:right="0" w:firstLine="0"/>
              <w:jc w:val="center"/>
              <w:rPr>
                <w:b/>
                <w:bCs/>
                <w:sz w:val="20"/>
                <w:szCs w:val="20"/>
                <w:lang w:val="sr-Latn-RS" w:eastAsia="sr-Latn-RS"/>
              </w:rPr>
            </w:pPr>
            <w:proofErr w:type="spellStart"/>
            <w:r w:rsidRPr="00456BB5">
              <w:rPr>
                <w:b/>
                <w:bCs/>
                <w:sz w:val="20"/>
                <w:szCs w:val="20"/>
                <w:lang w:val="sr-Latn-RS" w:eastAsia="sr-Latn-RS"/>
              </w:rPr>
              <w:t>Стање</w:t>
            </w:r>
            <w:proofErr w:type="spellEnd"/>
            <w:r w:rsidRPr="00456BB5">
              <w:rPr>
                <w:b/>
                <w:bCs/>
                <w:sz w:val="20"/>
                <w:szCs w:val="20"/>
                <w:lang w:val="sr-Latn-RS" w:eastAsia="sr-Latn-RS"/>
              </w:rPr>
              <w:t xml:space="preserve"> </w:t>
            </w:r>
            <w:r w:rsidRPr="00456BB5">
              <w:rPr>
                <w:b/>
                <w:bCs/>
                <w:sz w:val="20"/>
                <w:szCs w:val="20"/>
                <w:lang w:val="sr-Latn-RS" w:eastAsia="sr-Latn-RS"/>
              </w:rPr>
              <w:br/>
              <w:t xml:space="preserve">01.01.2020. </w:t>
            </w:r>
            <w:r w:rsidRPr="00456BB5">
              <w:rPr>
                <w:b/>
                <w:bCs/>
                <w:sz w:val="20"/>
                <w:szCs w:val="20"/>
                <w:lang w:val="sr-Latn-RS" w:eastAsia="sr-Latn-RS"/>
              </w:rPr>
              <w:br/>
            </w:r>
            <w:proofErr w:type="spellStart"/>
            <w:r w:rsidRPr="00456BB5">
              <w:rPr>
                <w:b/>
                <w:bCs/>
                <w:sz w:val="20"/>
                <w:szCs w:val="20"/>
                <w:lang w:val="sr-Latn-RS" w:eastAsia="sr-Latn-RS"/>
              </w:rPr>
              <w:t>године</w:t>
            </w:r>
            <w:proofErr w:type="spellEnd"/>
          </w:p>
        </w:tc>
        <w:tc>
          <w:tcPr>
            <w:tcW w:w="1340" w:type="dxa"/>
            <w:tcBorders>
              <w:top w:val="double" w:sz="6" w:space="0" w:color="auto"/>
              <w:left w:val="nil"/>
              <w:bottom w:val="single" w:sz="8" w:space="0" w:color="auto"/>
              <w:right w:val="double" w:sz="6" w:space="0" w:color="auto"/>
            </w:tcBorders>
            <w:shd w:val="clear" w:color="auto" w:fill="auto"/>
            <w:vAlign w:val="center"/>
            <w:hideMark/>
          </w:tcPr>
          <w:p w14:paraId="65FC54EE" w14:textId="77777777" w:rsidR="00456BB5" w:rsidRPr="00456BB5" w:rsidRDefault="00456BB5" w:rsidP="00456BB5">
            <w:pPr>
              <w:ind w:left="0" w:right="0" w:firstLine="0"/>
              <w:jc w:val="center"/>
              <w:rPr>
                <w:b/>
                <w:bCs/>
                <w:sz w:val="20"/>
                <w:szCs w:val="20"/>
                <w:lang w:val="sr-Latn-RS" w:eastAsia="sr-Latn-RS"/>
              </w:rPr>
            </w:pPr>
            <w:proofErr w:type="spellStart"/>
            <w:r w:rsidRPr="00456BB5">
              <w:rPr>
                <w:b/>
                <w:bCs/>
                <w:sz w:val="20"/>
                <w:szCs w:val="20"/>
                <w:lang w:val="sr-Latn-RS" w:eastAsia="sr-Latn-RS"/>
              </w:rPr>
              <w:t>Стање</w:t>
            </w:r>
            <w:proofErr w:type="spellEnd"/>
            <w:r w:rsidRPr="00456BB5">
              <w:rPr>
                <w:b/>
                <w:bCs/>
                <w:sz w:val="20"/>
                <w:szCs w:val="20"/>
                <w:lang w:val="sr-Latn-RS" w:eastAsia="sr-Latn-RS"/>
              </w:rPr>
              <w:t xml:space="preserve"> 31.12.2020. </w:t>
            </w:r>
            <w:proofErr w:type="spellStart"/>
            <w:r w:rsidRPr="00456BB5">
              <w:rPr>
                <w:b/>
                <w:bCs/>
                <w:sz w:val="20"/>
                <w:szCs w:val="20"/>
                <w:lang w:val="sr-Latn-RS" w:eastAsia="sr-Latn-RS"/>
              </w:rPr>
              <w:t>године</w:t>
            </w:r>
            <w:proofErr w:type="spellEnd"/>
          </w:p>
        </w:tc>
      </w:tr>
      <w:tr w:rsidR="00456BB5" w:rsidRPr="00456BB5" w14:paraId="4DFD787F" w14:textId="77777777" w:rsidTr="00456BB5">
        <w:trPr>
          <w:trHeight w:val="255"/>
        </w:trPr>
        <w:tc>
          <w:tcPr>
            <w:tcW w:w="640" w:type="dxa"/>
            <w:tcBorders>
              <w:top w:val="nil"/>
              <w:left w:val="double" w:sz="6" w:space="0" w:color="auto"/>
              <w:bottom w:val="nil"/>
              <w:right w:val="single" w:sz="4" w:space="0" w:color="auto"/>
            </w:tcBorders>
            <w:shd w:val="clear" w:color="auto" w:fill="auto"/>
            <w:noWrap/>
            <w:vAlign w:val="center"/>
            <w:hideMark/>
          </w:tcPr>
          <w:p w14:paraId="39EAD2B4" w14:textId="77777777" w:rsidR="00456BB5" w:rsidRPr="00456BB5" w:rsidRDefault="00456BB5" w:rsidP="00456BB5">
            <w:pPr>
              <w:ind w:left="0" w:right="0" w:firstLine="0"/>
              <w:jc w:val="center"/>
              <w:rPr>
                <w:sz w:val="20"/>
                <w:szCs w:val="20"/>
                <w:lang w:val="sr-Latn-RS" w:eastAsia="sr-Latn-RS"/>
              </w:rPr>
            </w:pPr>
            <w:r w:rsidRPr="00456BB5">
              <w:rPr>
                <w:sz w:val="20"/>
                <w:szCs w:val="20"/>
                <w:lang w:val="sr-Latn-RS" w:eastAsia="sr-Latn-RS"/>
              </w:rPr>
              <w:t>1</w:t>
            </w:r>
          </w:p>
        </w:tc>
        <w:tc>
          <w:tcPr>
            <w:tcW w:w="5820" w:type="dxa"/>
            <w:tcBorders>
              <w:top w:val="nil"/>
              <w:left w:val="nil"/>
              <w:bottom w:val="single" w:sz="4" w:space="0" w:color="auto"/>
              <w:right w:val="single" w:sz="4" w:space="0" w:color="000000"/>
            </w:tcBorders>
            <w:shd w:val="clear" w:color="auto" w:fill="auto"/>
            <w:noWrap/>
            <w:vAlign w:val="center"/>
            <w:hideMark/>
          </w:tcPr>
          <w:p w14:paraId="00A21A03" w14:textId="77777777" w:rsidR="00456BB5" w:rsidRPr="00456BB5" w:rsidRDefault="00456BB5" w:rsidP="00456BB5">
            <w:pPr>
              <w:ind w:left="0" w:right="0" w:firstLine="0"/>
              <w:jc w:val="left"/>
              <w:rPr>
                <w:sz w:val="20"/>
                <w:szCs w:val="20"/>
                <w:lang w:val="sr-Latn-RS" w:eastAsia="sr-Latn-RS"/>
              </w:rPr>
            </w:pPr>
            <w:r w:rsidRPr="00456BB5">
              <w:rPr>
                <w:sz w:val="20"/>
                <w:szCs w:val="20"/>
                <w:lang w:val="sr-Latn-RS" w:eastAsia="sr-Latn-RS"/>
              </w:rPr>
              <w:t xml:space="preserve">555-007-01215707-45 ЈР </w:t>
            </w:r>
            <w:proofErr w:type="spellStart"/>
            <w:r w:rsidRPr="00456BB5">
              <w:rPr>
                <w:sz w:val="20"/>
                <w:szCs w:val="20"/>
                <w:lang w:val="sr-Latn-RS" w:eastAsia="sr-Latn-RS"/>
              </w:rPr>
              <w:t>Трезора</w:t>
            </w:r>
            <w:proofErr w:type="spellEnd"/>
            <w:r w:rsidRPr="00456BB5">
              <w:rPr>
                <w:sz w:val="20"/>
                <w:szCs w:val="20"/>
                <w:lang w:val="sr-Latn-RS" w:eastAsia="sr-Latn-RS"/>
              </w:rPr>
              <w:t xml:space="preserve">, </w:t>
            </w:r>
            <w:proofErr w:type="spellStart"/>
            <w:r w:rsidRPr="00456BB5">
              <w:rPr>
                <w:sz w:val="20"/>
                <w:szCs w:val="20"/>
                <w:lang w:val="sr-Latn-RS" w:eastAsia="sr-Latn-RS"/>
              </w:rPr>
              <w:t>Нова</w:t>
            </w:r>
            <w:proofErr w:type="spellEnd"/>
            <w:r w:rsidRPr="00456BB5">
              <w:rPr>
                <w:sz w:val="20"/>
                <w:szCs w:val="20"/>
                <w:lang w:val="sr-Latn-RS" w:eastAsia="sr-Latn-RS"/>
              </w:rPr>
              <w:t xml:space="preserve"> </w:t>
            </w:r>
            <w:proofErr w:type="spellStart"/>
            <w:r w:rsidRPr="00456BB5">
              <w:rPr>
                <w:sz w:val="20"/>
                <w:szCs w:val="20"/>
                <w:lang w:val="sr-Latn-RS" w:eastAsia="sr-Latn-RS"/>
              </w:rPr>
              <w:t>банка</w:t>
            </w:r>
            <w:proofErr w:type="spellEnd"/>
            <w:r w:rsidRPr="00456BB5">
              <w:rPr>
                <w:sz w:val="20"/>
                <w:szCs w:val="20"/>
                <w:lang w:val="sr-Latn-RS" w:eastAsia="sr-Latn-RS"/>
              </w:rPr>
              <w:t xml:space="preserve"> </w:t>
            </w:r>
            <w:proofErr w:type="spellStart"/>
            <w:r w:rsidRPr="00456BB5">
              <w:rPr>
                <w:sz w:val="20"/>
                <w:szCs w:val="20"/>
                <w:lang w:val="sr-Latn-RS" w:eastAsia="sr-Latn-RS"/>
              </w:rPr>
              <w:t>а.д</w:t>
            </w:r>
            <w:proofErr w:type="spellEnd"/>
            <w:r w:rsidRPr="00456BB5">
              <w:rPr>
                <w:sz w:val="20"/>
                <w:szCs w:val="20"/>
                <w:lang w:val="sr-Latn-RS" w:eastAsia="sr-Latn-RS"/>
              </w:rPr>
              <w:t xml:space="preserve">. </w:t>
            </w:r>
            <w:proofErr w:type="spellStart"/>
            <w:r w:rsidRPr="00456BB5">
              <w:rPr>
                <w:sz w:val="20"/>
                <w:szCs w:val="20"/>
                <w:lang w:val="sr-Latn-RS" w:eastAsia="sr-Latn-RS"/>
              </w:rPr>
              <w:t>Бијељина</w:t>
            </w:r>
            <w:proofErr w:type="spellEnd"/>
          </w:p>
        </w:tc>
        <w:tc>
          <w:tcPr>
            <w:tcW w:w="1400" w:type="dxa"/>
            <w:tcBorders>
              <w:top w:val="nil"/>
              <w:left w:val="nil"/>
              <w:bottom w:val="single" w:sz="4" w:space="0" w:color="auto"/>
              <w:right w:val="nil"/>
            </w:tcBorders>
            <w:shd w:val="clear" w:color="000000" w:fill="FFFFFF"/>
            <w:noWrap/>
            <w:vAlign w:val="center"/>
            <w:hideMark/>
          </w:tcPr>
          <w:p w14:paraId="65CC97AA" w14:textId="77777777" w:rsidR="00456BB5" w:rsidRPr="00456BB5" w:rsidRDefault="00456BB5" w:rsidP="00456BB5">
            <w:pPr>
              <w:ind w:left="0" w:right="0" w:firstLine="0"/>
              <w:jc w:val="right"/>
              <w:rPr>
                <w:color w:val="000000"/>
                <w:sz w:val="20"/>
                <w:szCs w:val="20"/>
                <w:lang w:val="sr-Latn-RS" w:eastAsia="sr-Latn-RS"/>
              </w:rPr>
            </w:pPr>
            <w:r w:rsidRPr="00456BB5">
              <w:rPr>
                <w:color w:val="000000"/>
                <w:sz w:val="20"/>
                <w:szCs w:val="20"/>
                <w:lang w:val="sr-Latn-RS" w:eastAsia="sr-Latn-RS"/>
              </w:rPr>
              <w:t>510.208,98</w:t>
            </w:r>
          </w:p>
        </w:tc>
        <w:tc>
          <w:tcPr>
            <w:tcW w:w="1340" w:type="dxa"/>
            <w:tcBorders>
              <w:top w:val="nil"/>
              <w:left w:val="single" w:sz="4" w:space="0" w:color="auto"/>
              <w:bottom w:val="single" w:sz="4" w:space="0" w:color="auto"/>
              <w:right w:val="double" w:sz="6" w:space="0" w:color="auto"/>
            </w:tcBorders>
            <w:shd w:val="clear" w:color="auto" w:fill="auto"/>
            <w:noWrap/>
            <w:vAlign w:val="center"/>
            <w:hideMark/>
          </w:tcPr>
          <w:p w14:paraId="74E345E6" w14:textId="77777777" w:rsidR="00456BB5" w:rsidRPr="00456BB5" w:rsidRDefault="00456BB5" w:rsidP="00456BB5">
            <w:pPr>
              <w:ind w:left="0" w:right="0" w:firstLine="0"/>
              <w:jc w:val="right"/>
              <w:rPr>
                <w:color w:val="000000"/>
                <w:sz w:val="20"/>
                <w:szCs w:val="20"/>
                <w:lang w:val="sr-Latn-RS" w:eastAsia="sr-Latn-RS"/>
              </w:rPr>
            </w:pPr>
            <w:r w:rsidRPr="00456BB5">
              <w:rPr>
                <w:color w:val="000000"/>
                <w:sz w:val="20"/>
                <w:szCs w:val="20"/>
                <w:lang w:val="sr-Latn-RS" w:eastAsia="sr-Latn-RS"/>
              </w:rPr>
              <w:t>337.825,27</w:t>
            </w:r>
          </w:p>
        </w:tc>
      </w:tr>
      <w:tr w:rsidR="00456BB5" w:rsidRPr="00456BB5" w14:paraId="25F100A6" w14:textId="77777777" w:rsidTr="009D275F">
        <w:trPr>
          <w:trHeight w:val="255"/>
        </w:trPr>
        <w:tc>
          <w:tcPr>
            <w:tcW w:w="64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1004885D" w14:textId="77777777" w:rsidR="00456BB5" w:rsidRPr="00456BB5" w:rsidRDefault="00456BB5" w:rsidP="00456BB5">
            <w:pPr>
              <w:ind w:left="0" w:right="0" w:firstLine="0"/>
              <w:jc w:val="center"/>
              <w:rPr>
                <w:sz w:val="20"/>
                <w:szCs w:val="20"/>
                <w:lang w:val="sr-Latn-RS" w:eastAsia="sr-Latn-RS"/>
              </w:rPr>
            </w:pPr>
            <w:r w:rsidRPr="00456BB5">
              <w:rPr>
                <w:sz w:val="20"/>
                <w:szCs w:val="20"/>
                <w:lang w:val="sr-Latn-RS" w:eastAsia="sr-Latn-RS"/>
              </w:rPr>
              <w:t>2</w:t>
            </w:r>
          </w:p>
        </w:tc>
        <w:tc>
          <w:tcPr>
            <w:tcW w:w="5820" w:type="dxa"/>
            <w:tcBorders>
              <w:top w:val="single" w:sz="4" w:space="0" w:color="auto"/>
              <w:left w:val="nil"/>
              <w:bottom w:val="single" w:sz="4" w:space="0" w:color="auto"/>
              <w:right w:val="single" w:sz="4" w:space="0" w:color="000000"/>
            </w:tcBorders>
            <w:shd w:val="clear" w:color="auto" w:fill="auto"/>
            <w:noWrap/>
            <w:vAlign w:val="center"/>
            <w:hideMark/>
          </w:tcPr>
          <w:p w14:paraId="18F024AA" w14:textId="77777777" w:rsidR="00456BB5" w:rsidRPr="00456BB5" w:rsidRDefault="00456BB5" w:rsidP="00456BB5">
            <w:pPr>
              <w:ind w:left="0" w:right="0" w:firstLine="0"/>
              <w:jc w:val="left"/>
              <w:rPr>
                <w:sz w:val="20"/>
                <w:szCs w:val="20"/>
                <w:lang w:val="sr-Latn-RS" w:eastAsia="sr-Latn-RS"/>
              </w:rPr>
            </w:pPr>
            <w:r w:rsidRPr="00456BB5">
              <w:rPr>
                <w:sz w:val="20"/>
                <w:szCs w:val="20"/>
                <w:lang w:val="sr-Latn-RS" w:eastAsia="sr-Latn-RS"/>
              </w:rPr>
              <w:t xml:space="preserve">555-007-02215707-61 </w:t>
            </w:r>
            <w:proofErr w:type="spellStart"/>
            <w:r w:rsidRPr="00456BB5">
              <w:rPr>
                <w:sz w:val="20"/>
                <w:szCs w:val="20"/>
                <w:lang w:val="sr-Latn-RS" w:eastAsia="sr-Latn-RS"/>
              </w:rPr>
              <w:t>Рачун</w:t>
            </w:r>
            <w:proofErr w:type="spellEnd"/>
            <w:r w:rsidRPr="00456BB5">
              <w:rPr>
                <w:sz w:val="20"/>
                <w:szCs w:val="20"/>
                <w:lang w:val="sr-Latn-RS" w:eastAsia="sr-Latn-RS"/>
              </w:rPr>
              <w:t xml:space="preserve"> </w:t>
            </w:r>
            <w:proofErr w:type="spellStart"/>
            <w:r w:rsidRPr="00456BB5">
              <w:rPr>
                <w:sz w:val="20"/>
                <w:szCs w:val="20"/>
                <w:lang w:val="sr-Latn-RS" w:eastAsia="sr-Latn-RS"/>
              </w:rPr>
              <w:t>посебних</w:t>
            </w:r>
            <w:proofErr w:type="spellEnd"/>
            <w:r w:rsidRPr="00456BB5">
              <w:rPr>
                <w:sz w:val="20"/>
                <w:szCs w:val="20"/>
                <w:lang w:val="sr-Latn-RS" w:eastAsia="sr-Latn-RS"/>
              </w:rPr>
              <w:t xml:space="preserve"> </w:t>
            </w:r>
            <w:proofErr w:type="spellStart"/>
            <w:r w:rsidRPr="00456BB5">
              <w:rPr>
                <w:sz w:val="20"/>
                <w:szCs w:val="20"/>
                <w:lang w:val="sr-Latn-RS" w:eastAsia="sr-Latn-RS"/>
              </w:rPr>
              <w:t>намјена</w:t>
            </w:r>
            <w:proofErr w:type="spellEnd"/>
          </w:p>
        </w:tc>
        <w:tc>
          <w:tcPr>
            <w:tcW w:w="1400" w:type="dxa"/>
            <w:tcBorders>
              <w:top w:val="nil"/>
              <w:left w:val="nil"/>
              <w:bottom w:val="single" w:sz="4" w:space="0" w:color="auto"/>
              <w:right w:val="nil"/>
            </w:tcBorders>
            <w:shd w:val="clear" w:color="000000" w:fill="FFFFFF"/>
            <w:noWrap/>
            <w:vAlign w:val="center"/>
            <w:hideMark/>
          </w:tcPr>
          <w:p w14:paraId="4FBB4F2B" w14:textId="77777777" w:rsidR="00456BB5" w:rsidRPr="00456BB5" w:rsidRDefault="00456BB5" w:rsidP="00456BB5">
            <w:pPr>
              <w:ind w:left="0" w:right="0" w:firstLine="0"/>
              <w:jc w:val="right"/>
              <w:rPr>
                <w:color w:val="000000"/>
                <w:sz w:val="20"/>
                <w:szCs w:val="20"/>
                <w:lang w:val="sr-Latn-RS" w:eastAsia="sr-Latn-RS"/>
              </w:rPr>
            </w:pPr>
            <w:r w:rsidRPr="00456BB5">
              <w:rPr>
                <w:color w:val="000000"/>
                <w:sz w:val="20"/>
                <w:szCs w:val="20"/>
                <w:lang w:val="sr-Latn-RS" w:eastAsia="sr-Latn-RS"/>
              </w:rPr>
              <w:t>213.209,57</w:t>
            </w:r>
          </w:p>
        </w:tc>
        <w:tc>
          <w:tcPr>
            <w:tcW w:w="1340" w:type="dxa"/>
            <w:tcBorders>
              <w:top w:val="nil"/>
              <w:left w:val="single" w:sz="4" w:space="0" w:color="auto"/>
              <w:bottom w:val="single" w:sz="4" w:space="0" w:color="auto"/>
              <w:right w:val="double" w:sz="6" w:space="0" w:color="auto"/>
            </w:tcBorders>
            <w:shd w:val="clear" w:color="auto" w:fill="auto"/>
            <w:noWrap/>
            <w:vAlign w:val="center"/>
            <w:hideMark/>
          </w:tcPr>
          <w:p w14:paraId="5FD9146A" w14:textId="77777777" w:rsidR="00456BB5" w:rsidRPr="00456BB5" w:rsidRDefault="00456BB5" w:rsidP="00456BB5">
            <w:pPr>
              <w:ind w:left="0" w:right="0" w:firstLine="0"/>
              <w:jc w:val="right"/>
              <w:rPr>
                <w:color w:val="000000"/>
                <w:sz w:val="20"/>
                <w:szCs w:val="20"/>
                <w:lang w:val="sr-Latn-RS" w:eastAsia="sr-Latn-RS"/>
              </w:rPr>
            </w:pPr>
            <w:r w:rsidRPr="00456BB5">
              <w:rPr>
                <w:color w:val="000000"/>
                <w:sz w:val="20"/>
                <w:szCs w:val="20"/>
                <w:lang w:val="sr-Latn-RS" w:eastAsia="sr-Latn-RS"/>
              </w:rPr>
              <w:t>92.011,18</w:t>
            </w:r>
          </w:p>
        </w:tc>
      </w:tr>
      <w:tr w:rsidR="00456BB5" w:rsidRPr="00456BB5" w14:paraId="70D1AF06" w14:textId="77777777" w:rsidTr="009D275F">
        <w:trPr>
          <w:trHeight w:val="255"/>
        </w:trPr>
        <w:tc>
          <w:tcPr>
            <w:tcW w:w="64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29B2A77D" w14:textId="77777777" w:rsidR="00456BB5" w:rsidRPr="00456BB5" w:rsidRDefault="00456BB5" w:rsidP="00456BB5">
            <w:pPr>
              <w:ind w:left="0" w:right="0" w:firstLine="0"/>
              <w:jc w:val="center"/>
              <w:rPr>
                <w:sz w:val="20"/>
                <w:szCs w:val="20"/>
                <w:lang w:val="sr-Latn-RS" w:eastAsia="sr-Latn-RS"/>
              </w:rPr>
            </w:pPr>
            <w:r w:rsidRPr="00456BB5">
              <w:rPr>
                <w:sz w:val="20"/>
                <w:szCs w:val="20"/>
                <w:lang w:val="sr-Latn-RS" w:eastAsia="sr-Latn-RS"/>
              </w:rPr>
              <w:t>3</w:t>
            </w:r>
          </w:p>
        </w:tc>
        <w:tc>
          <w:tcPr>
            <w:tcW w:w="5820" w:type="dxa"/>
            <w:tcBorders>
              <w:top w:val="single" w:sz="4" w:space="0" w:color="auto"/>
              <w:left w:val="nil"/>
              <w:bottom w:val="single" w:sz="4" w:space="0" w:color="auto"/>
              <w:right w:val="single" w:sz="4" w:space="0" w:color="auto"/>
            </w:tcBorders>
            <w:shd w:val="clear" w:color="auto" w:fill="auto"/>
            <w:noWrap/>
            <w:vAlign w:val="center"/>
            <w:hideMark/>
          </w:tcPr>
          <w:p w14:paraId="45D02F51" w14:textId="77777777" w:rsidR="00456BB5" w:rsidRPr="00456BB5" w:rsidRDefault="00456BB5" w:rsidP="00456BB5">
            <w:pPr>
              <w:ind w:left="0" w:right="0" w:firstLine="0"/>
              <w:jc w:val="left"/>
              <w:rPr>
                <w:sz w:val="20"/>
                <w:szCs w:val="20"/>
                <w:lang w:val="sr-Latn-RS" w:eastAsia="sr-Latn-RS"/>
              </w:rPr>
            </w:pPr>
            <w:r w:rsidRPr="00456BB5">
              <w:rPr>
                <w:sz w:val="20"/>
                <w:szCs w:val="20"/>
                <w:lang w:val="sr-Latn-RS" w:eastAsia="sr-Latn-RS"/>
              </w:rPr>
              <w:t xml:space="preserve">555-007-03215707-77 </w:t>
            </w:r>
            <w:proofErr w:type="spellStart"/>
            <w:r w:rsidRPr="00456BB5">
              <w:rPr>
                <w:sz w:val="20"/>
                <w:szCs w:val="20"/>
                <w:lang w:val="sr-Latn-RS" w:eastAsia="sr-Latn-RS"/>
              </w:rPr>
              <w:t>Рачун</w:t>
            </w:r>
            <w:proofErr w:type="spellEnd"/>
            <w:r w:rsidRPr="00456BB5">
              <w:rPr>
                <w:sz w:val="20"/>
                <w:szCs w:val="20"/>
                <w:lang w:val="sr-Latn-RS" w:eastAsia="sr-Latn-RS"/>
              </w:rPr>
              <w:t xml:space="preserve"> </w:t>
            </w:r>
            <w:proofErr w:type="spellStart"/>
            <w:r w:rsidRPr="00456BB5">
              <w:rPr>
                <w:sz w:val="20"/>
                <w:szCs w:val="20"/>
                <w:lang w:val="sr-Latn-RS" w:eastAsia="sr-Latn-RS"/>
              </w:rPr>
              <w:t>посебних</w:t>
            </w:r>
            <w:proofErr w:type="spellEnd"/>
            <w:r w:rsidRPr="00456BB5">
              <w:rPr>
                <w:sz w:val="20"/>
                <w:szCs w:val="20"/>
                <w:lang w:val="sr-Latn-RS" w:eastAsia="sr-Latn-RS"/>
              </w:rPr>
              <w:t xml:space="preserve"> </w:t>
            </w:r>
            <w:proofErr w:type="spellStart"/>
            <w:r w:rsidRPr="00456BB5">
              <w:rPr>
                <w:sz w:val="20"/>
                <w:szCs w:val="20"/>
                <w:lang w:val="sr-Latn-RS" w:eastAsia="sr-Latn-RS"/>
              </w:rPr>
              <w:t>намјена</w:t>
            </w:r>
            <w:proofErr w:type="spellEnd"/>
            <w:r w:rsidRPr="00456BB5">
              <w:rPr>
                <w:sz w:val="20"/>
                <w:szCs w:val="20"/>
                <w:lang w:val="sr-Latn-RS" w:eastAsia="sr-Latn-RS"/>
              </w:rPr>
              <w:t xml:space="preserve"> </w:t>
            </w:r>
            <w:proofErr w:type="spellStart"/>
            <w:r w:rsidRPr="00456BB5">
              <w:rPr>
                <w:sz w:val="20"/>
                <w:szCs w:val="20"/>
                <w:lang w:val="sr-Latn-RS" w:eastAsia="sr-Latn-RS"/>
              </w:rPr>
              <w:t>за</w:t>
            </w:r>
            <w:proofErr w:type="spellEnd"/>
            <w:r w:rsidRPr="00456BB5">
              <w:rPr>
                <w:sz w:val="20"/>
                <w:szCs w:val="20"/>
                <w:lang w:val="sr-Latn-RS" w:eastAsia="sr-Latn-RS"/>
              </w:rPr>
              <w:t xml:space="preserve"> </w:t>
            </w:r>
            <w:proofErr w:type="spellStart"/>
            <w:r w:rsidRPr="00456BB5">
              <w:rPr>
                <w:sz w:val="20"/>
                <w:szCs w:val="20"/>
                <w:lang w:val="sr-Latn-RS" w:eastAsia="sr-Latn-RS"/>
              </w:rPr>
              <w:t>воде</w:t>
            </w:r>
            <w:proofErr w:type="spellEnd"/>
          </w:p>
        </w:tc>
        <w:tc>
          <w:tcPr>
            <w:tcW w:w="1400" w:type="dxa"/>
            <w:tcBorders>
              <w:top w:val="single" w:sz="4" w:space="0" w:color="auto"/>
              <w:left w:val="nil"/>
              <w:bottom w:val="single" w:sz="4" w:space="0" w:color="auto"/>
              <w:right w:val="nil"/>
            </w:tcBorders>
            <w:shd w:val="clear" w:color="000000" w:fill="FFFFFF"/>
            <w:noWrap/>
            <w:vAlign w:val="center"/>
            <w:hideMark/>
          </w:tcPr>
          <w:p w14:paraId="5EB40626" w14:textId="77777777" w:rsidR="00456BB5" w:rsidRPr="00456BB5" w:rsidRDefault="00456BB5" w:rsidP="00456BB5">
            <w:pPr>
              <w:ind w:left="0" w:right="0" w:firstLine="0"/>
              <w:jc w:val="right"/>
              <w:rPr>
                <w:color w:val="000000"/>
                <w:sz w:val="20"/>
                <w:szCs w:val="20"/>
                <w:lang w:val="sr-Latn-RS" w:eastAsia="sr-Latn-RS"/>
              </w:rPr>
            </w:pPr>
            <w:r w:rsidRPr="00456BB5">
              <w:rPr>
                <w:color w:val="000000"/>
                <w:sz w:val="20"/>
                <w:szCs w:val="20"/>
                <w:lang w:val="sr-Latn-RS" w:eastAsia="sr-Latn-RS"/>
              </w:rPr>
              <w:t>149.937,17</w:t>
            </w:r>
          </w:p>
        </w:tc>
        <w:tc>
          <w:tcPr>
            <w:tcW w:w="1340"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14:paraId="3B5CC3D6" w14:textId="77777777" w:rsidR="00456BB5" w:rsidRPr="00456BB5" w:rsidRDefault="00456BB5" w:rsidP="00456BB5">
            <w:pPr>
              <w:ind w:left="0" w:right="0" w:firstLine="0"/>
              <w:jc w:val="right"/>
              <w:rPr>
                <w:color w:val="000000"/>
                <w:sz w:val="20"/>
                <w:szCs w:val="20"/>
                <w:lang w:val="sr-Latn-RS" w:eastAsia="sr-Latn-RS"/>
              </w:rPr>
            </w:pPr>
            <w:r w:rsidRPr="00456BB5">
              <w:rPr>
                <w:color w:val="000000"/>
                <w:sz w:val="20"/>
                <w:szCs w:val="20"/>
                <w:lang w:val="sr-Latn-RS" w:eastAsia="sr-Latn-RS"/>
              </w:rPr>
              <w:t>39.076,81</w:t>
            </w:r>
          </w:p>
        </w:tc>
      </w:tr>
      <w:tr w:rsidR="00456BB5" w:rsidRPr="00456BB5" w14:paraId="23C29E92" w14:textId="77777777" w:rsidTr="009D275F">
        <w:trPr>
          <w:trHeight w:val="255"/>
        </w:trPr>
        <w:tc>
          <w:tcPr>
            <w:tcW w:w="640" w:type="dxa"/>
            <w:tcBorders>
              <w:top w:val="single" w:sz="4" w:space="0" w:color="auto"/>
              <w:left w:val="double" w:sz="6" w:space="0" w:color="auto"/>
              <w:bottom w:val="nil"/>
              <w:right w:val="single" w:sz="4" w:space="0" w:color="auto"/>
            </w:tcBorders>
            <w:shd w:val="clear" w:color="auto" w:fill="auto"/>
            <w:noWrap/>
            <w:vAlign w:val="center"/>
            <w:hideMark/>
          </w:tcPr>
          <w:p w14:paraId="3734618E" w14:textId="77777777" w:rsidR="00456BB5" w:rsidRPr="00456BB5" w:rsidRDefault="00456BB5" w:rsidP="00456BB5">
            <w:pPr>
              <w:ind w:left="0" w:right="0" w:firstLine="0"/>
              <w:jc w:val="center"/>
              <w:rPr>
                <w:sz w:val="20"/>
                <w:szCs w:val="20"/>
                <w:lang w:val="sr-Latn-RS" w:eastAsia="sr-Latn-RS"/>
              </w:rPr>
            </w:pPr>
            <w:r w:rsidRPr="00456BB5">
              <w:rPr>
                <w:sz w:val="20"/>
                <w:szCs w:val="20"/>
                <w:lang w:val="sr-Latn-RS" w:eastAsia="sr-Latn-RS"/>
              </w:rPr>
              <w:t>4</w:t>
            </w:r>
          </w:p>
        </w:tc>
        <w:tc>
          <w:tcPr>
            <w:tcW w:w="5820" w:type="dxa"/>
            <w:tcBorders>
              <w:top w:val="single" w:sz="4" w:space="0" w:color="auto"/>
              <w:left w:val="nil"/>
              <w:bottom w:val="single" w:sz="4" w:space="0" w:color="auto"/>
              <w:right w:val="single" w:sz="4" w:space="0" w:color="000000"/>
            </w:tcBorders>
            <w:shd w:val="clear" w:color="auto" w:fill="auto"/>
            <w:noWrap/>
            <w:vAlign w:val="center"/>
            <w:hideMark/>
          </w:tcPr>
          <w:p w14:paraId="6F8F5F79" w14:textId="77777777" w:rsidR="00456BB5" w:rsidRPr="00456BB5" w:rsidRDefault="00456BB5" w:rsidP="00456BB5">
            <w:pPr>
              <w:ind w:left="0" w:right="0" w:firstLine="0"/>
              <w:jc w:val="left"/>
              <w:rPr>
                <w:sz w:val="20"/>
                <w:szCs w:val="20"/>
                <w:lang w:val="sr-Latn-RS" w:eastAsia="sr-Latn-RS"/>
              </w:rPr>
            </w:pPr>
            <w:r w:rsidRPr="00456BB5">
              <w:rPr>
                <w:sz w:val="20"/>
                <w:szCs w:val="20"/>
                <w:lang w:val="sr-Latn-RS" w:eastAsia="sr-Latn-RS"/>
              </w:rPr>
              <w:t xml:space="preserve">555-007-05215707-12 </w:t>
            </w:r>
            <w:proofErr w:type="spellStart"/>
            <w:r w:rsidRPr="00456BB5">
              <w:rPr>
                <w:sz w:val="20"/>
                <w:szCs w:val="20"/>
                <w:lang w:val="sr-Latn-RS" w:eastAsia="sr-Latn-RS"/>
              </w:rPr>
              <w:t>Рачун</w:t>
            </w:r>
            <w:proofErr w:type="spellEnd"/>
            <w:r w:rsidRPr="00456BB5">
              <w:rPr>
                <w:sz w:val="20"/>
                <w:szCs w:val="20"/>
                <w:lang w:val="sr-Latn-RS" w:eastAsia="sr-Latn-RS"/>
              </w:rPr>
              <w:t xml:space="preserve"> </w:t>
            </w:r>
            <w:proofErr w:type="spellStart"/>
            <w:r w:rsidRPr="00456BB5">
              <w:rPr>
                <w:sz w:val="20"/>
                <w:szCs w:val="20"/>
                <w:lang w:val="sr-Latn-RS" w:eastAsia="sr-Latn-RS"/>
              </w:rPr>
              <w:t>за</w:t>
            </w:r>
            <w:proofErr w:type="spellEnd"/>
            <w:r w:rsidRPr="00456BB5">
              <w:rPr>
                <w:sz w:val="20"/>
                <w:szCs w:val="20"/>
                <w:lang w:val="sr-Latn-RS" w:eastAsia="sr-Latn-RS"/>
              </w:rPr>
              <w:t xml:space="preserve"> </w:t>
            </w:r>
            <w:proofErr w:type="spellStart"/>
            <w:r w:rsidRPr="00456BB5">
              <w:rPr>
                <w:sz w:val="20"/>
                <w:szCs w:val="20"/>
                <w:lang w:val="sr-Latn-RS" w:eastAsia="sr-Latn-RS"/>
              </w:rPr>
              <w:t>поврат</w:t>
            </w:r>
            <w:proofErr w:type="spellEnd"/>
            <w:r w:rsidRPr="00456BB5">
              <w:rPr>
                <w:sz w:val="20"/>
                <w:szCs w:val="20"/>
                <w:lang w:val="sr-Latn-RS" w:eastAsia="sr-Latn-RS"/>
              </w:rPr>
              <w:t xml:space="preserve"> и </w:t>
            </w:r>
            <w:proofErr w:type="spellStart"/>
            <w:r w:rsidRPr="00456BB5">
              <w:rPr>
                <w:sz w:val="20"/>
                <w:szCs w:val="20"/>
                <w:lang w:val="sr-Latn-RS" w:eastAsia="sr-Latn-RS"/>
              </w:rPr>
              <w:t>прекњижавање</w:t>
            </w:r>
            <w:proofErr w:type="spellEnd"/>
            <w:r w:rsidRPr="00456BB5">
              <w:rPr>
                <w:sz w:val="20"/>
                <w:szCs w:val="20"/>
                <w:lang w:val="sr-Latn-RS" w:eastAsia="sr-Latn-RS"/>
              </w:rPr>
              <w:t xml:space="preserve"> ЈП</w:t>
            </w:r>
          </w:p>
        </w:tc>
        <w:tc>
          <w:tcPr>
            <w:tcW w:w="1400" w:type="dxa"/>
            <w:tcBorders>
              <w:top w:val="single" w:sz="4" w:space="0" w:color="auto"/>
              <w:left w:val="nil"/>
              <w:bottom w:val="single" w:sz="4" w:space="0" w:color="auto"/>
              <w:right w:val="nil"/>
            </w:tcBorders>
            <w:shd w:val="clear" w:color="000000" w:fill="FFFFFF"/>
            <w:noWrap/>
            <w:vAlign w:val="center"/>
            <w:hideMark/>
          </w:tcPr>
          <w:p w14:paraId="6A4E8B75" w14:textId="77777777" w:rsidR="00456BB5" w:rsidRPr="00456BB5" w:rsidRDefault="00456BB5" w:rsidP="00456BB5">
            <w:pPr>
              <w:ind w:left="0" w:right="0" w:firstLine="0"/>
              <w:jc w:val="right"/>
              <w:rPr>
                <w:color w:val="000000"/>
                <w:sz w:val="20"/>
                <w:szCs w:val="20"/>
                <w:lang w:val="sr-Latn-RS" w:eastAsia="sr-Latn-RS"/>
              </w:rPr>
            </w:pPr>
            <w:r w:rsidRPr="00456BB5">
              <w:rPr>
                <w:color w:val="000000"/>
                <w:sz w:val="20"/>
                <w:szCs w:val="20"/>
                <w:lang w:val="sr-Latn-RS" w:eastAsia="sr-Latn-RS"/>
              </w:rPr>
              <w:t>8,72</w:t>
            </w:r>
          </w:p>
        </w:tc>
        <w:tc>
          <w:tcPr>
            <w:tcW w:w="1340"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14:paraId="6248F3EC" w14:textId="77777777" w:rsidR="00456BB5" w:rsidRPr="00456BB5" w:rsidRDefault="00456BB5" w:rsidP="00456BB5">
            <w:pPr>
              <w:ind w:left="0" w:right="0" w:firstLine="0"/>
              <w:jc w:val="right"/>
              <w:rPr>
                <w:color w:val="000000"/>
                <w:sz w:val="20"/>
                <w:szCs w:val="20"/>
                <w:lang w:val="sr-Latn-RS" w:eastAsia="sr-Latn-RS"/>
              </w:rPr>
            </w:pPr>
            <w:r w:rsidRPr="00456BB5">
              <w:rPr>
                <w:color w:val="000000"/>
                <w:sz w:val="20"/>
                <w:szCs w:val="20"/>
                <w:lang w:val="sr-Latn-RS" w:eastAsia="sr-Latn-RS"/>
              </w:rPr>
              <w:t>43,49</w:t>
            </w:r>
          </w:p>
        </w:tc>
      </w:tr>
      <w:tr w:rsidR="00456BB5" w:rsidRPr="00456BB5" w14:paraId="6ADAB024" w14:textId="77777777" w:rsidTr="00456BB5">
        <w:trPr>
          <w:trHeight w:val="255"/>
        </w:trPr>
        <w:tc>
          <w:tcPr>
            <w:tcW w:w="64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7C4A07D9" w14:textId="77777777" w:rsidR="00456BB5" w:rsidRPr="00456BB5" w:rsidRDefault="00456BB5" w:rsidP="00456BB5">
            <w:pPr>
              <w:ind w:left="0" w:right="0" w:firstLine="0"/>
              <w:jc w:val="center"/>
              <w:rPr>
                <w:sz w:val="20"/>
                <w:szCs w:val="20"/>
                <w:lang w:val="sr-Latn-RS" w:eastAsia="sr-Latn-RS"/>
              </w:rPr>
            </w:pPr>
            <w:r w:rsidRPr="00456BB5">
              <w:rPr>
                <w:sz w:val="20"/>
                <w:szCs w:val="20"/>
                <w:lang w:val="sr-Latn-RS" w:eastAsia="sr-Latn-RS"/>
              </w:rPr>
              <w:t>5</w:t>
            </w:r>
          </w:p>
        </w:tc>
        <w:tc>
          <w:tcPr>
            <w:tcW w:w="5820" w:type="dxa"/>
            <w:tcBorders>
              <w:top w:val="single" w:sz="4" w:space="0" w:color="auto"/>
              <w:left w:val="nil"/>
              <w:bottom w:val="single" w:sz="4" w:space="0" w:color="auto"/>
              <w:right w:val="single" w:sz="4" w:space="0" w:color="auto"/>
            </w:tcBorders>
            <w:shd w:val="clear" w:color="auto" w:fill="auto"/>
            <w:noWrap/>
            <w:vAlign w:val="center"/>
            <w:hideMark/>
          </w:tcPr>
          <w:p w14:paraId="3F1C149B" w14:textId="77777777" w:rsidR="00456BB5" w:rsidRPr="00456BB5" w:rsidRDefault="00456BB5" w:rsidP="00456BB5">
            <w:pPr>
              <w:ind w:left="0" w:right="0" w:firstLine="0"/>
              <w:jc w:val="left"/>
              <w:rPr>
                <w:sz w:val="20"/>
                <w:szCs w:val="20"/>
                <w:lang w:val="sr-Latn-RS" w:eastAsia="sr-Latn-RS"/>
              </w:rPr>
            </w:pPr>
            <w:r w:rsidRPr="00456BB5">
              <w:rPr>
                <w:sz w:val="20"/>
                <w:szCs w:val="20"/>
                <w:lang w:val="sr-Latn-RS" w:eastAsia="sr-Latn-RS"/>
              </w:rPr>
              <w:t xml:space="preserve">555-007-07215707-44 </w:t>
            </w:r>
            <w:proofErr w:type="spellStart"/>
            <w:r w:rsidRPr="00456BB5">
              <w:rPr>
                <w:sz w:val="20"/>
                <w:szCs w:val="20"/>
                <w:lang w:val="sr-Latn-RS" w:eastAsia="sr-Latn-RS"/>
              </w:rPr>
              <w:t>Рачун</w:t>
            </w:r>
            <w:proofErr w:type="spellEnd"/>
            <w:r w:rsidRPr="00456BB5">
              <w:rPr>
                <w:sz w:val="20"/>
                <w:szCs w:val="20"/>
                <w:lang w:val="sr-Latn-RS" w:eastAsia="sr-Latn-RS"/>
              </w:rPr>
              <w:t xml:space="preserve"> </w:t>
            </w:r>
            <w:proofErr w:type="spellStart"/>
            <w:r w:rsidRPr="00456BB5">
              <w:rPr>
                <w:sz w:val="20"/>
                <w:szCs w:val="20"/>
                <w:lang w:val="sr-Latn-RS" w:eastAsia="sr-Latn-RS"/>
              </w:rPr>
              <w:t>посебних</w:t>
            </w:r>
            <w:proofErr w:type="spellEnd"/>
            <w:r w:rsidRPr="00456BB5">
              <w:rPr>
                <w:sz w:val="20"/>
                <w:szCs w:val="20"/>
                <w:lang w:val="sr-Latn-RS" w:eastAsia="sr-Latn-RS"/>
              </w:rPr>
              <w:t xml:space="preserve"> </w:t>
            </w:r>
            <w:proofErr w:type="spellStart"/>
            <w:r w:rsidRPr="00456BB5">
              <w:rPr>
                <w:sz w:val="20"/>
                <w:szCs w:val="20"/>
                <w:lang w:val="sr-Latn-RS" w:eastAsia="sr-Latn-RS"/>
              </w:rPr>
              <w:t>намјена</w:t>
            </w:r>
            <w:proofErr w:type="spellEnd"/>
            <w:r w:rsidRPr="00456BB5">
              <w:rPr>
                <w:sz w:val="20"/>
                <w:szCs w:val="20"/>
                <w:lang w:val="sr-Latn-RS" w:eastAsia="sr-Latn-RS"/>
              </w:rPr>
              <w:t xml:space="preserve"> </w:t>
            </w:r>
            <w:proofErr w:type="spellStart"/>
            <w:r w:rsidRPr="00456BB5">
              <w:rPr>
                <w:sz w:val="20"/>
                <w:szCs w:val="20"/>
                <w:lang w:val="sr-Latn-RS" w:eastAsia="sr-Latn-RS"/>
              </w:rPr>
              <w:t>за</w:t>
            </w:r>
            <w:proofErr w:type="spellEnd"/>
            <w:r w:rsidRPr="00456BB5">
              <w:rPr>
                <w:sz w:val="20"/>
                <w:szCs w:val="20"/>
                <w:lang w:val="sr-Latn-RS" w:eastAsia="sr-Latn-RS"/>
              </w:rPr>
              <w:t xml:space="preserve"> ЛЕАП</w:t>
            </w:r>
          </w:p>
        </w:tc>
        <w:tc>
          <w:tcPr>
            <w:tcW w:w="1400" w:type="dxa"/>
            <w:tcBorders>
              <w:top w:val="nil"/>
              <w:left w:val="nil"/>
              <w:bottom w:val="single" w:sz="4" w:space="0" w:color="auto"/>
              <w:right w:val="nil"/>
            </w:tcBorders>
            <w:shd w:val="clear" w:color="000000" w:fill="FFFFFF"/>
            <w:noWrap/>
            <w:vAlign w:val="center"/>
            <w:hideMark/>
          </w:tcPr>
          <w:p w14:paraId="334F530E" w14:textId="77777777" w:rsidR="00456BB5" w:rsidRPr="00456BB5" w:rsidRDefault="00456BB5" w:rsidP="00456BB5">
            <w:pPr>
              <w:ind w:left="0" w:right="0" w:firstLine="0"/>
              <w:jc w:val="right"/>
              <w:rPr>
                <w:color w:val="000000"/>
                <w:sz w:val="20"/>
                <w:szCs w:val="20"/>
                <w:lang w:val="sr-Latn-RS" w:eastAsia="sr-Latn-RS"/>
              </w:rPr>
            </w:pPr>
            <w:r w:rsidRPr="00456BB5">
              <w:rPr>
                <w:color w:val="000000"/>
                <w:sz w:val="20"/>
                <w:szCs w:val="20"/>
                <w:lang w:val="sr-Latn-RS" w:eastAsia="sr-Latn-RS"/>
              </w:rPr>
              <w:t>109,53</w:t>
            </w:r>
          </w:p>
        </w:tc>
        <w:tc>
          <w:tcPr>
            <w:tcW w:w="1340" w:type="dxa"/>
            <w:tcBorders>
              <w:top w:val="nil"/>
              <w:left w:val="single" w:sz="4" w:space="0" w:color="auto"/>
              <w:bottom w:val="single" w:sz="4" w:space="0" w:color="auto"/>
              <w:right w:val="double" w:sz="6" w:space="0" w:color="auto"/>
            </w:tcBorders>
            <w:shd w:val="clear" w:color="auto" w:fill="auto"/>
            <w:noWrap/>
            <w:vAlign w:val="center"/>
            <w:hideMark/>
          </w:tcPr>
          <w:p w14:paraId="05320446" w14:textId="77777777" w:rsidR="00456BB5" w:rsidRPr="00456BB5" w:rsidRDefault="00456BB5" w:rsidP="00456BB5">
            <w:pPr>
              <w:ind w:left="0" w:right="0" w:firstLine="0"/>
              <w:jc w:val="right"/>
              <w:rPr>
                <w:color w:val="000000"/>
                <w:sz w:val="20"/>
                <w:szCs w:val="20"/>
                <w:lang w:val="sr-Latn-RS" w:eastAsia="sr-Latn-RS"/>
              </w:rPr>
            </w:pPr>
            <w:r w:rsidRPr="00456BB5">
              <w:rPr>
                <w:color w:val="000000"/>
                <w:sz w:val="20"/>
                <w:szCs w:val="20"/>
                <w:lang w:val="sr-Latn-RS" w:eastAsia="sr-Latn-RS"/>
              </w:rPr>
              <w:t>3.086,70</w:t>
            </w:r>
          </w:p>
        </w:tc>
      </w:tr>
      <w:tr w:rsidR="00456BB5" w:rsidRPr="00456BB5" w14:paraId="447C33D4" w14:textId="77777777" w:rsidTr="00456BB5">
        <w:trPr>
          <w:trHeight w:val="255"/>
        </w:trPr>
        <w:tc>
          <w:tcPr>
            <w:tcW w:w="640" w:type="dxa"/>
            <w:tcBorders>
              <w:top w:val="nil"/>
              <w:left w:val="double" w:sz="6" w:space="0" w:color="auto"/>
              <w:bottom w:val="single" w:sz="4" w:space="0" w:color="auto"/>
              <w:right w:val="single" w:sz="4" w:space="0" w:color="auto"/>
            </w:tcBorders>
            <w:shd w:val="clear" w:color="auto" w:fill="auto"/>
            <w:noWrap/>
            <w:vAlign w:val="center"/>
            <w:hideMark/>
          </w:tcPr>
          <w:p w14:paraId="62A4568D" w14:textId="77777777" w:rsidR="00456BB5" w:rsidRPr="00456BB5" w:rsidRDefault="00456BB5" w:rsidP="00456BB5">
            <w:pPr>
              <w:ind w:left="0" w:right="0" w:firstLine="0"/>
              <w:jc w:val="center"/>
              <w:rPr>
                <w:sz w:val="20"/>
                <w:szCs w:val="20"/>
                <w:lang w:val="sr-Latn-RS" w:eastAsia="sr-Latn-RS"/>
              </w:rPr>
            </w:pPr>
            <w:r w:rsidRPr="00456BB5">
              <w:rPr>
                <w:sz w:val="20"/>
                <w:szCs w:val="20"/>
                <w:lang w:val="sr-Latn-RS" w:eastAsia="sr-Latn-RS"/>
              </w:rPr>
              <w:t>6</w:t>
            </w:r>
          </w:p>
        </w:tc>
        <w:tc>
          <w:tcPr>
            <w:tcW w:w="5820" w:type="dxa"/>
            <w:tcBorders>
              <w:top w:val="single" w:sz="4" w:space="0" w:color="auto"/>
              <w:left w:val="nil"/>
              <w:bottom w:val="single" w:sz="4" w:space="0" w:color="auto"/>
              <w:right w:val="single" w:sz="4" w:space="0" w:color="auto"/>
            </w:tcBorders>
            <w:shd w:val="clear" w:color="auto" w:fill="auto"/>
            <w:noWrap/>
            <w:vAlign w:val="center"/>
            <w:hideMark/>
          </w:tcPr>
          <w:p w14:paraId="55995AA1" w14:textId="77777777" w:rsidR="00456BB5" w:rsidRPr="00456BB5" w:rsidRDefault="00456BB5" w:rsidP="00456BB5">
            <w:pPr>
              <w:ind w:left="0" w:right="0" w:firstLine="0"/>
              <w:jc w:val="left"/>
              <w:rPr>
                <w:sz w:val="20"/>
                <w:szCs w:val="20"/>
                <w:lang w:val="sr-Latn-RS" w:eastAsia="sr-Latn-RS"/>
              </w:rPr>
            </w:pPr>
            <w:r w:rsidRPr="00456BB5">
              <w:rPr>
                <w:sz w:val="20"/>
                <w:szCs w:val="20"/>
                <w:lang w:val="sr-Latn-RS" w:eastAsia="sr-Latn-RS"/>
              </w:rPr>
              <w:t xml:space="preserve">555-007-04215707-93 </w:t>
            </w:r>
            <w:proofErr w:type="spellStart"/>
            <w:r w:rsidRPr="00456BB5">
              <w:rPr>
                <w:sz w:val="20"/>
                <w:szCs w:val="20"/>
                <w:lang w:val="sr-Latn-RS" w:eastAsia="sr-Latn-RS"/>
              </w:rPr>
              <w:t>Рачун</w:t>
            </w:r>
            <w:proofErr w:type="spellEnd"/>
            <w:r w:rsidRPr="00456BB5">
              <w:rPr>
                <w:sz w:val="20"/>
                <w:szCs w:val="20"/>
                <w:lang w:val="sr-Latn-RS" w:eastAsia="sr-Latn-RS"/>
              </w:rPr>
              <w:t xml:space="preserve"> </w:t>
            </w:r>
            <w:proofErr w:type="spellStart"/>
            <w:r w:rsidRPr="00456BB5">
              <w:rPr>
                <w:sz w:val="20"/>
                <w:szCs w:val="20"/>
                <w:lang w:val="sr-Latn-RS" w:eastAsia="sr-Latn-RS"/>
              </w:rPr>
              <w:t>за</w:t>
            </w:r>
            <w:proofErr w:type="spellEnd"/>
            <w:r w:rsidRPr="00456BB5">
              <w:rPr>
                <w:sz w:val="20"/>
                <w:szCs w:val="20"/>
                <w:lang w:val="sr-Latn-RS" w:eastAsia="sr-Latn-RS"/>
              </w:rPr>
              <w:t xml:space="preserve"> </w:t>
            </w:r>
            <w:proofErr w:type="spellStart"/>
            <w:r w:rsidRPr="00456BB5">
              <w:rPr>
                <w:sz w:val="20"/>
                <w:szCs w:val="20"/>
                <w:lang w:val="sr-Latn-RS" w:eastAsia="sr-Latn-RS"/>
              </w:rPr>
              <w:t>средства</w:t>
            </w:r>
            <w:proofErr w:type="spellEnd"/>
            <w:r w:rsidRPr="00456BB5">
              <w:rPr>
                <w:sz w:val="20"/>
                <w:szCs w:val="20"/>
                <w:lang w:val="sr-Latn-RS" w:eastAsia="sr-Latn-RS"/>
              </w:rPr>
              <w:t xml:space="preserve"> </w:t>
            </w:r>
            <w:proofErr w:type="spellStart"/>
            <w:r w:rsidRPr="00456BB5">
              <w:rPr>
                <w:sz w:val="20"/>
                <w:szCs w:val="20"/>
                <w:lang w:val="sr-Latn-RS" w:eastAsia="sr-Latn-RS"/>
              </w:rPr>
              <w:t>социјалне</w:t>
            </w:r>
            <w:proofErr w:type="spellEnd"/>
            <w:r w:rsidRPr="00456BB5">
              <w:rPr>
                <w:sz w:val="20"/>
                <w:szCs w:val="20"/>
                <w:lang w:val="sr-Latn-RS" w:eastAsia="sr-Latn-RS"/>
              </w:rPr>
              <w:t xml:space="preserve"> </w:t>
            </w:r>
            <w:proofErr w:type="spellStart"/>
            <w:r w:rsidRPr="00456BB5">
              <w:rPr>
                <w:sz w:val="20"/>
                <w:szCs w:val="20"/>
                <w:lang w:val="sr-Latn-RS" w:eastAsia="sr-Latn-RS"/>
              </w:rPr>
              <w:t>заштите</w:t>
            </w:r>
            <w:proofErr w:type="spellEnd"/>
          </w:p>
        </w:tc>
        <w:tc>
          <w:tcPr>
            <w:tcW w:w="1400" w:type="dxa"/>
            <w:tcBorders>
              <w:top w:val="nil"/>
              <w:left w:val="nil"/>
              <w:bottom w:val="single" w:sz="4" w:space="0" w:color="auto"/>
              <w:right w:val="nil"/>
            </w:tcBorders>
            <w:shd w:val="clear" w:color="000000" w:fill="FFFFFF"/>
            <w:noWrap/>
            <w:vAlign w:val="center"/>
            <w:hideMark/>
          </w:tcPr>
          <w:p w14:paraId="7736B28B" w14:textId="77777777" w:rsidR="00456BB5" w:rsidRPr="00456BB5" w:rsidRDefault="00456BB5" w:rsidP="00456BB5">
            <w:pPr>
              <w:ind w:left="0" w:right="0" w:firstLine="0"/>
              <w:jc w:val="right"/>
              <w:rPr>
                <w:color w:val="000000"/>
                <w:sz w:val="20"/>
                <w:szCs w:val="20"/>
                <w:lang w:val="sr-Latn-RS" w:eastAsia="sr-Latn-RS"/>
              </w:rPr>
            </w:pPr>
            <w:r w:rsidRPr="00456BB5">
              <w:rPr>
                <w:color w:val="000000"/>
                <w:sz w:val="20"/>
                <w:szCs w:val="20"/>
                <w:lang w:val="sr-Latn-RS" w:eastAsia="sr-Latn-RS"/>
              </w:rPr>
              <w:t>8.798,92</w:t>
            </w:r>
          </w:p>
        </w:tc>
        <w:tc>
          <w:tcPr>
            <w:tcW w:w="1340" w:type="dxa"/>
            <w:tcBorders>
              <w:top w:val="nil"/>
              <w:left w:val="single" w:sz="4" w:space="0" w:color="auto"/>
              <w:bottom w:val="single" w:sz="4" w:space="0" w:color="auto"/>
              <w:right w:val="double" w:sz="6" w:space="0" w:color="auto"/>
            </w:tcBorders>
            <w:shd w:val="clear" w:color="auto" w:fill="auto"/>
            <w:noWrap/>
            <w:vAlign w:val="center"/>
            <w:hideMark/>
          </w:tcPr>
          <w:p w14:paraId="086C7975" w14:textId="77777777" w:rsidR="00456BB5" w:rsidRPr="00456BB5" w:rsidRDefault="00456BB5" w:rsidP="00456BB5">
            <w:pPr>
              <w:ind w:left="0" w:right="0" w:firstLine="0"/>
              <w:jc w:val="right"/>
              <w:rPr>
                <w:color w:val="000000"/>
                <w:sz w:val="20"/>
                <w:szCs w:val="20"/>
                <w:lang w:val="sr-Latn-RS" w:eastAsia="sr-Latn-RS"/>
              </w:rPr>
            </w:pPr>
            <w:r w:rsidRPr="00456BB5">
              <w:rPr>
                <w:color w:val="000000"/>
                <w:sz w:val="20"/>
                <w:szCs w:val="20"/>
                <w:lang w:val="sr-Latn-RS" w:eastAsia="sr-Latn-RS"/>
              </w:rPr>
              <w:t>9.270,36</w:t>
            </w:r>
          </w:p>
        </w:tc>
      </w:tr>
      <w:tr w:rsidR="00456BB5" w:rsidRPr="00456BB5" w14:paraId="2B5BF9B6" w14:textId="77777777" w:rsidTr="00456BB5">
        <w:trPr>
          <w:trHeight w:val="255"/>
        </w:trPr>
        <w:tc>
          <w:tcPr>
            <w:tcW w:w="640" w:type="dxa"/>
            <w:tcBorders>
              <w:top w:val="nil"/>
              <w:left w:val="double" w:sz="6" w:space="0" w:color="auto"/>
              <w:bottom w:val="nil"/>
              <w:right w:val="single" w:sz="4" w:space="0" w:color="auto"/>
            </w:tcBorders>
            <w:shd w:val="clear" w:color="auto" w:fill="auto"/>
            <w:noWrap/>
            <w:vAlign w:val="center"/>
            <w:hideMark/>
          </w:tcPr>
          <w:p w14:paraId="6BDD19F0" w14:textId="77777777" w:rsidR="00456BB5" w:rsidRPr="00456BB5" w:rsidRDefault="00456BB5" w:rsidP="00456BB5">
            <w:pPr>
              <w:ind w:left="0" w:right="0" w:firstLine="0"/>
              <w:jc w:val="center"/>
              <w:rPr>
                <w:sz w:val="20"/>
                <w:szCs w:val="20"/>
                <w:lang w:val="sr-Latn-RS" w:eastAsia="sr-Latn-RS"/>
              </w:rPr>
            </w:pPr>
            <w:r w:rsidRPr="00456BB5">
              <w:rPr>
                <w:sz w:val="20"/>
                <w:szCs w:val="20"/>
                <w:lang w:val="sr-Latn-RS" w:eastAsia="sr-Latn-RS"/>
              </w:rPr>
              <w:t>7</w:t>
            </w:r>
          </w:p>
        </w:tc>
        <w:tc>
          <w:tcPr>
            <w:tcW w:w="5820" w:type="dxa"/>
            <w:tcBorders>
              <w:top w:val="single" w:sz="4" w:space="0" w:color="auto"/>
              <w:left w:val="nil"/>
              <w:bottom w:val="single" w:sz="4" w:space="0" w:color="auto"/>
              <w:right w:val="single" w:sz="4" w:space="0" w:color="000000"/>
            </w:tcBorders>
            <w:shd w:val="clear" w:color="auto" w:fill="auto"/>
            <w:noWrap/>
            <w:vAlign w:val="center"/>
            <w:hideMark/>
          </w:tcPr>
          <w:p w14:paraId="1C3908CC" w14:textId="77777777" w:rsidR="00456BB5" w:rsidRPr="00456BB5" w:rsidRDefault="00456BB5" w:rsidP="00456BB5">
            <w:pPr>
              <w:ind w:left="0" w:right="0" w:firstLine="0"/>
              <w:jc w:val="left"/>
              <w:rPr>
                <w:sz w:val="20"/>
                <w:szCs w:val="20"/>
                <w:lang w:val="sr-Latn-RS" w:eastAsia="sr-Latn-RS"/>
              </w:rPr>
            </w:pPr>
            <w:r w:rsidRPr="00456BB5">
              <w:rPr>
                <w:sz w:val="20"/>
                <w:szCs w:val="20"/>
                <w:lang w:val="sr-Latn-RS" w:eastAsia="sr-Latn-RS"/>
              </w:rPr>
              <w:t xml:space="preserve">555-007-06215707-28 </w:t>
            </w:r>
            <w:proofErr w:type="spellStart"/>
            <w:r w:rsidRPr="00456BB5">
              <w:rPr>
                <w:sz w:val="20"/>
                <w:szCs w:val="20"/>
                <w:lang w:val="sr-Latn-RS" w:eastAsia="sr-Latn-RS"/>
              </w:rPr>
              <w:t>Рачун</w:t>
            </w:r>
            <w:proofErr w:type="spellEnd"/>
            <w:r w:rsidRPr="00456BB5">
              <w:rPr>
                <w:sz w:val="20"/>
                <w:szCs w:val="20"/>
                <w:lang w:val="sr-Latn-RS" w:eastAsia="sr-Latn-RS"/>
              </w:rPr>
              <w:t xml:space="preserve"> </w:t>
            </w:r>
            <w:proofErr w:type="spellStart"/>
            <w:r w:rsidRPr="00456BB5">
              <w:rPr>
                <w:sz w:val="20"/>
                <w:szCs w:val="20"/>
                <w:lang w:val="sr-Latn-RS" w:eastAsia="sr-Latn-RS"/>
              </w:rPr>
              <w:t>за</w:t>
            </w:r>
            <w:proofErr w:type="spellEnd"/>
            <w:r w:rsidRPr="00456BB5">
              <w:rPr>
                <w:sz w:val="20"/>
                <w:szCs w:val="20"/>
                <w:lang w:val="sr-Latn-RS" w:eastAsia="sr-Latn-RS"/>
              </w:rPr>
              <w:t xml:space="preserve"> </w:t>
            </w:r>
            <w:proofErr w:type="spellStart"/>
            <w:r w:rsidRPr="00456BB5">
              <w:rPr>
                <w:sz w:val="20"/>
                <w:szCs w:val="20"/>
                <w:lang w:val="sr-Latn-RS" w:eastAsia="sr-Latn-RS"/>
              </w:rPr>
              <w:t>шуме</w:t>
            </w:r>
            <w:proofErr w:type="spellEnd"/>
          </w:p>
        </w:tc>
        <w:tc>
          <w:tcPr>
            <w:tcW w:w="1400" w:type="dxa"/>
            <w:tcBorders>
              <w:top w:val="nil"/>
              <w:left w:val="nil"/>
              <w:bottom w:val="nil"/>
              <w:right w:val="nil"/>
            </w:tcBorders>
            <w:shd w:val="clear" w:color="000000" w:fill="FFFFFF"/>
            <w:noWrap/>
            <w:vAlign w:val="center"/>
            <w:hideMark/>
          </w:tcPr>
          <w:p w14:paraId="53133048" w14:textId="77777777" w:rsidR="00456BB5" w:rsidRPr="00456BB5" w:rsidRDefault="00456BB5" w:rsidP="00456BB5">
            <w:pPr>
              <w:ind w:left="0" w:right="0" w:firstLine="0"/>
              <w:jc w:val="right"/>
              <w:rPr>
                <w:color w:val="000000"/>
                <w:sz w:val="20"/>
                <w:szCs w:val="20"/>
                <w:lang w:val="sr-Latn-RS" w:eastAsia="sr-Latn-RS"/>
              </w:rPr>
            </w:pPr>
            <w:r w:rsidRPr="00456BB5">
              <w:rPr>
                <w:color w:val="000000"/>
                <w:sz w:val="20"/>
                <w:szCs w:val="20"/>
                <w:lang w:val="sr-Latn-RS" w:eastAsia="sr-Latn-RS"/>
              </w:rPr>
              <w:t>60.955,00</w:t>
            </w:r>
          </w:p>
        </w:tc>
        <w:tc>
          <w:tcPr>
            <w:tcW w:w="1340" w:type="dxa"/>
            <w:tcBorders>
              <w:top w:val="nil"/>
              <w:left w:val="single" w:sz="4" w:space="0" w:color="auto"/>
              <w:bottom w:val="nil"/>
              <w:right w:val="double" w:sz="6" w:space="0" w:color="auto"/>
            </w:tcBorders>
            <w:shd w:val="clear" w:color="auto" w:fill="auto"/>
            <w:noWrap/>
            <w:vAlign w:val="center"/>
            <w:hideMark/>
          </w:tcPr>
          <w:p w14:paraId="22302083" w14:textId="77777777" w:rsidR="00456BB5" w:rsidRPr="00456BB5" w:rsidRDefault="00456BB5" w:rsidP="00456BB5">
            <w:pPr>
              <w:ind w:left="0" w:right="0" w:firstLine="0"/>
              <w:jc w:val="right"/>
              <w:rPr>
                <w:color w:val="000000"/>
                <w:sz w:val="20"/>
                <w:szCs w:val="20"/>
                <w:lang w:val="sr-Latn-RS" w:eastAsia="sr-Latn-RS"/>
              </w:rPr>
            </w:pPr>
            <w:r w:rsidRPr="00456BB5">
              <w:rPr>
                <w:color w:val="000000"/>
                <w:sz w:val="20"/>
                <w:szCs w:val="20"/>
                <w:lang w:val="sr-Latn-RS" w:eastAsia="sr-Latn-RS"/>
              </w:rPr>
              <w:t>76.334,84</w:t>
            </w:r>
          </w:p>
        </w:tc>
      </w:tr>
      <w:tr w:rsidR="00456BB5" w:rsidRPr="00456BB5" w14:paraId="783AFE3C" w14:textId="77777777" w:rsidTr="00456BB5">
        <w:trPr>
          <w:trHeight w:val="255"/>
        </w:trPr>
        <w:tc>
          <w:tcPr>
            <w:tcW w:w="640" w:type="dxa"/>
            <w:tcBorders>
              <w:top w:val="single" w:sz="4" w:space="0" w:color="auto"/>
              <w:left w:val="double" w:sz="6" w:space="0" w:color="auto"/>
              <w:bottom w:val="nil"/>
              <w:right w:val="single" w:sz="4" w:space="0" w:color="auto"/>
            </w:tcBorders>
            <w:shd w:val="clear" w:color="auto" w:fill="auto"/>
            <w:noWrap/>
            <w:vAlign w:val="center"/>
            <w:hideMark/>
          </w:tcPr>
          <w:p w14:paraId="028796D5" w14:textId="77777777" w:rsidR="00456BB5" w:rsidRPr="00456BB5" w:rsidRDefault="00456BB5" w:rsidP="00456BB5">
            <w:pPr>
              <w:ind w:left="0" w:right="0" w:firstLine="0"/>
              <w:jc w:val="center"/>
              <w:rPr>
                <w:sz w:val="20"/>
                <w:szCs w:val="20"/>
                <w:lang w:val="sr-Latn-RS" w:eastAsia="sr-Latn-RS"/>
              </w:rPr>
            </w:pPr>
            <w:r w:rsidRPr="00456BB5">
              <w:rPr>
                <w:sz w:val="20"/>
                <w:szCs w:val="20"/>
                <w:lang w:val="sr-Latn-RS" w:eastAsia="sr-Latn-RS"/>
              </w:rPr>
              <w:t>8</w:t>
            </w:r>
          </w:p>
        </w:tc>
        <w:tc>
          <w:tcPr>
            <w:tcW w:w="5820" w:type="dxa"/>
            <w:tcBorders>
              <w:top w:val="single" w:sz="4" w:space="0" w:color="auto"/>
              <w:left w:val="nil"/>
              <w:bottom w:val="single" w:sz="4" w:space="0" w:color="auto"/>
              <w:right w:val="single" w:sz="4" w:space="0" w:color="000000"/>
            </w:tcBorders>
            <w:shd w:val="clear" w:color="auto" w:fill="auto"/>
            <w:vAlign w:val="center"/>
            <w:hideMark/>
          </w:tcPr>
          <w:p w14:paraId="26B22972" w14:textId="77777777" w:rsidR="00456BB5" w:rsidRPr="00456BB5" w:rsidRDefault="00456BB5" w:rsidP="00456BB5">
            <w:pPr>
              <w:ind w:left="0" w:right="0" w:firstLine="0"/>
              <w:jc w:val="left"/>
              <w:rPr>
                <w:sz w:val="20"/>
                <w:szCs w:val="20"/>
                <w:lang w:val="sr-Latn-RS" w:eastAsia="sr-Latn-RS"/>
              </w:rPr>
            </w:pPr>
            <w:r w:rsidRPr="00456BB5">
              <w:rPr>
                <w:sz w:val="20"/>
                <w:szCs w:val="20"/>
                <w:lang w:val="sr-Latn-RS" w:eastAsia="sr-Latn-RS"/>
              </w:rPr>
              <w:t xml:space="preserve">555-100-00393596-58 </w:t>
            </w:r>
            <w:proofErr w:type="spellStart"/>
            <w:r w:rsidRPr="00456BB5">
              <w:rPr>
                <w:sz w:val="20"/>
                <w:szCs w:val="20"/>
                <w:lang w:val="sr-Latn-RS" w:eastAsia="sr-Latn-RS"/>
              </w:rPr>
              <w:t>Рачун</w:t>
            </w:r>
            <w:proofErr w:type="spellEnd"/>
            <w:r w:rsidRPr="00456BB5">
              <w:rPr>
                <w:sz w:val="20"/>
                <w:szCs w:val="20"/>
                <w:lang w:val="sr-Latn-RS" w:eastAsia="sr-Latn-RS"/>
              </w:rPr>
              <w:t xml:space="preserve"> </w:t>
            </w:r>
            <w:proofErr w:type="spellStart"/>
            <w:r w:rsidRPr="00456BB5">
              <w:rPr>
                <w:sz w:val="20"/>
                <w:szCs w:val="20"/>
                <w:lang w:val="sr-Latn-RS" w:eastAsia="sr-Latn-RS"/>
              </w:rPr>
              <w:t>посебних</w:t>
            </w:r>
            <w:proofErr w:type="spellEnd"/>
            <w:r w:rsidRPr="00456BB5">
              <w:rPr>
                <w:sz w:val="20"/>
                <w:szCs w:val="20"/>
                <w:lang w:val="sr-Latn-RS" w:eastAsia="sr-Latn-RS"/>
              </w:rPr>
              <w:t xml:space="preserve"> </w:t>
            </w:r>
            <w:proofErr w:type="spellStart"/>
            <w:r w:rsidRPr="00456BB5">
              <w:rPr>
                <w:sz w:val="20"/>
                <w:szCs w:val="20"/>
                <w:lang w:val="sr-Latn-RS" w:eastAsia="sr-Latn-RS"/>
              </w:rPr>
              <w:t>намјена</w:t>
            </w:r>
            <w:proofErr w:type="spellEnd"/>
            <w:r w:rsidRPr="00456BB5">
              <w:rPr>
                <w:sz w:val="20"/>
                <w:szCs w:val="20"/>
                <w:lang w:val="sr-Latn-RS" w:eastAsia="sr-Latn-RS"/>
              </w:rPr>
              <w:t xml:space="preserve"> </w:t>
            </w:r>
            <w:proofErr w:type="spellStart"/>
            <w:r w:rsidRPr="00456BB5">
              <w:rPr>
                <w:sz w:val="20"/>
                <w:szCs w:val="20"/>
                <w:lang w:val="sr-Latn-RS" w:eastAsia="sr-Latn-RS"/>
              </w:rPr>
              <w:t>за</w:t>
            </w:r>
            <w:proofErr w:type="spellEnd"/>
            <w:r w:rsidRPr="00456BB5">
              <w:rPr>
                <w:sz w:val="20"/>
                <w:szCs w:val="20"/>
                <w:lang w:val="sr-Latn-RS" w:eastAsia="sr-Latn-RS"/>
              </w:rPr>
              <w:t xml:space="preserve"> МЕГ/УНДП </w:t>
            </w:r>
            <w:proofErr w:type="spellStart"/>
            <w:r w:rsidRPr="00456BB5">
              <w:rPr>
                <w:sz w:val="20"/>
                <w:szCs w:val="20"/>
                <w:lang w:val="sr-Latn-RS" w:eastAsia="sr-Latn-RS"/>
              </w:rPr>
              <w:t>пројекат</w:t>
            </w:r>
            <w:proofErr w:type="spellEnd"/>
          </w:p>
        </w:tc>
        <w:tc>
          <w:tcPr>
            <w:tcW w:w="1400" w:type="dxa"/>
            <w:tcBorders>
              <w:top w:val="single" w:sz="4" w:space="0" w:color="auto"/>
              <w:left w:val="nil"/>
              <w:bottom w:val="nil"/>
              <w:right w:val="nil"/>
            </w:tcBorders>
            <w:shd w:val="clear" w:color="000000" w:fill="FFFFFF"/>
            <w:noWrap/>
            <w:vAlign w:val="center"/>
            <w:hideMark/>
          </w:tcPr>
          <w:p w14:paraId="1BECB982" w14:textId="77777777" w:rsidR="00456BB5" w:rsidRPr="00456BB5" w:rsidRDefault="00456BB5" w:rsidP="00456BB5">
            <w:pPr>
              <w:ind w:left="0" w:right="0" w:firstLine="0"/>
              <w:jc w:val="right"/>
              <w:rPr>
                <w:color w:val="000000"/>
                <w:sz w:val="20"/>
                <w:szCs w:val="20"/>
                <w:lang w:val="sr-Latn-RS" w:eastAsia="sr-Latn-RS"/>
              </w:rPr>
            </w:pPr>
            <w:r w:rsidRPr="00456BB5">
              <w:rPr>
                <w:color w:val="000000"/>
                <w:sz w:val="20"/>
                <w:szCs w:val="20"/>
                <w:lang w:val="sr-Latn-RS" w:eastAsia="sr-Latn-RS"/>
              </w:rPr>
              <w:t>0,00</w:t>
            </w:r>
          </w:p>
        </w:tc>
        <w:tc>
          <w:tcPr>
            <w:tcW w:w="1340" w:type="dxa"/>
            <w:tcBorders>
              <w:top w:val="single" w:sz="4" w:space="0" w:color="auto"/>
              <w:left w:val="single" w:sz="4" w:space="0" w:color="auto"/>
              <w:bottom w:val="nil"/>
              <w:right w:val="double" w:sz="6" w:space="0" w:color="auto"/>
            </w:tcBorders>
            <w:shd w:val="clear" w:color="auto" w:fill="auto"/>
            <w:noWrap/>
            <w:vAlign w:val="center"/>
            <w:hideMark/>
          </w:tcPr>
          <w:p w14:paraId="63957875" w14:textId="77777777" w:rsidR="00456BB5" w:rsidRPr="00456BB5" w:rsidRDefault="00456BB5" w:rsidP="00456BB5">
            <w:pPr>
              <w:ind w:left="0" w:right="0" w:firstLine="0"/>
              <w:jc w:val="right"/>
              <w:rPr>
                <w:color w:val="000000"/>
                <w:sz w:val="20"/>
                <w:szCs w:val="20"/>
                <w:lang w:val="sr-Latn-RS" w:eastAsia="sr-Latn-RS"/>
              </w:rPr>
            </w:pPr>
            <w:r w:rsidRPr="00456BB5">
              <w:rPr>
                <w:color w:val="000000"/>
                <w:sz w:val="20"/>
                <w:szCs w:val="20"/>
                <w:lang w:val="sr-Latn-RS" w:eastAsia="sr-Latn-RS"/>
              </w:rPr>
              <w:t>0,00</w:t>
            </w:r>
          </w:p>
        </w:tc>
      </w:tr>
      <w:tr w:rsidR="00456BB5" w:rsidRPr="00456BB5" w14:paraId="36FC9004" w14:textId="77777777" w:rsidTr="00456BB5">
        <w:trPr>
          <w:trHeight w:val="270"/>
        </w:trPr>
        <w:tc>
          <w:tcPr>
            <w:tcW w:w="640" w:type="dxa"/>
            <w:tcBorders>
              <w:top w:val="single" w:sz="4" w:space="0" w:color="auto"/>
              <w:left w:val="double" w:sz="6" w:space="0" w:color="auto"/>
              <w:bottom w:val="single" w:sz="8" w:space="0" w:color="auto"/>
              <w:right w:val="single" w:sz="4" w:space="0" w:color="auto"/>
            </w:tcBorders>
            <w:shd w:val="clear" w:color="auto" w:fill="auto"/>
            <w:noWrap/>
            <w:vAlign w:val="center"/>
            <w:hideMark/>
          </w:tcPr>
          <w:p w14:paraId="0A384CEB" w14:textId="77777777" w:rsidR="00456BB5" w:rsidRPr="00456BB5" w:rsidRDefault="00456BB5" w:rsidP="00456BB5">
            <w:pPr>
              <w:ind w:left="0" w:right="0" w:firstLine="0"/>
              <w:jc w:val="center"/>
              <w:rPr>
                <w:sz w:val="20"/>
                <w:szCs w:val="20"/>
                <w:lang w:val="sr-Latn-RS" w:eastAsia="sr-Latn-RS"/>
              </w:rPr>
            </w:pPr>
            <w:r w:rsidRPr="00456BB5">
              <w:rPr>
                <w:sz w:val="20"/>
                <w:szCs w:val="20"/>
                <w:lang w:val="sr-Latn-RS" w:eastAsia="sr-Latn-RS"/>
              </w:rPr>
              <w:t>9</w:t>
            </w:r>
          </w:p>
        </w:tc>
        <w:tc>
          <w:tcPr>
            <w:tcW w:w="5820" w:type="dxa"/>
            <w:tcBorders>
              <w:top w:val="single" w:sz="4" w:space="0" w:color="auto"/>
              <w:left w:val="nil"/>
              <w:bottom w:val="nil"/>
              <w:right w:val="single" w:sz="4" w:space="0" w:color="000000"/>
            </w:tcBorders>
            <w:shd w:val="clear" w:color="auto" w:fill="auto"/>
            <w:noWrap/>
            <w:vAlign w:val="center"/>
            <w:hideMark/>
          </w:tcPr>
          <w:p w14:paraId="2CEB966F" w14:textId="77777777" w:rsidR="00456BB5" w:rsidRPr="00456BB5" w:rsidRDefault="00456BB5" w:rsidP="00456BB5">
            <w:pPr>
              <w:ind w:left="0" w:right="0" w:firstLine="0"/>
              <w:jc w:val="left"/>
              <w:rPr>
                <w:sz w:val="20"/>
                <w:szCs w:val="20"/>
                <w:lang w:val="sr-Latn-RS" w:eastAsia="sr-Latn-RS"/>
              </w:rPr>
            </w:pPr>
            <w:r w:rsidRPr="00456BB5">
              <w:rPr>
                <w:sz w:val="20"/>
                <w:szCs w:val="20"/>
                <w:lang w:val="sr-Latn-RS" w:eastAsia="sr-Latn-RS"/>
              </w:rPr>
              <w:t xml:space="preserve">555-110-10002437-87 </w:t>
            </w:r>
            <w:proofErr w:type="spellStart"/>
            <w:r w:rsidRPr="00456BB5">
              <w:rPr>
                <w:sz w:val="20"/>
                <w:szCs w:val="20"/>
                <w:lang w:val="sr-Latn-RS" w:eastAsia="sr-Latn-RS"/>
              </w:rPr>
              <w:t>Девизни</w:t>
            </w:r>
            <w:proofErr w:type="spellEnd"/>
            <w:r w:rsidRPr="00456BB5">
              <w:rPr>
                <w:sz w:val="20"/>
                <w:szCs w:val="20"/>
                <w:lang w:val="sr-Latn-RS" w:eastAsia="sr-Latn-RS"/>
              </w:rPr>
              <w:t xml:space="preserve"> </w:t>
            </w:r>
            <w:proofErr w:type="spellStart"/>
            <w:r w:rsidRPr="00456BB5">
              <w:rPr>
                <w:sz w:val="20"/>
                <w:szCs w:val="20"/>
                <w:lang w:val="sr-Latn-RS" w:eastAsia="sr-Latn-RS"/>
              </w:rPr>
              <w:t>рачун</w:t>
            </w:r>
            <w:proofErr w:type="spellEnd"/>
          </w:p>
        </w:tc>
        <w:tc>
          <w:tcPr>
            <w:tcW w:w="1400" w:type="dxa"/>
            <w:tcBorders>
              <w:top w:val="single" w:sz="4" w:space="0" w:color="auto"/>
              <w:left w:val="nil"/>
              <w:bottom w:val="nil"/>
              <w:right w:val="nil"/>
            </w:tcBorders>
            <w:shd w:val="clear" w:color="000000" w:fill="FFFFFF"/>
            <w:noWrap/>
            <w:vAlign w:val="center"/>
            <w:hideMark/>
          </w:tcPr>
          <w:p w14:paraId="64F6E99A" w14:textId="77777777" w:rsidR="00456BB5" w:rsidRPr="00456BB5" w:rsidRDefault="00456BB5" w:rsidP="00456BB5">
            <w:pPr>
              <w:ind w:left="0" w:right="0" w:firstLine="0"/>
              <w:jc w:val="right"/>
              <w:rPr>
                <w:color w:val="000000"/>
                <w:sz w:val="20"/>
                <w:szCs w:val="20"/>
                <w:lang w:val="sr-Latn-RS" w:eastAsia="sr-Latn-RS"/>
              </w:rPr>
            </w:pPr>
            <w:r w:rsidRPr="00456BB5">
              <w:rPr>
                <w:color w:val="000000"/>
                <w:sz w:val="20"/>
                <w:szCs w:val="20"/>
                <w:lang w:val="sr-Latn-RS" w:eastAsia="sr-Latn-RS"/>
              </w:rPr>
              <w:t>14.380,06</w:t>
            </w:r>
          </w:p>
        </w:tc>
        <w:tc>
          <w:tcPr>
            <w:tcW w:w="1340" w:type="dxa"/>
            <w:tcBorders>
              <w:top w:val="single" w:sz="4" w:space="0" w:color="auto"/>
              <w:left w:val="single" w:sz="4" w:space="0" w:color="auto"/>
              <w:bottom w:val="single" w:sz="8" w:space="0" w:color="auto"/>
              <w:right w:val="double" w:sz="6" w:space="0" w:color="auto"/>
            </w:tcBorders>
            <w:shd w:val="clear" w:color="auto" w:fill="auto"/>
            <w:noWrap/>
            <w:vAlign w:val="center"/>
            <w:hideMark/>
          </w:tcPr>
          <w:p w14:paraId="6F6CAB82" w14:textId="77777777" w:rsidR="00456BB5" w:rsidRPr="00456BB5" w:rsidRDefault="00456BB5" w:rsidP="00456BB5">
            <w:pPr>
              <w:ind w:left="0" w:right="0" w:firstLine="0"/>
              <w:jc w:val="right"/>
              <w:rPr>
                <w:sz w:val="20"/>
                <w:szCs w:val="20"/>
                <w:lang w:val="sr-Latn-RS" w:eastAsia="sr-Latn-RS"/>
              </w:rPr>
            </w:pPr>
            <w:r w:rsidRPr="00456BB5">
              <w:rPr>
                <w:sz w:val="20"/>
                <w:szCs w:val="20"/>
                <w:lang w:val="sr-Latn-RS" w:eastAsia="sr-Latn-RS"/>
              </w:rPr>
              <w:t>2.676,71</w:t>
            </w:r>
          </w:p>
        </w:tc>
      </w:tr>
      <w:tr w:rsidR="00456BB5" w:rsidRPr="00456BB5" w14:paraId="621BB449" w14:textId="77777777" w:rsidTr="00456BB5">
        <w:trPr>
          <w:trHeight w:val="360"/>
        </w:trPr>
        <w:tc>
          <w:tcPr>
            <w:tcW w:w="6460" w:type="dxa"/>
            <w:gridSpan w:val="2"/>
            <w:tcBorders>
              <w:top w:val="single" w:sz="8" w:space="0" w:color="auto"/>
              <w:left w:val="double" w:sz="6" w:space="0" w:color="auto"/>
              <w:bottom w:val="double" w:sz="6" w:space="0" w:color="auto"/>
              <w:right w:val="single" w:sz="4" w:space="0" w:color="auto"/>
            </w:tcBorders>
            <w:shd w:val="clear" w:color="auto" w:fill="auto"/>
            <w:noWrap/>
            <w:vAlign w:val="center"/>
            <w:hideMark/>
          </w:tcPr>
          <w:p w14:paraId="122DB19D" w14:textId="77777777" w:rsidR="00456BB5" w:rsidRPr="00456BB5" w:rsidRDefault="00456BB5" w:rsidP="00456BB5">
            <w:pPr>
              <w:ind w:left="0" w:right="0" w:firstLine="0"/>
              <w:jc w:val="center"/>
              <w:rPr>
                <w:b/>
                <w:bCs/>
                <w:sz w:val="20"/>
                <w:szCs w:val="20"/>
                <w:lang w:val="sr-Latn-RS" w:eastAsia="sr-Latn-RS"/>
              </w:rPr>
            </w:pPr>
            <w:r w:rsidRPr="00456BB5">
              <w:rPr>
                <w:b/>
                <w:bCs/>
                <w:sz w:val="20"/>
                <w:szCs w:val="20"/>
                <w:lang w:val="sr-Latn-RS" w:eastAsia="sr-Latn-RS"/>
              </w:rPr>
              <w:t>УКУПНО:</w:t>
            </w:r>
          </w:p>
        </w:tc>
        <w:tc>
          <w:tcPr>
            <w:tcW w:w="1400" w:type="dxa"/>
            <w:tcBorders>
              <w:top w:val="single" w:sz="8" w:space="0" w:color="auto"/>
              <w:left w:val="nil"/>
              <w:bottom w:val="double" w:sz="6" w:space="0" w:color="auto"/>
              <w:right w:val="single" w:sz="4" w:space="0" w:color="auto"/>
            </w:tcBorders>
            <w:shd w:val="clear" w:color="auto" w:fill="auto"/>
            <w:noWrap/>
            <w:vAlign w:val="center"/>
            <w:hideMark/>
          </w:tcPr>
          <w:p w14:paraId="7E03846F" w14:textId="77777777" w:rsidR="00456BB5" w:rsidRPr="00456BB5" w:rsidRDefault="00456BB5" w:rsidP="00456BB5">
            <w:pPr>
              <w:ind w:left="0" w:right="0" w:firstLine="0"/>
              <w:jc w:val="right"/>
              <w:rPr>
                <w:b/>
                <w:bCs/>
                <w:color w:val="000000"/>
                <w:sz w:val="20"/>
                <w:szCs w:val="20"/>
                <w:lang w:val="sr-Latn-RS" w:eastAsia="sr-Latn-RS"/>
              </w:rPr>
            </w:pPr>
            <w:r w:rsidRPr="00456BB5">
              <w:rPr>
                <w:b/>
                <w:bCs/>
                <w:color w:val="000000"/>
                <w:sz w:val="20"/>
                <w:szCs w:val="20"/>
                <w:lang w:val="sr-Latn-RS" w:eastAsia="sr-Latn-RS"/>
              </w:rPr>
              <w:t>957.607,95</w:t>
            </w:r>
          </w:p>
        </w:tc>
        <w:tc>
          <w:tcPr>
            <w:tcW w:w="1340" w:type="dxa"/>
            <w:tcBorders>
              <w:top w:val="nil"/>
              <w:left w:val="nil"/>
              <w:bottom w:val="double" w:sz="6" w:space="0" w:color="auto"/>
              <w:right w:val="double" w:sz="6" w:space="0" w:color="auto"/>
            </w:tcBorders>
            <w:shd w:val="clear" w:color="auto" w:fill="auto"/>
            <w:noWrap/>
            <w:vAlign w:val="center"/>
            <w:hideMark/>
          </w:tcPr>
          <w:p w14:paraId="67FCA390" w14:textId="77777777" w:rsidR="00456BB5" w:rsidRPr="00456BB5" w:rsidRDefault="00456BB5" w:rsidP="00456BB5">
            <w:pPr>
              <w:ind w:left="0" w:right="0" w:firstLine="0"/>
              <w:jc w:val="right"/>
              <w:rPr>
                <w:b/>
                <w:bCs/>
                <w:color w:val="000000"/>
                <w:sz w:val="20"/>
                <w:szCs w:val="20"/>
                <w:lang w:val="sr-Latn-RS" w:eastAsia="sr-Latn-RS"/>
              </w:rPr>
            </w:pPr>
            <w:r w:rsidRPr="00456BB5">
              <w:rPr>
                <w:b/>
                <w:bCs/>
                <w:color w:val="000000"/>
                <w:sz w:val="20"/>
                <w:szCs w:val="20"/>
                <w:lang w:val="sr-Latn-RS" w:eastAsia="sr-Latn-RS"/>
              </w:rPr>
              <w:t>560.325,36</w:t>
            </w:r>
          </w:p>
        </w:tc>
      </w:tr>
    </w:tbl>
    <w:p w14:paraId="5BE040B7" w14:textId="77777777" w:rsidR="00912AF6" w:rsidRPr="00456BB5" w:rsidRDefault="00912AF6" w:rsidP="00AF15A3">
      <w:pPr>
        <w:spacing w:before="120"/>
        <w:ind w:left="0" w:firstLine="0"/>
        <w:rPr>
          <w:b/>
          <w:bCs/>
          <w:sz w:val="28"/>
          <w:szCs w:val="28"/>
          <w:lang w:val="sr-Latn-RS"/>
        </w:rPr>
      </w:pPr>
    </w:p>
    <w:p w14:paraId="451F9169" w14:textId="77777777" w:rsidR="006642B7" w:rsidRDefault="006642B7" w:rsidP="006642B7">
      <w:pPr>
        <w:ind w:left="0" w:right="-792" w:firstLine="720"/>
        <w:rPr>
          <w:bCs/>
        </w:rPr>
      </w:pPr>
      <w:r w:rsidRPr="00E23062">
        <w:rPr>
          <w:b/>
          <w:bCs/>
        </w:rPr>
        <w:t>Јединствени рачун трезора</w:t>
      </w:r>
      <w:r>
        <w:rPr>
          <w:bCs/>
        </w:rPr>
        <w:t xml:space="preserve"> је рачун на који се вр</w:t>
      </w:r>
      <w:r w:rsidR="00AC27BE">
        <w:rPr>
          <w:bCs/>
        </w:rPr>
        <w:t>ше све уплате средстава на име о</w:t>
      </w:r>
      <w:r>
        <w:rPr>
          <w:bCs/>
        </w:rPr>
        <w:t xml:space="preserve">пштине Прњавор и са којег се врши плаћање свих буџетских издатака, осим прилива и одлива средстава чија се реализација по основу посебних прописа прати преко рачуна посебних </w:t>
      </w:r>
      <w:proofErr w:type="spellStart"/>
      <w:r>
        <w:rPr>
          <w:bCs/>
        </w:rPr>
        <w:t>намјена</w:t>
      </w:r>
      <w:proofErr w:type="spellEnd"/>
      <w:r>
        <w:rPr>
          <w:bCs/>
        </w:rPr>
        <w:t xml:space="preserve">. На Јединствени рачун трезора врши се дневно пражњење Рачуна јавних прихода општине </w:t>
      </w:r>
      <w:r>
        <w:rPr>
          <w:bCs/>
        </w:rPr>
        <w:lastRenderedPageBreak/>
        <w:t xml:space="preserve">Прњавор, на који порески обвезници врше уплате пореза и накнада који припадају општини Прњавор у 100% износу, затим на овај рачун се врши распоред јавних прихода који се у складу са Законом о буџетском систему РС </w:t>
      </w:r>
      <w:proofErr w:type="spellStart"/>
      <w:r>
        <w:rPr>
          <w:bCs/>
        </w:rPr>
        <w:t>дијеле</w:t>
      </w:r>
      <w:proofErr w:type="spellEnd"/>
      <w:r>
        <w:rPr>
          <w:bCs/>
        </w:rPr>
        <w:t xml:space="preserve"> између буџета Републике и буџета општина и градова, распоред припадајућег </w:t>
      </w:r>
      <w:proofErr w:type="spellStart"/>
      <w:r>
        <w:rPr>
          <w:bCs/>
        </w:rPr>
        <w:t>дијела</w:t>
      </w:r>
      <w:proofErr w:type="spellEnd"/>
      <w:r>
        <w:rPr>
          <w:bCs/>
        </w:rPr>
        <w:t xml:space="preserve"> </w:t>
      </w:r>
      <w:r w:rsidR="000A6525">
        <w:rPr>
          <w:bCs/>
        </w:rPr>
        <w:t>прихода од индиректних пореза са</w:t>
      </w:r>
      <w:r>
        <w:rPr>
          <w:bCs/>
        </w:rPr>
        <w:t xml:space="preserve"> рачуна Управе за индиректно опорезивање БиХ, уплата примитака за </w:t>
      </w:r>
      <w:proofErr w:type="spellStart"/>
      <w:r>
        <w:rPr>
          <w:bCs/>
        </w:rPr>
        <w:t>нефинансијску</w:t>
      </w:r>
      <w:proofErr w:type="spellEnd"/>
      <w:r>
        <w:rPr>
          <w:bCs/>
        </w:rPr>
        <w:t xml:space="preserve"> и</w:t>
      </w:r>
      <w:r w:rsidR="00AF1443">
        <w:rPr>
          <w:bCs/>
        </w:rPr>
        <w:t>мовину, примитака од задуживања</w:t>
      </w:r>
      <w:r>
        <w:rPr>
          <w:bCs/>
        </w:rPr>
        <w:t xml:space="preserve"> и осталих примитака.</w:t>
      </w:r>
    </w:p>
    <w:p w14:paraId="671A3652" w14:textId="77777777" w:rsidR="00B76953" w:rsidRDefault="006642B7" w:rsidP="00D7339A">
      <w:pPr>
        <w:spacing w:before="120"/>
        <w:ind w:left="0" w:firstLine="0"/>
        <w:rPr>
          <w:lang w:val="sr-Cyrl-BA"/>
        </w:rPr>
      </w:pPr>
      <w:r>
        <w:rPr>
          <w:bCs/>
        </w:rPr>
        <w:tab/>
      </w:r>
      <w:r w:rsidRPr="0050695F">
        <w:rPr>
          <w:b/>
          <w:bCs/>
        </w:rPr>
        <w:t xml:space="preserve">Рачун посебних </w:t>
      </w:r>
      <w:proofErr w:type="spellStart"/>
      <w:r w:rsidRPr="0050695F">
        <w:rPr>
          <w:b/>
          <w:bCs/>
        </w:rPr>
        <w:t>намјена</w:t>
      </w:r>
      <w:proofErr w:type="spellEnd"/>
      <w:r>
        <w:rPr>
          <w:bCs/>
        </w:rPr>
        <w:t xml:space="preserve"> је најзначајнији рачун из групе рачуна посебних </w:t>
      </w:r>
      <w:proofErr w:type="spellStart"/>
      <w:r>
        <w:rPr>
          <w:bCs/>
        </w:rPr>
        <w:t>намј</w:t>
      </w:r>
      <w:r w:rsidR="00871384">
        <w:rPr>
          <w:bCs/>
        </w:rPr>
        <w:t>ена</w:t>
      </w:r>
      <w:proofErr w:type="spellEnd"/>
      <w:r w:rsidR="00871384">
        <w:rPr>
          <w:bCs/>
        </w:rPr>
        <w:t>, и његово стање на дан 31.12</w:t>
      </w:r>
      <w:r w:rsidR="0040287B">
        <w:rPr>
          <w:bCs/>
        </w:rPr>
        <w:t>.2020</w:t>
      </w:r>
      <w:r>
        <w:rPr>
          <w:bCs/>
        </w:rPr>
        <w:t xml:space="preserve">. године износи </w:t>
      </w:r>
      <w:r w:rsidR="00871384">
        <w:rPr>
          <w:bCs/>
          <w:lang w:val="sr-Latn-RS"/>
        </w:rPr>
        <w:t>92.011,18</w:t>
      </w:r>
      <w:r>
        <w:rPr>
          <w:bCs/>
        </w:rPr>
        <w:t xml:space="preserve"> КМ. На овај рачун врше се све уплате средстава </w:t>
      </w:r>
      <w:proofErr w:type="spellStart"/>
      <w:r w:rsidR="00AC27BE">
        <w:rPr>
          <w:bCs/>
        </w:rPr>
        <w:t>намјенског</w:t>
      </w:r>
      <w:proofErr w:type="spellEnd"/>
      <w:r w:rsidR="00AC27BE">
        <w:rPr>
          <w:bCs/>
        </w:rPr>
        <w:t xml:space="preserve"> карактера одобрених о</w:t>
      </w:r>
      <w:r>
        <w:rPr>
          <w:bCs/>
        </w:rPr>
        <w:t xml:space="preserve">пштини Прњавор (грантови, трансфери од других јединица власти), укључујући и уплате одобрених средстава која нису била претходно планирана буџетом, као и праћење </w:t>
      </w:r>
      <w:proofErr w:type="spellStart"/>
      <w:r>
        <w:rPr>
          <w:bCs/>
        </w:rPr>
        <w:t>намјенског</w:t>
      </w:r>
      <w:proofErr w:type="spellEnd"/>
      <w:r>
        <w:rPr>
          <w:bCs/>
        </w:rPr>
        <w:t xml:space="preserve"> трошења наведених средстава. Највећи износ средстава на р</w:t>
      </w:r>
      <w:r w:rsidR="00AF1443">
        <w:rPr>
          <w:bCs/>
        </w:rPr>
        <w:t xml:space="preserve">ачуну посебних </w:t>
      </w:r>
      <w:proofErr w:type="spellStart"/>
      <w:r w:rsidR="00AF1443">
        <w:rPr>
          <w:bCs/>
        </w:rPr>
        <w:t>намјена</w:t>
      </w:r>
      <w:proofErr w:type="spellEnd"/>
      <w:r w:rsidR="00AF1443">
        <w:rPr>
          <w:bCs/>
        </w:rPr>
        <w:t xml:space="preserve"> на дан 3</w:t>
      </w:r>
      <w:r w:rsidR="00F05B4E">
        <w:rPr>
          <w:bCs/>
        </w:rPr>
        <w:t>1</w:t>
      </w:r>
      <w:r w:rsidR="0040287B">
        <w:rPr>
          <w:bCs/>
        </w:rPr>
        <w:t>.</w:t>
      </w:r>
      <w:r w:rsidR="00F05B4E">
        <w:rPr>
          <w:bCs/>
        </w:rPr>
        <w:t>12</w:t>
      </w:r>
      <w:r w:rsidR="0040287B">
        <w:rPr>
          <w:bCs/>
        </w:rPr>
        <w:t>.2020</w:t>
      </w:r>
      <w:r>
        <w:rPr>
          <w:bCs/>
        </w:rPr>
        <w:t xml:space="preserve">. године (износ од </w:t>
      </w:r>
      <w:r w:rsidR="00F05B4E">
        <w:rPr>
          <w:bCs/>
          <w:lang w:val="sr-Latn-RS"/>
        </w:rPr>
        <w:t>3</w:t>
      </w:r>
      <w:r w:rsidR="00125232">
        <w:rPr>
          <w:bCs/>
        </w:rPr>
        <w:t>0.000,00</w:t>
      </w:r>
      <w:r>
        <w:rPr>
          <w:bCs/>
        </w:rPr>
        <w:t xml:space="preserve"> КМ) односи се на </w:t>
      </w:r>
      <w:r w:rsidR="00F05B4E">
        <w:rPr>
          <w:bCs/>
          <w:lang w:val="sr-Cyrl-RS"/>
        </w:rPr>
        <w:t xml:space="preserve">средства учешћа </w:t>
      </w:r>
      <w:r w:rsidR="00F05B4E">
        <w:rPr>
          <w:bCs/>
        </w:rPr>
        <w:t>групе</w:t>
      </w:r>
      <w:r w:rsidR="00F05B4E" w:rsidRPr="00F05B4E">
        <w:rPr>
          <w:bCs/>
        </w:rPr>
        <w:t xml:space="preserve"> грађана МЗ </w:t>
      </w:r>
      <w:proofErr w:type="spellStart"/>
      <w:r w:rsidR="00F05B4E" w:rsidRPr="00F05B4E">
        <w:rPr>
          <w:bCs/>
        </w:rPr>
        <w:t>Бабановци</w:t>
      </w:r>
      <w:proofErr w:type="spellEnd"/>
      <w:r w:rsidR="00F05B4E" w:rsidRPr="00F05B4E">
        <w:rPr>
          <w:bCs/>
        </w:rPr>
        <w:t xml:space="preserve"> </w:t>
      </w:r>
      <w:r w:rsidR="00F05B4E">
        <w:rPr>
          <w:bCs/>
          <w:lang w:val="sr-Cyrl-RS"/>
        </w:rPr>
        <w:t>у</w:t>
      </w:r>
      <w:r w:rsidR="0015693F">
        <w:rPr>
          <w:bCs/>
        </w:rPr>
        <w:t xml:space="preserve"> реконструкцији</w:t>
      </w:r>
      <w:r w:rsidR="00F05B4E" w:rsidRPr="00F05B4E">
        <w:rPr>
          <w:bCs/>
        </w:rPr>
        <w:t xml:space="preserve"> локалног пута </w:t>
      </w:r>
      <w:proofErr w:type="spellStart"/>
      <w:r w:rsidR="00F05B4E" w:rsidRPr="00F05B4E">
        <w:rPr>
          <w:bCs/>
        </w:rPr>
        <w:t>Бабановци</w:t>
      </w:r>
      <w:proofErr w:type="spellEnd"/>
      <w:r w:rsidR="00F05B4E" w:rsidRPr="00F05B4E">
        <w:rPr>
          <w:bCs/>
        </w:rPr>
        <w:t>-џамија</w:t>
      </w:r>
      <w:r w:rsidR="00F05B4E">
        <w:rPr>
          <w:bCs/>
          <w:lang w:val="sr-Cyrl-RS"/>
        </w:rPr>
        <w:t xml:space="preserve">. Ова средства су реализована у 2020. години, али је </w:t>
      </w:r>
      <w:r w:rsidR="007B25AE">
        <w:rPr>
          <w:bCs/>
          <w:lang w:val="sr-Cyrl-RS"/>
        </w:rPr>
        <w:t>гре</w:t>
      </w:r>
      <w:r w:rsidR="00F05B4E">
        <w:rPr>
          <w:bCs/>
          <w:lang w:val="sr-Cyrl-RS"/>
        </w:rPr>
        <w:t xml:space="preserve">шком плаћање рачуна извршено са Јединственог рачуна трезора, те су након уочене грешке средства са рачуна посебних </w:t>
      </w:r>
      <w:proofErr w:type="spellStart"/>
      <w:r w:rsidR="00F05B4E">
        <w:rPr>
          <w:bCs/>
          <w:lang w:val="sr-Cyrl-RS"/>
        </w:rPr>
        <w:t>намјена</w:t>
      </w:r>
      <w:proofErr w:type="spellEnd"/>
      <w:r w:rsidR="00F05B4E">
        <w:rPr>
          <w:bCs/>
          <w:lang w:val="sr-Cyrl-RS"/>
        </w:rPr>
        <w:t xml:space="preserve"> враћена на трезор у јануару 2021. године. Преостала средства на рачуну посебних </w:t>
      </w:r>
      <w:proofErr w:type="spellStart"/>
      <w:r w:rsidR="00F05B4E">
        <w:rPr>
          <w:bCs/>
          <w:lang w:val="sr-Cyrl-RS"/>
        </w:rPr>
        <w:t>намјена</w:t>
      </w:r>
      <w:proofErr w:type="spellEnd"/>
      <w:r w:rsidR="00F05B4E">
        <w:rPr>
          <w:bCs/>
          <w:lang w:val="sr-Cyrl-RS"/>
        </w:rPr>
        <w:t xml:space="preserve"> односе се на т</w:t>
      </w:r>
      <w:r w:rsidR="00F05B4E" w:rsidRPr="00F05B4E">
        <w:rPr>
          <w:bCs/>
          <w:lang w:val="sr-Cyrl-RS"/>
        </w:rPr>
        <w:t xml:space="preserve">рансфер Министарства </w:t>
      </w:r>
      <w:proofErr w:type="spellStart"/>
      <w:r w:rsidR="00F05B4E" w:rsidRPr="00F05B4E">
        <w:rPr>
          <w:bCs/>
          <w:lang w:val="sr-Cyrl-RS"/>
        </w:rPr>
        <w:t>просвјете</w:t>
      </w:r>
      <w:proofErr w:type="spellEnd"/>
      <w:r w:rsidR="00F05B4E" w:rsidRPr="00F05B4E">
        <w:rPr>
          <w:bCs/>
          <w:lang w:val="sr-Cyrl-RS"/>
        </w:rPr>
        <w:t xml:space="preserve"> и културе РС за санацију крова ОШ "Вук Караџић" Доњи </w:t>
      </w:r>
      <w:proofErr w:type="spellStart"/>
      <w:r w:rsidR="00F05B4E" w:rsidRPr="00F05B4E">
        <w:rPr>
          <w:bCs/>
          <w:lang w:val="sr-Cyrl-RS"/>
        </w:rPr>
        <w:t>Вијачани</w:t>
      </w:r>
      <w:proofErr w:type="spellEnd"/>
      <w:r w:rsidR="00F05B4E">
        <w:rPr>
          <w:bCs/>
          <w:lang w:val="sr-Cyrl-RS"/>
        </w:rPr>
        <w:t xml:space="preserve"> (29.600,00 КМ), </w:t>
      </w:r>
      <w:r w:rsidR="001E2DF4">
        <w:rPr>
          <w:bCs/>
        </w:rPr>
        <w:t xml:space="preserve">неутрошена средства </w:t>
      </w:r>
      <w:proofErr w:type="spellStart"/>
      <w:r w:rsidR="001E2DF4">
        <w:rPr>
          <w:bCs/>
        </w:rPr>
        <w:t>мјесних</w:t>
      </w:r>
      <w:proofErr w:type="spellEnd"/>
      <w:r w:rsidR="001E2DF4">
        <w:rPr>
          <w:bCs/>
        </w:rPr>
        <w:t xml:space="preserve"> заједница </w:t>
      </w:r>
      <w:r w:rsidR="001E2DF4" w:rsidRPr="00D716F5">
        <w:rPr>
          <w:bCs/>
        </w:rPr>
        <w:t>пренесена</w:t>
      </w:r>
      <w:r w:rsidR="001E2DF4">
        <w:rPr>
          <w:bCs/>
        </w:rPr>
        <w:t xml:space="preserve"> на рачун посебних </w:t>
      </w:r>
      <w:proofErr w:type="spellStart"/>
      <w:r w:rsidR="001E2DF4">
        <w:rPr>
          <w:bCs/>
        </w:rPr>
        <w:t>намјена</w:t>
      </w:r>
      <w:proofErr w:type="spellEnd"/>
      <w:r w:rsidR="001E2DF4">
        <w:rPr>
          <w:bCs/>
        </w:rPr>
        <w:t xml:space="preserve"> у 2013. години када је извршено затварање рачуна </w:t>
      </w:r>
      <w:proofErr w:type="spellStart"/>
      <w:r w:rsidR="001E2DF4">
        <w:rPr>
          <w:bCs/>
        </w:rPr>
        <w:t>мјесних</w:t>
      </w:r>
      <w:proofErr w:type="spellEnd"/>
      <w:r w:rsidR="001E2DF4">
        <w:rPr>
          <w:bCs/>
        </w:rPr>
        <w:t xml:space="preserve"> заједница </w:t>
      </w:r>
      <w:r w:rsidR="00634FD0">
        <w:rPr>
          <w:bCs/>
          <w:lang w:val="sr-Latn-RS"/>
        </w:rPr>
        <w:t>(</w:t>
      </w:r>
      <w:r w:rsidR="001E2DF4">
        <w:rPr>
          <w:bCs/>
        </w:rPr>
        <w:t>24.488,32 КМ</w:t>
      </w:r>
      <w:r w:rsidR="00634FD0">
        <w:rPr>
          <w:bCs/>
          <w:lang w:val="sr-Latn-RS"/>
        </w:rPr>
        <w:t>)</w:t>
      </w:r>
      <w:r w:rsidR="001E2DF4">
        <w:rPr>
          <w:lang w:val="sr-Cyrl-BA"/>
        </w:rPr>
        <w:t xml:space="preserve"> и </w:t>
      </w:r>
      <w:r w:rsidR="00B76953">
        <w:rPr>
          <w:lang w:val="sr-Cyrl-BA"/>
        </w:rPr>
        <w:t>други мањи износи</w:t>
      </w:r>
      <w:r w:rsidR="001E2DF4">
        <w:rPr>
          <w:lang w:val="sr-Cyrl-BA"/>
        </w:rPr>
        <w:t>.</w:t>
      </w:r>
    </w:p>
    <w:p w14:paraId="73A2C512" w14:textId="77777777" w:rsidR="006642B7" w:rsidRDefault="00B76953" w:rsidP="00D7339A">
      <w:pPr>
        <w:spacing w:before="120"/>
        <w:ind w:left="0" w:firstLine="0"/>
        <w:rPr>
          <w:lang w:val="sr-Cyrl-RS"/>
        </w:rPr>
      </w:pPr>
      <w:r>
        <w:rPr>
          <w:lang w:val="sr-Cyrl-BA"/>
        </w:rPr>
        <w:tab/>
      </w:r>
      <w:r w:rsidR="001E2DF4">
        <w:rPr>
          <w:lang w:val="sr-Cyrl-BA"/>
        </w:rPr>
        <w:t xml:space="preserve"> </w:t>
      </w:r>
      <w:proofErr w:type="spellStart"/>
      <w:r w:rsidRPr="00B76953">
        <w:rPr>
          <w:b/>
          <w:lang w:val="sr-Latn-RS"/>
        </w:rPr>
        <w:t>Рачун</w:t>
      </w:r>
      <w:proofErr w:type="spellEnd"/>
      <w:r w:rsidRPr="00B76953">
        <w:rPr>
          <w:b/>
          <w:lang w:val="sr-Latn-RS"/>
        </w:rPr>
        <w:t xml:space="preserve"> </w:t>
      </w:r>
      <w:proofErr w:type="spellStart"/>
      <w:r w:rsidRPr="00B76953">
        <w:rPr>
          <w:b/>
          <w:lang w:val="sr-Latn-RS"/>
        </w:rPr>
        <w:t>посебних</w:t>
      </w:r>
      <w:proofErr w:type="spellEnd"/>
      <w:r w:rsidRPr="00B76953">
        <w:rPr>
          <w:b/>
          <w:lang w:val="sr-Latn-RS"/>
        </w:rPr>
        <w:t xml:space="preserve"> </w:t>
      </w:r>
      <w:proofErr w:type="spellStart"/>
      <w:r w:rsidRPr="00B76953">
        <w:rPr>
          <w:b/>
          <w:lang w:val="sr-Latn-RS"/>
        </w:rPr>
        <w:t>намјена</w:t>
      </w:r>
      <w:proofErr w:type="spellEnd"/>
      <w:r w:rsidRPr="00B76953">
        <w:rPr>
          <w:b/>
          <w:lang w:val="sr-Latn-RS"/>
        </w:rPr>
        <w:t xml:space="preserve"> </w:t>
      </w:r>
      <w:proofErr w:type="spellStart"/>
      <w:r w:rsidRPr="00B76953">
        <w:rPr>
          <w:b/>
          <w:lang w:val="sr-Latn-RS"/>
        </w:rPr>
        <w:t>за</w:t>
      </w:r>
      <w:proofErr w:type="spellEnd"/>
      <w:r w:rsidRPr="00B76953">
        <w:rPr>
          <w:b/>
          <w:lang w:val="sr-Latn-RS"/>
        </w:rPr>
        <w:t xml:space="preserve"> МЕГ/УНДП</w:t>
      </w:r>
      <w:r>
        <w:rPr>
          <w:b/>
          <w:lang w:val="sr-Cyrl-RS"/>
        </w:rPr>
        <w:t xml:space="preserve"> пројекат </w:t>
      </w:r>
      <w:r w:rsidRPr="00B76953">
        <w:rPr>
          <w:lang w:val="sr-Cyrl-RS"/>
        </w:rPr>
        <w:t>на дан</w:t>
      </w:r>
      <w:r>
        <w:rPr>
          <w:b/>
          <w:lang w:val="sr-Cyrl-RS"/>
        </w:rPr>
        <w:t xml:space="preserve"> </w:t>
      </w:r>
      <w:r w:rsidRPr="00B76953">
        <w:rPr>
          <w:lang w:val="sr-Cyrl-RS"/>
        </w:rPr>
        <w:t>31.12.2020. године</w:t>
      </w:r>
      <w:r>
        <w:rPr>
          <w:lang w:val="sr-Cyrl-RS"/>
        </w:rPr>
        <w:t xml:space="preserve"> исказује стање новчаних средстава од 0,00 КМ. Фонд за развој и запошљавање РС дана 30.12.2020. године уплатио је 40.000,00 КМ</w:t>
      </w:r>
      <w:r w:rsidR="007B25AE" w:rsidRPr="007B25AE">
        <w:t xml:space="preserve"> </w:t>
      </w:r>
      <w:r w:rsidR="007B25AE" w:rsidRPr="007B25AE">
        <w:rPr>
          <w:lang w:val="sr-Cyrl-RS"/>
        </w:rPr>
        <w:t xml:space="preserve">за </w:t>
      </w:r>
      <w:r w:rsidR="007B25AE">
        <w:rPr>
          <w:lang w:val="sr-Cyrl-RS"/>
        </w:rPr>
        <w:t>реализацију пројек</w:t>
      </w:r>
      <w:r w:rsidR="007B25AE" w:rsidRPr="007B25AE">
        <w:rPr>
          <w:lang w:val="sr-Cyrl-RS"/>
        </w:rPr>
        <w:t>т</w:t>
      </w:r>
      <w:r w:rsidR="007B25AE">
        <w:rPr>
          <w:lang w:val="sr-Cyrl-RS"/>
        </w:rPr>
        <w:t>а</w:t>
      </w:r>
      <w:r w:rsidR="007B25AE" w:rsidRPr="007B25AE">
        <w:rPr>
          <w:lang w:val="sr-Cyrl-RS"/>
        </w:rPr>
        <w:t xml:space="preserve"> "Модерна инфраструктура за развој пољопривреде и развијено село"</w:t>
      </w:r>
      <w:r w:rsidR="007B25AE">
        <w:rPr>
          <w:lang w:val="sr-Cyrl-RS"/>
        </w:rPr>
        <w:t xml:space="preserve"> на Јединствени рачун трезора умјесто на рачун посебних </w:t>
      </w:r>
      <w:proofErr w:type="spellStart"/>
      <w:r w:rsidR="007B25AE">
        <w:rPr>
          <w:lang w:val="sr-Cyrl-RS"/>
        </w:rPr>
        <w:t>намјена</w:t>
      </w:r>
      <w:proofErr w:type="spellEnd"/>
      <w:r w:rsidR="007B25AE">
        <w:rPr>
          <w:lang w:val="sr-Cyrl-RS"/>
        </w:rPr>
        <w:t xml:space="preserve"> за МЕГ/УНДП пројекат, због чега је стање овог рачуна на дан 31.12.2020. године погрешно исказано. Средства су пребачена са рачуна трезора на рачун посебних </w:t>
      </w:r>
      <w:proofErr w:type="spellStart"/>
      <w:r w:rsidR="007B25AE">
        <w:rPr>
          <w:lang w:val="sr-Cyrl-RS"/>
        </w:rPr>
        <w:t>намјена</w:t>
      </w:r>
      <w:proofErr w:type="spellEnd"/>
      <w:r w:rsidR="007B25AE">
        <w:rPr>
          <w:lang w:val="sr-Cyrl-RS"/>
        </w:rPr>
        <w:t xml:space="preserve"> за МЕГ/УНДП пројекат у јануару 2021. године.</w:t>
      </w:r>
    </w:p>
    <w:p w14:paraId="466F4936" w14:textId="77777777" w:rsidR="00C41EC6" w:rsidRDefault="00C41EC6" w:rsidP="006642B7">
      <w:pPr>
        <w:ind w:left="0" w:firstLine="0"/>
        <w:rPr>
          <w:b/>
          <w:bCs/>
        </w:rPr>
      </w:pPr>
    </w:p>
    <w:p w14:paraId="36587841" w14:textId="77777777" w:rsidR="005A7BA6" w:rsidRDefault="005A7BA6" w:rsidP="006642B7">
      <w:pPr>
        <w:ind w:left="0" w:firstLine="0"/>
        <w:rPr>
          <w:b/>
          <w:bCs/>
        </w:rPr>
      </w:pPr>
    </w:p>
    <w:p w14:paraId="7B0A3512" w14:textId="77777777" w:rsidR="005A7BA6" w:rsidRDefault="005A7BA6" w:rsidP="006642B7">
      <w:pPr>
        <w:ind w:left="0" w:firstLine="0"/>
        <w:rPr>
          <w:b/>
          <w:bCs/>
        </w:rPr>
      </w:pPr>
    </w:p>
    <w:p w14:paraId="51A2DD1D" w14:textId="77777777" w:rsidR="005A7BA6" w:rsidRPr="00853348" w:rsidRDefault="005A7BA6" w:rsidP="006642B7">
      <w:pPr>
        <w:ind w:left="0" w:firstLine="0"/>
        <w:rPr>
          <w:b/>
          <w:bCs/>
        </w:rPr>
      </w:pPr>
    </w:p>
    <w:p w14:paraId="700978D3" w14:textId="77777777" w:rsidR="00592A11" w:rsidRPr="00EF1A90" w:rsidRDefault="00A90040" w:rsidP="00236ED3">
      <w:pPr>
        <w:pStyle w:val="Glavninaslovi"/>
        <w:rPr>
          <w:sz w:val="24"/>
          <w:szCs w:val="24"/>
        </w:rPr>
      </w:pPr>
      <w:bookmarkStart w:id="104" w:name="_Toc530745902"/>
      <w:bookmarkStart w:id="105" w:name="_Toc50641221"/>
      <w:r w:rsidRPr="00EF1A90">
        <w:rPr>
          <w:sz w:val="24"/>
          <w:szCs w:val="24"/>
        </w:rPr>
        <w:t xml:space="preserve">7. </w:t>
      </w:r>
      <w:r w:rsidR="00592A11" w:rsidRPr="00EF1A90">
        <w:rPr>
          <w:sz w:val="24"/>
          <w:szCs w:val="24"/>
        </w:rPr>
        <w:t>ИНФОРМАЦИЈА О КРЕДИТНОМ ЗАДУЖЕЊУ ОПШТИНЕ</w:t>
      </w:r>
      <w:bookmarkEnd w:id="104"/>
      <w:bookmarkEnd w:id="105"/>
    </w:p>
    <w:p w14:paraId="366D27F2" w14:textId="77777777" w:rsidR="00592A11" w:rsidRPr="00F95CE7" w:rsidRDefault="00592A11" w:rsidP="00AF15A3">
      <w:pPr>
        <w:ind w:left="-360" w:right="-792" w:firstLine="360"/>
        <w:jc w:val="center"/>
        <w:rPr>
          <w:b/>
          <w:bCs/>
        </w:rPr>
      </w:pPr>
    </w:p>
    <w:p w14:paraId="14A23AF8" w14:textId="77777777" w:rsidR="00592A11" w:rsidRDefault="00592A11" w:rsidP="00592A11">
      <w:pPr>
        <w:ind w:left="0" w:firstLine="0"/>
        <w:rPr>
          <w:lang w:val="sr-Cyrl-BA"/>
        </w:rPr>
      </w:pPr>
      <w:r>
        <w:rPr>
          <w:lang w:val="sr-Cyrl-BA"/>
        </w:rPr>
        <w:tab/>
      </w:r>
      <w:r w:rsidRPr="003C1475">
        <w:rPr>
          <w:lang w:val="sr-Cyrl-BA"/>
        </w:rPr>
        <w:t xml:space="preserve">Општина Прњавор је корисник </w:t>
      </w:r>
      <w:r w:rsidR="00EF1A90">
        <w:rPr>
          <w:lang w:val="sr-Cyrl-BA"/>
        </w:rPr>
        <w:t>два</w:t>
      </w:r>
      <w:r w:rsidR="003861EE">
        <w:rPr>
          <w:lang w:val="sr-Cyrl-BA"/>
        </w:rPr>
        <w:t xml:space="preserve"> намјенска</w:t>
      </w:r>
      <w:r w:rsidRPr="003C1475">
        <w:rPr>
          <w:lang w:val="sr-Cyrl-BA"/>
        </w:rPr>
        <w:t xml:space="preserve"> кредита и то:</w:t>
      </w:r>
    </w:p>
    <w:p w14:paraId="2EBCFD95" w14:textId="77777777" w:rsidR="00592A11" w:rsidRPr="003C1475" w:rsidRDefault="00592A11" w:rsidP="00592A11">
      <w:pPr>
        <w:ind w:left="0" w:firstLine="0"/>
        <w:rPr>
          <w:lang w:val="sr-Cyrl-BA"/>
        </w:rPr>
      </w:pPr>
    </w:p>
    <w:p w14:paraId="23590D87" w14:textId="77777777" w:rsidR="00592A11" w:rsidRPr="00983D16" w:rsidRDefault="00592A11" w:rsidP="00592A11">
      <w:pPr>
        <w:numPr>
          <w:ilvl w:val="0"/>
          <w:numId w:val="3"/>
        </w:numPr>
      </w:pPr>
      <w:r>
        <w:t>Р</w:t>
      </w:r>
      <w:r w:rsidRPr="00983D16">
        <w:t xml:space="preserve">обни кредит Краљевине Шпаније, за пројекат изградње система </w:t>
      </w:r>
      <w:proofErr w:type="spellStart"/>
      <w:r w:rsidRPr="00983D16">
        <w:t>водоснабдијевања</w:t>
      </w:r>
      <w:proofErr w:type="spellEnd"/>
      <w:r w:rsidRPr="00983D16">
        <w:t xml:space="preserve"> општине Прњавор, у </w:t>
      </w:r>
      <w:r w:rsidR="003E5FCC">
        <w:t>висини</w:t>
      </w:r>
      <w:r w:rsidR="00EF1A90">
        <w:t xml:space="preserve"> од 3.800.000,00 КМ и</w:t>
      </w:r>
    </w:p>
    <w:p w14:paraId="2A68CA10" w14:textId="77777777" w:rsidR="003861EE" w:rsidRPr="003861EE" w:rsidRDefault="003861EE" w:rsidP="00592A11">
      <w:pPr>
        <w:numPr>
          <w:ilvl w:val="0"/>
          <w:numId w:val="3"/>
        </w:numPr>
      </w:pPr>
      <w:r>
        <w:t xml:space="preserve">Кредит од 7.000.000,00 КМ за </w:t>
      </w:r>
      <w:proofErr w:type="spellStart"/>
      <w:r>
        <w:t>рефинансирање</w:t>
      </w:r>
      <w:proofErr w:type="spellEnd"/>
      <w:r>
        <w:t xml:space="preserve"> неисплаћеног дугорочног дуга и капиталне инвестиције у 2018. години.</w:t>
      </w:r>
    </w:p>
    <w:p w14:paraId="111C8F5F" w14:textId="77777777" w:rsidR="006203E5" w:rsidRPr="00632927" w:rsidRDefault="006203E5" w:rsidP="006203E5">
      <w:pPr>
        <w:ind w:left="0" w:firstLine="0"/>
      </w:pPr>
    </w:p>
    <w:p w14:paraId="0FB4F4E6" w14:textId="77777777" w:rsidR="0084260A" w:rsidRPr="0084260A" w:rsidRDefault="00592A11" w:rsidP="0084260A">
      <w:pPr>
        <w:ind w:left="0" w:firstLine="0"/>
        <w:rPr>
          <w:lang w:val="sr-Latn-CS"/>
        </w:rPr>
      </w:pPr>
      <w:r>
        <w:rPr>
          <w:b/>
          <w:i/>
          <w:lang w:val="sr-Cyrl-BA"/>
        </w:rPr>
        <w:tab/>
      </w:r>
      <w:r w:rsidRPr="00632927">
        <w:rPr>
          <w:b/>
          <w:i/>
          <w:lang w:val="sr-Cyrl-BA"/>
        </w:rPr>
        <w:t>Кредит Краљевине Шпаније од 3.800.000,00 КМ</w:t>
      </w:r>
      <w:r>
        <w:rPr>
          <w:lang w:val="sr-Cyrl-BA"/>
        </w:rPr>
        <w:t xml:space="preserve"> (повучено 3.799.583,92 КМ) је </w:t>
      </w:r>
      <w:r w:rsidRPr="00632927">
        <w:rPr>
          <w:lang w:val="sr-Cyrl-BA"/>
        </w:rPr>
        <w:t xml:space="preserve">са роком отплате од 36 </w:t>
      </w:r>
      <w:r w:rsidRPr="009A229C">
        <w:rPr>
          <w:lang w:val="sr-Cyrl-BA"/>
        </w:rPr>
        <w:t>година,</w:t>
      </w:r>
      <w:r w:rsidR="00634FD0">
        <w:rPr>
          <w:lang w:val="sr-Latn-RS"/>
        </w:rPr>
        <w:t xml:space="preserve"> </w:t>
      </w:r>
      <w:proofErr w:type="spellStart"/>
      <w:r w:rsidRPr="00632927">
        <w:rPr>
          <w:color w:val="000000"/>
          <w:lang w:val="sr-Cyrl-BA"/>
        </w:rPr>
        <w:t>грејс</w:t>
      </w:r>
      <w:proofErr w:type="spellEnd"/>
      <w:r w:rsidRPr="00632927">
        <w:rPr>
          <w:color w:val="000000"/>
          <w:lang w:val="sr-Cyrl-BA"/>
        </w:rPr>
        <w:t xml:space="preserve"> периодом од 15 година</w:t>
      </w:r>
      <w:r w:rsidR="00634FD0">
        <w:rPr>
          <w:color w:val="000000"/>
          <w:lang w:val="sr-Latn-RS"/>
        </w:rPr>
        <w:t xml:space="preserve"> </w:t>
      </w:r>
      <w:r w:rsidRPr="00632927">
        <w:rPr>
          <w:lang w:val="sr-Cyrl-BA"/>
        </w:rPr>
        <w:t>који је урачунат у рок отплате</w:t>
      </w:r>
      <w:r>
        <w:rPr>
          <w:lang w:val="sr-Cyrl-BA"/>
        </w:rPr>
        <w:t>,</w:t>
      </w:r>
      <w:r w:rsidRPr="00632927">
        <w:rPr>
          <w:lang w:val="sr-Cyrl-BA"/>
        </w:rPr>
        <w:t xml:space="preserve"> и</w:t>
      </w:r>
      <w:r w:rsidR="00634FD0">
        <w:rPr>
          <w:lang w:val="sr-Latn-RS"/>
        </w:rPr>
        <w:t xml:space="preserve"> </w:t>
      </w:r>
      <w:r>
        <w:rPr>
          <w:color w:val="000000"/>
          <w:lang w:val="sr-Cyrl-BA"/>
        </w:rPr>
        <w:t>каматном стопом</w:t>
      </w:r>
      <w:r w:rsidRPr="00632927">
        <w:rPr>
          <w:color w:val="000000"/>
          <w:lang w:val="sr-Cyrl-BA"/>
        </w:rPr>
        <w:t xml:space="preserve"> од 0,1% годишње</w:t>
      </w:r>
      <w:r>
        <w:rPr>
          <w:lang w:val="sr-Cyrl-BA"/>
        </w:rPr>
        <w:t xml:space="preserve">. </w:t>
      </w:r>
      <w:r w:rsidR="0084260A" w:rsidRPr="0084260A">
        <w:rPr>
          <w:lang w:val="sr-Cyrl-BA"/>
        </w:rPr>
        <w:t xml:space="preserve">Током </w:t>
      </w:r>
      <w:proofErr w:type="spellStart"/>
      <w:r w:rsidR="0084260A" w:rsidRPr="0084260A">
        <w:rPr>
          <w:lang w:val="sr-Cyrl-BA"/>
        </w:rPr>
        <w:t>грејс</w:t>
      </w:r>
      <w:proofErr w:type="spellEnd"/>
      <w:r w:rsidR="0084260A" w:rsidRPr="0084260A">
        <w:rPr>
          <w:lang w:val="sr-Cyrl-BA"/>
        </w:rPr>
        <w:t xml:space="preserve"> периода, који је трајао од јула 2003. године до јануара 2018. године, плаћала се само камата на повучени износ средстава у двије полугодишње рате у укупном износу од 3.852,34 КМ, а отплата главнице дуга почела је од јула 2018. године, вршиће се у 43 полугодишња ануитета, са једнаким износом главнице од 88.362,40 КМ и различитим износима камата.</w:t>
      </w:r>
      <w:r w:rsidR="00634FD0">
        <w:rPr>
          <w:lang w:val="sr-Latn-RS"/>
        </w:rPr>
        <w:t xml:space="preserve"> </w:t>
      </w:r>
      <w:r w:rsidR="0084260A" w:rsidRPr="0084260A">
        <w:rPr>
          <w:lang w:val="sr-Cyrl-BA"/>
        </w:rPr>
        <w:t>Преостали износ дуга п</w:t>
      </w:r>
      <w:r w:rsidR="00634FD0">
        <w:rPr>
          <w:lang w:val="sr-Cyrl-BA"/>
        </w:rPr>
        <w:t>о овом кредиту на дан 31.12</w:t>
      </w:r>
      <w:r w:rsidR="0084260A" w:rsidRPr="0084260A">
        <w:rPr>
          <w:lang w:val="sr-Cyrl-BA"/>
        </w:rPr>
        <w:t xml:space="preserve">.2020. године (главница) </w:t>
      </w:r>
      <w:r w:rsidR="0084260A" w:rsidRPr="0084260A">
        <w:rPr>
          <w:lang w:val="sr-Cyrl-BA"/>
        </w:rPr>
        <w:lastRenderedPageBreak/>
        <w:t>износи</w:t>
      </w:r>
      <w:r w:rsidR="00634FD0">
        <w:rPr>
          <w:lang w:val="sr-Latn-RS"/>
        </w:rPr>
        <w:t xml:space="preserve"> </w:t>
      </w:r>
      <w:r w:rsidR="0084260A" w:rsidRPr="0084260A">
        <w:rPr>
          <w:lang w:val="sr-Cyrl-BA"/>
        </w:rPr>
        <w:t>3.</w:t>
      </w:r>
      <w:r w:rsidR="00B862F4">
        <w:t>357.771,92</w:t>
      </w:r>
      <w:r w:rsidR="0084260A" w:rsidRPr="0084260A">
        <w:rPr>
          <w:lang w:val="sr-Cyrl-BA"/>
        </w:rPr>
        <w:t xml:space="preserve"> КМ, а пројектоване камате </w:t>
      </w:r>
      <w:r w:rsidR="00B862F4">
        <w:t>33.218,57</w:t>
      </w:r>
      <w:r w:rsidR="0084260A" w:rsidRPr="0084260A">
        <w:rPr>
          <w:lang w:val="sr-Cyrl-BA"/>
        </w:rPr>
        <w:t xml:space="preserve"> КМ, што укупно износи 3.</w:t>
      </w:r>
      <w:r w:rsidR="00B862F4">
        <w:t>390.990,49</w:t>
      </w:r>
      <w:r w:rsidR="0084260A" w:rsidRPr="0084260A">
        <w:rPr>
          <w:lang w:val="sr-Cyrl-BA"/>
        </w:rPr>
        <w:t xml:space="preserve"> КМ.</w:t>
      </w:r>
    </w:p>
    <w:p w14:paraId="2C23D6AD" w14:textId="77777777" w:rsidR="00592A11" w:rsidRPr="00632927" w:rsidRDefault="00592A11" w:rsidP="00592A11">
      <w:pPr>
        <w:ind w:left="0" w:firstLine="0"/>
        <w:rPr>
          <w:lang w:val="sr-Cyrl-BA"/>
        </w:rPr>
      </w:pPr>
    </w:p>
    <w:p w14:paraId="75EF6A62" w14:textId="77777777" w:rsidR="00381574" w:rsidRPr="00743538" w:rsidRDefault="008829DC" w:rsidP="00592A11">
      <w:pPr>
        <w:ind w:left="0" w:firstLine="0"/>
      </w:pPr>
      <w:r>
        <w:rPr>
          <w:b/>
          <w:i/>
          <w:lang w:val="sr-Cyrl-BA"/>
        </w:rPr>
        <w:tab/>
      </w:r>
      <w:r w:rsidR="0084260A" w:rsidRPr="0084260A">
        <w:rPr>
          <w:b/>
          <w:i/>
          <w:lang w:val="sr-Cyrl-BA"/>
        </w:rPr>
        <w:t>Кредит од 7.000.000,00 КМ</w:t>
      </w:r>
      <w:r w:rsidR="003C6298">
        <w:rPr>
          <w:b/>
          <w:i/>
          <w:lang w:val="sr-Latn-RS"/>
        </w:rPr>
        <w:t xml:space="preserve"> </w:t>
      </w:r>
      <w:r w:rsidR="0084260A" w:rsidRPr="0084260A">
        <w:rPr>
          <w:b/>
          <w:i/>
          <w:lang w:val="sr-Cyrl-BA"/>
        </w:rPr>
        <w:t>(Уникредит банка и НЛБ Банка)</w:t>
      </w:r>
      <w:r w:rsidR="0084260A" w:rsidRPr="0084260A">
        <w:rPr>
          <w:lang w:val="sr-Cyrl-BA"/>
        </w:rPr>
        <w:t xml:space="preserve"> је у складу са Одлуком о кредитном задужењу („Службени гласник општине Прњавор“, број 31/17 и 19/18) намијењен за </w:t>
      </w:r>
      <w:proofErr w:type="spellStart"/>
      <w:r w:rsidR="0084260A" w:rsidRPr="0084260A">
        <w:rPr>
          <w:lang w:val="sr-Cyrl-BA"/>
        </w:rPr>
        <w:t>рефинансирање</w:t>
      </w:r>
      <w:proofErr w:type="spellEnd"/>
      <w:r w:rsidR="0084260A" w:rsidRPr="0084260A">
        <w:rPr>
          <w:lang w:val="sr-Cyrl-BA"/>
        </w:rPr>
        <w:t xml:space="preserve"> неисплаћеног дугорочног дуга износ од 5.533.227,98 КМ, и за финансирање капиталних инвестиција износ од 1.466.772,02 КМ. </w:t>
      </w:r>
      <w:r w:rsidR="0084260A" w:rsidRPr="0084260A">
        <w:t xml:space="preserve">Први </w:t>
      </w:r>
      <w:proofErr w:type="spellStart"/>
      <w:r w:rsidR="0084260A" w:rsidRPr="0084260A">
        <w:t>дио</w:t>
      </w:r>
      <w:proofErr w:type="spellEnd"/>
      <w:r w:rsidR="0084260A" w:rsidRPr="0084260A">
        <w:t xml:space="preserve"> кредита у износу од         1.466.772,02 КМ,  који је искоришћен за затварање пет дугорочних кредита са стањем главнице дуга на дан 31.12.2017. године, повучен је и прешао у отплату од јануара 2018. године. Други </w:t>
      </w:r>
      <w:proofErr w:type="spellStart"/>
      <w:r w:rsidR="0084260A" w:rsidRPr="0084260A">
        <w:t>дио</w:t>
      </w:r>
      <w:proofErr w:type="spellEnd"/>
      <w:r w:rsidR="0084260A" w:rsidRPr="0084260A">
        <w:t xml:space="preserve"> кредита у износу од 5.533.227,98 КМ, </w:t>
      </w:r>
      <w:proofErr w:type="spellStart"/>
      <w:r w:rsidR="0084260A" w:rsidRPr="0084260A">
        <w:t>намијењен</w:t>
      </w:r>
      <w:proofErr w:type="spellEnd"/>
      <w:r w:rsidR="0084260A" w:rsidRPr="0084260A">
        <w:t xml:space="preserve"> за капиталне инвестиције, повлачен је у траншама у складу са динамиком извођења радова, и у потпуности је повучен закључно са мартом 2019. године. Са 31.12.2018. године повучена су кредитна средства у износу од 6.679.069,24 КМ (износ од 5.533.227,98 КМ за </w:t>
      </w:r>
      <w:proofErr w:type="spellStart"/>
      <w:r w:rsidR="0084260A" w:rsidRPr="0084260A">
        <w:t>рефинансирање</w:t>
      </w:r>
      <w:proofErr w:type="spellEnd"/>
      <w:r w:rsidR="0084260A" w:rsidRPr="0084260A">
        <w:t xml:space="preserve"> дугорочног дуга, и износ од 1.145.841,26 КМ за капиталне инвестиције), а у првом кварталу 2019. године и преостала кредитна средства у износу од 320.930,76 КМ, након чега је од априла 2019. године прешао у отплату и други </w:t>
      </w:r>
      <w:proofErr w:type="spellStart"/>
      <w:r w:rsidR="0084260A" w:rsidRPr="0084260A">
        <w:t>дио</w:t>
      </w:r>
      <w:proofErr w:type="spellEnd"/>
      <w:r w:rsidR="0084260A" w:rsidRPr="0084260A">
        <w:t xml:space="preserve"> кредита од 1.466.772,02 КМ. Уговорена каматна стопа по кредиту од 7 </w:t>
      </w:r>
      <w:proofErr w:type="spellStart"/>
      <w:r w:rsidR="0084260A" w:rsidRPr="0084260A">
        <w:t>мил</w:t>
      </w:r>
      <w:proofErr w:type="spellEnd"/>
      <w:r w:rsidR="0084260A" w:rsidRPr="0084260A">
        <w:t>. КМ је фиксна и износи 3,75% годишње, а рок отплате кредита је 8 година. Стање обавеза по основу главнице дуга п</w:t>
      </w:r>
      <w:r w:rsidR="0084260A">
        <w:t>о к</w:t>
      </w:r>
      <w:r w:rsidR="003C6298">
        <w:t xml:space="preserve">редиту од 7 </w:t>
      </w:r>
      <w:proofErr w:type="spellStart"/>
      <w:r w:rsidR="003C6298">
        <w:t>мил</w:t>
      </w:r>
      <w:proofErr w:type="spellEnd"/>
      <w:r w:rsidR="003C6298">
        <w:t>. КМ на дан 31.12</w:t>
      </w:r>
      <w:r w:rsidR="0084260A" w:rsidRPr="0084260A">
        <w:t xml:space="preserve">.2020. године износи      </w:t>
      </w:r>
      <w:r w:rsidR="003C6298">
        <w:rPr>
          <w:lang w:val="sr-Latn-RS"/>
        </w:rPr>
        <w:t>4.806.679,89</w:t>
      </w:r>
      <w:r w:rsidR="0084260A" w:rsidRPr="0084260A">
        <w:t xml:space="preserve"> КМ, а по основу камата </w:t>
      </w:r>
      <w:r w:rsidR="003C6298">
        <w:rPr>
          <w:lang w:val="sr-Latn-RS"/>
        </w:rPr>
        <w:t>498.435,81</w:t>
      </w:r>
      <w:r w:rsidR="0084260A" w:rsidRPr="0084260A">
        <w:t xml:space="preserve"> КМ, што</w:t>
      </w:r>
      <w:r w:rsidR="0084260A">
        <w:t xml:space="preserve"> укупно износи 5.</w:t>
      </w:r>
      <w:r w:rsidR="003C6298">
        <w:rPr>
          <w:lang w:val="sr-Latn-RS"/>
        </w:rPr>
        <w:t>305.115,70</w:t>
      </w:r>
      <w:r w:rsidR="0084260A">
        <w:t xml:space="preserve"> КМ.</w:t>
      </w:r>
    </w:p>
    <w:p w14:paraId="7CD13300" w14:textId="77777777" w:rsidR="008829DC" w:rsidRPr="00FF7540" w:rsidRDefault="008829DC" w:rsidP="00592A11">
      <w:pPr>
        <w:ind w:left="0" w:firstLine="0"/>
        <w:rPr>
          <w:lang w:val="sr-Cyrl-BA"/>
        </w:rPr>
      </w:pPr>
    </w:p>
    <w:p w14:paraId="009E7B85" w14:textId="77777777" w:rsidR="0084260A" w:rsidRPr="0084260A" w:rsidRDefault="00592A11" w:rsidP="0084260A">
      <w:pPr>
        <w:ind w:left="0" w:firstLine="0"/>
      </w:pPr>
      <w:r>
        <w:rPr>
          <w:b/>
          <w:i/>
          <w:lang w:val="sr-Cyrl-BA"/>
        </w:rPr>
        <w:tab/>
      </w:r>
      <w:r w:rsidRPr="00FE3CE4">
        <w:rPr>
          <w:lang w:val="sr-Cyrl-BA"/>
        </w:rPr>
        <w:t xml:space="preserve">Општина Прњавор је 25.06.2010. године издала </w:t>
      </w:r>
      <w:r w:rsidRPr="00FE3CE4">
        <w:rPr>
          <w:b/>
          <w:i/>
          <w:lang w:val="sr-Cyrl-BA"/>
        </w:rPr>
        <w:t>Гаранцију за кредитно задужење ЈП „</w:t>
      </w:r>
      <w:r w:rsidRPr="00FE3CE4">
        <w:rPr>
          <w:b/>
          <w:i/>
          <w:lang w:val="sr-Latn-CS"/>
        </w:rPr>
        <w:t>ДЕП-ОТ</w:t>
      </w:r>
      <w:r w:rsidRPr="00FE3CE4">
        <w:rPr>
          <w:b/>
          <w:i/>
          <w:lang w:val="sr-Cyrl-BA"/>
        </w:rPr>
        <w:t>“ Бањалука</w:t>
      </w:r>
      <w:r w:rsidRPr="00FE3CE4">
        <w:rPr>
          <w:lang w:val="sr-Cyrl-BA"/>
        </w:rPr>
        <w:t xml:space="preserve">, на износ од 150.000,00 EUR, што представља 10% од укупно одобреног кредита ЈП „ДЕП-ОТ“, у чијем оснивачком капиталу општина Прњавор и учествује у наведеном проценту, увећан за износ трошкова утврђен Споразумом о кредиту (камата, приступна такса и др.). Јавно предузеће “ДЕП-ОТ“ Бањалука се кредитно задужило за износ од 1.500.000,00 EUR из средстава Свјетске банке - </w:t>
      </w:r>
      <w:proofErr w:type="spellStart"/>
      <w:r w:rsidRPr="00FE3CE4">
        <w:rPr>
          <w:lang w:val="sr-Cyrl-BA"/>
        </w:rPr>
        <w:t>Међународн</w:t>
      </w:r>
      <w:proofErr w:type="spellEnd"/>
      <w:r w:rsidRPr="00FE3CE4">
        <w:rPr>
          <w:lang w:val="sr-Latn-CS"/>
        </w:rPr>
        <w:t>e</w:t>
      </w:r>
      <w:r w:rsidRPr="00FE3CE4">
        <w:rPr>
          <w:lang w:val="sr-Cyrl-BA"/>
        </w:rPr>
        <w:t xml:space="preserve"> </w:t>
      </w:r>
      <w:proofErr w:type="spellStart"/>
      <w:r w:rsidRPr="00FE3CE4">
        <w:rPr>
          <w:lang w:val="sr-Cyrl-BA"/>
        </w:rPr>
        <w:t>банк</w:t>
      </w:r>
      <w:proofErr w:type="spellEnd"/>
      <w:r w:rsidRPr="00FE3CE4">
        <w:rPr>
          <w:lang w:val="sr-Latn-CS"/>
        </w:rPr>
        <w:t>e</w:t>
      </w:r>
      <w:r w:rsidRPr="00FE3CE4">
        <w:rPr>
          <w:lang w:val="sr-Cyrl-BA"/>
        </w:rPr>
        <w:t xml:space="preserve"> за обнову и развој, за реализацију </w:t>
      </w:r>
      <w:proofErr w:type="spellStart"/>
      <w:r w:rsidRPr="00FE3CE4">
        <w:rPr>
          <w:lang w:val="sr-Latn-CS"/>
        </w:rPr>
        <w:t>Другог</w:t>
      </w:r>
      <w:proofErr w:type="spellEnd"/>
      <w:r w:rsidRPr="00FE3CE4">
        <w:rPr>
          <w:lang w:val="sr-Latn-CS"/>
        </w:rPr>
        <w:t xml:space="preserve"> </w:t>
      </w:r>
      <w:r w:rsidRPr="00FE3CE4">
        <w:rPr>
          <w:lang w:val="sr-Cyrl-BA"/>
        </w:rPr>
        <w:t xml:space="preserve">пројекта  за управљање чврстим отпадом, а гаранције за отплату овог кредита </w:t>
      </w:r>
      <w:proofErr w:type="spellStart"/>
      <w:r w:rsidRPr="00FE3CE4">
        <w:rPr>
          <w:lang w:val="sr-Cyrl-BA"/>
        </w:rPr>
        <w:t>обезбиједиле</w:t>
      </w:r>
      <w:proofErr w:type="spellEnd"/>
      <w:r w:rsidRPr="00FE3CE4">
        <w:rPr>
          <w:lang w:val="sr-Cyrl-BA"/>
        </w:rPr>
        <w:t xml:space="preserve"> су општине оснивачи комуналног предузећа. Рок отплате овог кредита је двадесет година, уз </w:t>
      </w:r>
      <w:proofErr w:type="spellStart"/>
      <w:r w:rsidRPr="00FE3CE4">
        <w:rPr>
          <w:lang w:val="sr-Cyrl-BA"/>
        </w:rPr>
        <w:t>грејс</w:t>
      </w:r>
      <w:proofErr w:type="spellEnd"/>
      <w:r w:rsidRPr="00FE3CE4">
        <w:rPr>
          <w:lang w:val="sr-Cyrl-BA"/>
        </w:rPr>
        <w:t xml:space="preserve"> период од осам година који је урачунат у рок отплате, и каматну стопу шестомјесечни LIBOR + варијабилна маржа. </w:t>
      </w:r>
      <w:r w:rsidR="00464A3C">
        <w:rPr>
          <w:lang w:val="sr-Cyrl-BA"/>
        </w:rPr>
        <w:t xml:space="preserve">Прва рата овог кредита доспјела је на плаћање 15. децембра 2016. године, отплата </w:t>
      </w:r>
      <w:r w:rsidR="0099124D">
        <w:rPr>
          <w:lang w:val="sr-Cyrl-BA"/>
        </w:rPr>
        <w:t>се врши</w:t>
      </w:r>
      <w:r w:rsidR="00464A3C">
        <w:rPr>
          <w:lang w:val="sr-Cyrl-BA"/>
        </w:rPr>
        <w:t xml:space="preserve"> полугодишње - </w:t>
      </w:r>
      <w:r w:rsidR="00464A3C" w:rsidRPr="00A864E4">
        <w:rPr>
          <w:lang w:val="sr-Cyrl-BA"/>
        </w:rPr>
        <w:t xml:space="preserve">15. јуна и 15. децембра, а </w:t>
      </w:r>
      <w:r w:rsidR="00464A3C">
        <w:rPr>
          <w:lang w:val="sr-Cyrl-BA"/>
        </w:rPr>
        <w:t>завршава се</w:t>
      </w:r>
      <w:r w:rsidR="00464A3C" w:rsidRPr="00A864E4">
        <w:rPr>
          <w:lang w:val="sr-Cyrl-BA"/>
        </w:rPr>
        <w:t xml:space="preserve"> 15. јуна 2028. године.</w:t>
      </w:r>
      <w:r w:rsidR="003C6298">
        <w:rPr>
          <w:lang w:val="sr-Latn-RS"/>
        </w:rPr>
        <w:t xml:space="preserve"> </w:t>
      </w:r>
      <w:r w:rsidR="00464A3C" w:rsidRPr="00505E86">
        <w:rPr>
          <w:lang w:val="sr-Cyrl-BA"/>
        </w:rPr>
        <w:t>Потенцијални годишњи износ главнице дуга општине Пр</w:t>
      </w:r>
      <w:r w:rsidR="00464A3C">
        <w:rPr>
          <w:lang w:val="sr-Cyrl-BA"/>
        </w:rPr>
        <w:t>њавор по овој гаранцији износи</w:t>
      </w:r>
      <w:r w:rsidR="00464A3C" w:rsidRPr="00505E86">
        <w:t xml:space="preserve"> 12.500,00 EUR.</w:t>
      </w:r>
      <w:r w:rsidR="003C6298">
        <w:rPr>
          <w:lang w:val="sr-Latn-RS"/>
        </w:rPr>
        <w:t xml:space="preserve"> </w:t>
      </w:r>
      <w:r w:rsidR="0084260A" w:rsidRPr="0084260A">
        <w:t>Буџетом општине за 2020. годину планирана су средства за потенцијалне обавезе по основу издатих гаранција у износу од 25.000,00 КМ, иако ЈП „ДЕП-ОТ“ редовно измирује своје кредитне обавезе и од преласка кредита у отплату није било активирања дате гаранције.</w:t>
      </w:r>
      <w:r w:rsidR="003C6298">
        <w:rPr>
          <w:lang w:val="sr-Latn-RS"/>
        </w:rPr>
        <w:t xml:space="preserve"> </w:t>
      </w:r>
      <w:r w:rsidR="0084260A" w:rsidRPr="0084260A">
        <w:t>Стање гла</w:t>
      </w:r>
      <w:r w:rsidR="0084260A">
        <w:t>вни</w:t>
      </w:r>
      <w:r w:rsidR="003C6298">
        <w:t>це дуга ЈП „ДЕП-ОТ“ на дан 31.12</w:t>
      </w:r>
      <w:r w:rsidR="0084260A" w:rsidRPr="0084260A">
        <w:t>.2020. године износи 1.0</w:t>
      </w:r>
      <w:r w:rsidR="0084260A">
        <w:t>00</w:t>
      </w:r>
      <w:r w:rsidR="0084260A" w:rsidRPr="0084260A">
        <w:t>.</w:t>
      </w:r>
      <w:r w:rsidR="0084260A">
        <w:t>058,66</w:t>
      </w:r>
      <w:r w:rsidR="0084260A" w:rsidRPr="0084260A">
        <w:t xml:space="preserve"> ЕУР-а, што значи да потенцијалне обавезе општине Прњавор по основу издате гаранције до </w:t>
      </w:r>
      <w:r w:rsidR="0084260A">
        <w:t>краја периода отплате износе 100.005,87</w:t>
      </w:r>
      <w:r w:rsidR="003C6298">
        <w:t xml:space="preserve"> ЕУР-а, </w:t>
      </w:r>
      <w:proofErr w:type="spellStart"/>
      <w:r w:rsidR="003C6298">
        <w:t>одн</w:t>
      </w:r>
      <w:r w:rsidR="003C6298">
        <w:rPr>
          <w:lang w:val="sr-Cyrl-RS"/>
        </w:rPr>
        <w:t>осно</w:t>
      </w:r>
      <w:proofErr w:type="spellEnd"/>
      <w:r w:rsidR="003C6298">
        <w:rPr>
          <w:lang w:val="sr-Cyrl-RS"/>
        </w:rPr>
        <w:t xml:space="preserve">  </w:t>
      </w:r>
      <w:r w:rsidR="0084260A" w:rsidRPr="0084260A">
        <w:t xml:space="preserve"> </w:t>
      </w:r>
      <w:r w:rsidR="0084260A">
        <w:t>195.594,48</w:t>
      </w:r>
      <w:r w:rsidR="0084260A" w:rsidRPr="0084260A">
        <w:t xml:space="preserve"> KM, без припадајућих камата.</w:t>
      </w:r>
    </w:p>
    <w:p w14:paraId="5AF53BD0" w14:textId="77777777" w:rsidR="00464A3C" w:rsidRDefault="00464A3C" w:rsidP="00592A11">
      <w:pPr>
        <w:ind w:left="0" w:firstLine="0"/>
      </w:pPr>
    </w:p>
    <w:p w14:paraId="0D0471A2" w14:textId="77777777" w:rsidR="00C3532F" w:rsidRDefault="00592A11" w:rsidP="00C3532F">
      <w:pPr>
        <w:ind w:left="0" w:firstLine="0"/>
        <w:rPr>
          <w:lang w:val="sr-Cyrl-BA"/>
        </w:rPr>
      </w:pPr>
      <w:r>
        <w:tab/>
      </w:r>
      <w:r w:rsidR="00C3532F">
        <w:t>Дуг о</w:t>
      </w:r>
      <w:r w:rsidR="0084260A">
        <w:t>пшти</w:t>
      </w:r>
      <w:r w:rsidR="003C6298">
        <w:t>не Прњавор на дан 31.12</w:t>
      </w:r>
      <w:r w:rsidR="0084260A">
        <w:t>.2020</w:t>
      </w:r>
      <w:r w:rsidR="00C3532F">
        <w:t xml:space="preserve">. године (главница + </w:t>
      </w:r>
      <w:r w:rsidR="0099124D">
        <w:t>припадајуће</w:t>
      </w:r>
      <w:r w:rsidR="00C3532F">
        <w:t xml:space="preserve"> камате) износи </w:t>
      </w:r>
      <w:r w:rsidR="00B862F4">
        <w:t>8.</w:t>
      </w:r>
      <w:r w:rsidR="003C6298">
        <w:rPr>
          <w:lang w:val="sr-Cyrl-RS"/>
        </w:rPr>
        <w:t>696.106,19</w:t>
      </w:r>
      <w:r w:rsidR="00C3532F">
        <w:t xml:space="preserve"> КМ. </w:t>
      </w:r>
      <w:r w:rsidR="00FF6864">
        <w:t>Г</w:t>
      </w:r>
      <w:proofErr w:type="spellStart"/>
      <w:r w:rsidR="0084260A" w:rsidRPr="00FF7418">
        <w:rPr>
          <w:lang w:val="sr-Cyrl-BA"/>
        </w:rPr>
        <w:t>одишња</w:t>
      </w:r>
      <w:proofErr w:type="spellEnd"/>
      <w:r w:rsidR="0084260A" w:rsidRPr="00FF7418">
        <w:rPr>
          <w:lang w:val="sr-Cyrl-BA"/>
        </w:rPr>
        <w:t xml:space="preserve"> отплатна квота (главница + камата) општине Прњавор у </w:t>
      </w:r>
      <w:r w:rsidR="00B862F4">
        <w:rPr>
          <w:lang w:val="sr-Cyrl-BA"/>
        </w:rPr>
        <w:t>2020. години износи 1.204.125,89</w:t>
      </w:r>
      <w:r w:rsidR="0084260A" w:rsidRPr="00FF7418">
        <w:rPr>
          <w:lang w:val="sr-Cyrl-BA"/>
        </w:rPr>
        <w:t xml:space="preserve"> КМ. Стављањем у омјер овог износа са оствареним буџетским приходима (порески + </w:t>
      </w:r>
      <w:proofErr w:type="spellStart"/>
      <w:r w:rsidR="0084260A" w:rsidRPr="00FF7418">
        <w:rPr>
          <w:lang w:val="sr-Cyrl-BA"/>
        </w:rPr>
        <w:t>непорески</w:t>
      </w:r>
      <w:proofErr w:type="spellEnd"/>
      <w:r w:rsidR="0084260A" w:rsidRPr="00FF7418">
        <w:rPr>
          <w:lang w:val="sr-Cyrl-BA"/>
        </w:rPr>
        <w:t xml:space="preserve">) </w:t>
      </w:r>
      <w:r w:rsidR="00FF6864">
        <w:rPr>
          <w:lang w:val="sr-Cyrl-BA"/>
        </w:rPr>
        <w:t>из претходне године који су</w:t>
      </w:r>
      <w:r w:rsidR="0084260A" w:rsidRPr="00FF7418">
        <w:rPr>
          <w:lang w:val="sr-Cyrl-BA"/>
        </w:rPr>
        <w:t xml:space="preserve"> износили 13.353.741,75 КМ, добије се стопа задужености општине Прњавор у 2020. години од 9,01%.</w:t>
      </w:r>
    </w:p>
    <w:p w14:paraId="7E881556" w14:textId="77777777" w:rsidR="0041378B" w:rsidRDefault="0041378B" w:rsidP="00C3532F">
      <w:pPr>
        <w:ind w:left="0" w:firstLine="0"/>
        <w:rPr>
          <w:b/>
          <w:i/>
        </w:rPr>
      </w:pPr>
      <w:r>
        <w:rPr>
          <w:b/>
          <w:i/>
        </w:rPr>
        <w:tab/>
      </w:r>
    </w:p>
    <w:p w14:paraId="45A77B01" w14:textId="77777777" w:rsidR="001327CF" w:rsidRPr="001D1ECD" w:rsidRDefault="001327CF" w:rsidP="001327CF">
      <w:pPr>
        <w:pStyle w:val="Glavninaslovi"/>
        <w:outlineLvl w:val="0"/>
        <w:rPr>
          <w:sz w:val="24"/>
          <w:szCs w:val="24"/>
        </w:rPr>
      </w:pPr>
      <w:bookmarkStart w:id="106" w:name="_Toc510165520"/>
      <w:bookmarkStart w:id="107" w:name="_Toc510165775"/>
      <w:bookmarkStart w:id="108" w:name="_Toc38545350"/>
      <w:r w:rsidRPr="001D1ECD">
        <w:rPr>
          <w:sz w:val="24"/>
          <w:szCs w:val="24"/>
        </w:rPr>
        <w:t xml:space="preserve">8. ИНФОРМАЦИЈА О СТАЊУ </w:t>
      </w:r>
      <w:r w:rsidRPr="001D1ECD">
        <w:rPr>
          <w:sz w:val="24"/>
          <w:szCs w:val="24"/>
          <w:lang w:val="sr-Cyrl-RS"/>
        </w:rPr>
        <w:t>ИМОВИНЕ</w:t>
      </w:r>
      <w:r w:rsidRPr="001D1ECD">
        <w:rPr>
          <w:sz w:val="24"/>
          <w:szCs w:val="24"/>
        </w:rPr>
        <w:t>,</w:t>
      </w:r>
      <w:bookmarkEnd w:id="106"/>
      <w:bookmarkEnd w:id="107"/>
      <w:bookmarkEnd w:id="108"/>
    </w:p>
    <w:p w14:paraId="4526AB75" w14:textId="77777777" w:rsidR="001327CF" w:rsidRPr="001D1ECD" w:rsidRDefault="001327CF" w:rsidP="001327CF">
      <w:pPr>
        <w:pStyle w:val="Glavninaslovi"/>
        <w:spacing w:before="0"/>
        <w:outlineLvl w:val="0"/>
        <w:rPr>
          <w:sz w:val="24"/>
          <w:szCs w:val="24"/>
        </w:rPr>
      </w:pPr>
      <w:bookmarkStart w:id="109" w:name="_Toc510165776"/>
      <w:bookmarkStart w:id="110" w:name="_Toc38545351"/>
      <w:r w:rsidRPr="001D1ECD">
        <w:rPr>
          <w:sz w:val="24"/>
          <w:szCs w:val="24"/>
        </w:rPr>
        <w:t>ОБАВЕЗА И ИЗВОРА СРЕДСТАВА</w:t>
      </w:r>
      <w:bookmarkEnd w:id="109"/>
      <w:bookmarkEnd w:id="110"/>
    </w:p>
    <w:p w14:paraId="778C7607" w14:textId="77777777" w:rsidR="001327CF" w:rsidRPr="001D1ECD" w:rsidRDefault="001327CF" w:rsidP="001327CF">
      <w:pPr>
        <w:pStyle w:val="Glavninaslovi"/>
        <w:spacing w:before="0"/>
        <w:outlineLvl w:val="0"/>
        <w:rPr>
          <w:sz w:val="24"/>
          <w:szCs w:val="24"/>
        </w:rPr>
      </w:pPr>
    </w:p>
    <w:p w14:paraId="6298D22B" w14:textId="77777777" w:rsidR="001327CF" w:rsidRPr="001D1ECD" w:rsidRDefault="001327CF" w:rsidP="001327CF">
      <w:pPr>
        <w:ind w:left="0" w:firstLine="720"/>
        <w:rPr>
          <w:b/>
          <w:i/>
          <w:lang w:val="hr-HR"/>
        </w:rPr>
      </w:pPr>
      <w:r w:rsidRPr="001D1ECD">
        <w:rPr>
          <w:bCs/>
        </w:rPr>
        <w:lastRenderedPageBreak/>
        <w:t xml:space="preserve">Закон о буџетском систему Републике Српске („Службени гласник Републике Српске“, бр. 121/12, 52/14, 103/15 и 15/16) и Правилник о форми и садржају буџета и </w:t>
      </w:r>
      <w:proofErr w:type="spellStart"/>
      <w:r w:rsidRPr="001D1ECD">
        <w:rPr>
          <w:bCs/>
        </w:rPr>
        <w:t>извјештаја</w:t>
      </w:r>
      <w:proofErr w:type="spellEnd"/>
      <w:r w:rsidRPr="001D1ECD">
        <w:rPr>
          <w:bCs/>
        </w:rPr>
        <w:t xml:space="preserve"> о извршењу буџета („Службени гласник Републике Српске“, број 100/13</w:t>
      </w:r>
      <w:r w:rsidRPr="001D1ECD">
        <w:rPr>
          <w:bCs/>
          <w:lang w:val="sr-Cyrl-RS"/>
        </w:rPr>
        <w:t xml:space="preserve"> и 102/16</w:t>
      </w:r>
      <w:r w:rsidRPr="001D1ECD">
        <w:rPr>
          <w:bCs/>
        </w:rPr>
        <w:t xml:space="preserve">) прописују да годишњи </w:t>
      </w:r>
      <w:proofErr w:type="spellStart"/>
      <w:r w:rsidRPr="001D1ECD">
        <w:rPr>
          <w:bCs/>
        </w:rPr>
        <w:t>извјештај</w:t>
      </w:r>
      <w:proofErr w:type="spellEnd"/>
      <w:r w:rsidRPr="001D1ECD">
        <w:rPr>
          <w:bCs/>
        </w:rPr>
        <w:t xml:space="preserve"> о извршењу буџета треба да садржи и </w:t>
      </w:r>
      <w:proofErr w:type="spellStart"/>
      <w:r w:rsidRPr="001D1ECD">
        <w:rPr>
          <w:bCs/>
          <w:lang w:val="sr-Cyrl-RS"/>
        </w:rPr>
        <w:t>подаке</w:t>
      </w:r>
      <w:proofErr w:type="spellEnd"/>
      <w:r w:rsidRPr="001D1ECD">
        <w:rPr>
          <w:bCs/>
          <w:lang w:val="sr-Cyrl-RS"/>
        </w:rPr>
        <w:t xml:space="preserve"> о почетном и завршном стању имовине, обавеза и извора средстава. Информација о стању имовине, обавеза и извора средстава представљена је кроз биланс стања о</w:t>
      </w:r>
      <w:r>
        <w:rPr>
          <w:bCs/>
          <w:lang w:val="sr-Cyrl-RS"/>
        </w:rPr>
        <w:t>пштине Прњавор на дан 31.12.2020</w:t>
      </w:r>
      <w:r w:rsidRPr="001D1ECD">
        <w:rPr>
          <w:bCs/>
          <w:lang w:val="sr-Cyrl-RS"/>
        </w:rPr>
        <w:t xml:space="preserve">. године. Биланс стања је састављен као консолидовани </w:t>
      </w:r>
      <w:proofErr w:type="spellStart"/>
      <w:r w:rsidRPr="001D1ECD">
        <w:rPr>
          <w:bCs/>
          <w:lang w:val="sr-Cyrl-RS"/>
        </w:rPr>
        <w:t>извјештај</w:t>
      </w:r>
      <w:proofErr w:type="spellEnd"/>
      <w:r w:rsidRPr="001D1ECD">
        <w:rPr>
          <w:bCs/>
          <w:lang w:val="sr-Cyrl-RS"/>
        </w:rPr>
        <w:t xml:space="preserve">, одн. њиме су обухваћени сви корисници буџета чија је главна књига саставни </w:t>
      </w:r>
      <w:proofErr w:type="spellStart"/>
      <w:r w:rsidRPr="001D1ECD">
        <w:rPr>
          <w:bCs/>
          <w:lang w:val="sr-Cyrl-RS"/>
        </w:rPr>
        <w:t>дио</w:t>
      </w:r>
      <w:proofErr w:type="spellEnd"/>
      <w:r w:rsidRPr="001D1ECD">
        <w:rPr>
          <w:bCs/>
          <w:lang w:val="sr-Cyrl-RS"/>
        </w:rPr>
        <w:t xml:space="preserve"> Главне књиге локалног трезора општине, </w:t>
      </w:r>
      <w:r w:rsidRPr="001D1ECD">
        <w:rPr>
          <w:lang w:val="hr-HR"/>
        </w:rPr>
        <w:t xml:space="preserve">у </w:t>
      </w:r>
      <w:proofErr w:type="spellStart"/>
      <w:r w:rsidRPr="001D1ECD">
        <w:rPr>
          <w:lang w:val="hr-HR"/>
        </w:rPr>
        <w:t>складу</w:t>
      </w:r>
      <w:proofErr w:type="spellEnd"/>
      <w:r w:rsidRPr="001D1ECD">
        <w:rPr>
          <w:lang w:val="hr-HR"/>
        </w:rPr>
        <w:t xml:space="preserve"> </w:t>
      </w:r>
      <w:proofErr w:type="spellStart"/>
      <w:r w:rsidRPr="001D1ECD">
        <w:rPr>
          <w:lang w:val="hr-HR"/>
        </w:rPr>
        <w:t>са</w:t>
      </w:r>
      <w:proofErr w:type="spellEnd"/>
      <w:r w:rsidRPr="001D1ECD">
        <w:rPr>
          <w:lang w:val="hr-HR"/>
        </w:rPr>
        <w:t xml:space="preserve"> </w:t>
      </w:r>
      <w:proofErr w:type="spellStart"/>
      <w:r w:rsidRPr="001D1ECD">
        <w:rPr>
          <w:lang w:val="hr-HR"/>
        </w:rPr>
        <w:t>Одлуком</w:t>
      </w:r>
      <w:proofErr w:type="spellEnd"/>
      <w:r w:rsidRPr="001D1ECD">
        <w:rPr>
          <w:lang w:val="hr-HR"/>
        </w:rPr>
        <w:t xml:space="preserve"> о </w:t>
      </w:r>
      <w:proofErr w:type="spellStart"/>
      <w:r w:rsidRPr="001D1ECD">
        <w:rPr>
          <w:lang w:val="hr-HR"/>
        </w:rPr>
        <w:t>начину</w:t>
      </w:r>
      <w:proofErr w:type="spellEnd"/>
      <w:r w:rsidRPr="001D1ECD">
        <w:rPr>
          <w:lang w:val="hr-HR"/>
        </w:rPr>
        <w:t xml:space="preserve"> </w:t>
      </w:r>
      <w:proofErr w:type="spellStart"/>
      <w:r w:rsidRPr="001D1ECD">
        <w:rPr>
          <w:lang w:val="hr-HR"/>
        </w:rPr>
        <w:t>организовања</w:t>
      </w:r>
      <w:proofErr w:type="spellEnd"/>
      <w:r w:rsidRPr="001D1ECD">
        <w:rPr>
          <w:lang w:val="hr-HR"/>
        </w:rPr>
        <w:t xml:space="preserve"> </w:t>
      </w:r>
      <w:proofErr w:type="spellStart"/>
      <w:r w:rsidRPr="001D1ECD">
        <w:rPr>
          <w:lang w:val="hr-HR"/>
        </w:rPr>
        <w:t>општинског</w:t>
      </w:r>
      <w:proofErr w:type="spellEnd"/>
      <w:r w:rsidRPr="001D1ECD">
        <w:rPr>
          <w:lang w:val="hr-HR"/>
        </w:rPr>
        <w:t xml:space="preserve"> (</w:t>
      </w:r>
      <w:proofErr w:type="spellStart"/>
      <w:r w:rsidRPr="001D1ECD">
        <w:rPr>
          <w:lang w:val="hr-HR"/>
        </w:rPr>
        <w:t>локалног</w:t>
      </w:r>
      <w:proofErr w:type="spellEnd"/>
      <w:r w:rsidRPr="001D1ECD">
        <w:rPr>
          <w:lang w:val="hr-HR"/>
        </w:rPr>
        <w:t xml:space="preserve">) </w:t>
      </w:r>
      <w:proofErr w:type="spellStart"/>
      <w:r w:rsidRPr="001D1ECD">
        <w:rPr>
          <w:lang w:val="hr-HR"/>
        </w:rPr>
        <w:t>трезора</w:t>
      </w:r>
      <w:proofErr w:type="spellEnd"/>
      <w:r w:rsidRPr="001D1ECD">
        <w:rPr>
          <w:lang w:val="hr-HR"/>
        </w:rPr>
        <w:t xml:space="preserve"> </w:t>
      </w:r>
      <w:proofErr w:type="spellStart"/>
      <w:r w:rsidRPr="001D1ECD">
        <w:rPr>
          <w:lang w:val="hr-HR"/>
        </w:rPr>
        <w:t>општине</w:t>
      </w:r>
      <w:proofErr w:type="spellEnd"/>
      <w:r w:rsidRPr="001D1ECD">
        <w:rPr>
          <w:lang w:val="hr-HR"/>
        </w:rPr>
        <w:t xml:space="preserve"> </w:t>
      </w:r>
      <w:proofErr w:type="spellStart"/>
      <w:r w:rsidRPr="001D1ECD">
        <w:rPr>
          <w:lang w:val="hr-HR"/>
        </w:rPr>
        <w:t>Прњавор</w:t>
      </w:r>
      <w:proofErr w:type="spellEnd"/>
      <w:r w:rsidRPr="001D1ECD">
        <w:rPr>
          <w:lang w:val="hr-HR"/>
        </w:rPr>
        <w:t xml:space="preserve"> („</w:t>
      </w:r>
      <w:proofErr w:type="spellStart"/>
      <w:r w:rsidRPr="001D1ECD">
        <w:rPr>
          <w:lang w:val="hr-HR"/>
        </w:rPr>
        <w:t>Сл</w:t>
      </w:r>
      <w:r w:rsidRPr="001D1ECD">
        <w:t>ужбени</w:t>
      </w:r>
      <w:proofErr w:type="spellEnd"/>
      <w:r w:rsidRPr="001D1ECD">
        <w:rPr>
          <w:lang w:val="hr-HR"/>
        </w:rPr>
        <w:t xml:space="preserve"> </w:t>
      </w:r>
      <w:proofErr w:type="spellStart"/>
      <w:r w:rsidRPr="001D1ECD">
        <w:rPr>
          <w:lang w:val="hr-HR"/>
        </w:rPr>
        <w:t>гласник</w:t>
      </w:r>
      <w:proofErr w:type="spellEnd"/>
      <w:r w:rsidRPr="001D1ECD">
        <w:rPr>
          <w:lang w:val="hr-HR"/>
        </w:rPr>
        <w:t xml:space="preserve"> </w:t>
      </w:r>
      <w:proofErr w:type="spellStart"/>
      <w:r w:rsidRPr="001D1ECD">
        <w:rPr>
          <w:lang w:val="hr-HR"/>
        </w:rPr>
        <w:t>општине</w:t>
      </w:r>
      <w:proofErr w:type="spellEnd"/>
      <w:r w:rsidRPr="001D1ECD">
        <w:rPr>
          <w:lang w:val="hr-HR"/>
        </w:rPr>
        <w:t xml:space="preserve"> </w:t>
      </w:r>
      <w:proofErr w:type="spellStart"/>
      <w:r w:rsidRPr="001D1ECD">
        <w:rPr>
          <w:lang w:val="hr-HR"/>
        </w:rPr>
        <w:t>Прњавор</w:t>
      </w:r>
      <w:proofErr w:type="spellEnd"/>
      <w:r w:rsidRPr="001D1ECD">
        <w:rPr>
          <w:lang w:val="hr-HR"/>
        </w:rPr>
        <w:t xml:space="preserve">“, </w:t>
      </w:r>
      <w:proofErr w:type="spellStart"/>
      <w:r w:rsidRPr="001D1ECD">
        <w:rPr>
          <w:lang w:val="hr-HR"/>
        </w:rPr>
        <w:t>број</w:t>
      </w:r>
      <w:proofErr w:type="spellEnd"/>
      <w:r w:rsidRPr="001D1ECD">
        <w:rPr>
          <w:lang w:val="hr-HR"/>
        </w:rPr>
        <w:t xml:space="preserve"> </w:t>
      </w:r>
      <w:r w:rsidRPr="001D1ECD">
        <w:rPr>
          <w:lang w:val="sr-Cyrl-RS"/>
        </w:rPr>
        <w:t>32/17 и 18/19</w:t>
      </w:r>
      <w:r w:rsidRPr="001D1ECD">
        <w:rPr>
          <w:lang w:val="hr-HR"/>
        </w:rPr>
        <w:t>).</w:t>
      </w:r>
    </w:p>
    <w:p w14:paraId="1BC39D8E" w14:textId="77777777" w:rsidR="001327CF" w:rsidRPr="001D1ECD" w:rsidRDefault="001327CF" w:rsidP="001327CF">
      <w:pPr>
        <w:ind w:left="0" w:firstLine="720"/>
        <w:rPr>
          <w:lang w:val="hr-HR"/>
        </w:rPr>
      </w:pPr>
      <w:proofErr w:type="spellStart"/>
      <w:r w:rsidRPr="001D1ECD">
        <w:rPr>
          <w:lang w:val="hr-HR"/>
        </w:rPr>
        <w:t>Консолидованим</w:t>
      </w:r>
      <w:proofErr w:type="spellEnd"/>
      <w:r w:rsidRPr="001D1ECD">
        <w:rPr>
          <w:lang w:val="hr-HR"/>
        </w:rPr>
        <w:t xml:space="preserve"> </w:t>
      </w:r>
      <w:r w:rsidRPr="001D1ECD">
        <w:rPr>
          <w:lang w:val="sr-Cyrl-RS"/>
        </w:rPr>
        <w:t>билансом стања</w:t>
      </w:r>
      <w:r>
        <w:rPr>
          <w:lang w:val="hr-HR"/>
        </w:rPr>
        <w:t xml:space="preserve"> </w:t>
      </w:r>
      <w:proofErr w:type="spellStart"/>
      <w:r>
        <w:rPr>
          <w:lang w:val="hr-HR"/>
        </w:rPr>
        <w:t>за</w:t>
      </w:r>
      <w:proofErr w:type="spellEnd"/>
      <w:r>
        <w:rPr>
          <w:lang w:val="hr-HR"/>
        </w:rPr>
        <w:t xml:space="preserve"> 2020</w:t>
      </w:r>
      <w:r w:rsidRPr="001D1ECD">
        <w:rPr>
          <w:lang w:val="hr-HR"/>
        </w:rPr>
        <w:t xml:space="preserve">. </w:t>
      </w:r>
      <w:proofErr w:type="spellStart"/>
      <w:r w:rsidRPr="001D1ECD">
        <w:rPr>
          <w:lang w:val="hr-HR"/>
        </w:rPr>
        <w:t>годину</w:t>
      </w:r>
      <w:proofErr w:type="spellEnd"/>
      <w:r w:rsidRPr="001D1ECD">
        <w:rPr>
          <w:lang w:val="hr-HR"/>
        </w:rPr>
        <w:t xml:space="preserve"> </w:t>
      </w:r>
      <w:proofErr w:type="spellStart"/>
      <w:r w:rsidRPr="001D1ECD">
        <w:rPr>
          <w:lang w:val="hr-HR"/>
        </w:rPr>
        <w:t>обухваћена</w:t>
      </w:r>
      <w:proofErr w:type="spellEnd"/>
      <w:r w:rsidRPr="001D1ECD">
        <w:rPr>
          <w:lang w:val="hr-HR"/>
        </w:rPr>
        <w:t xml:space="preserve"> </w:t>
      </w:r>
      <w:proofErr w:type="spellStart"/>
      <w:r w:rsidRPr="001D1ECD">
        <w:rPr>
          <w:lang w:val="hr-HR"/>
        </w:rPr>
        <w:t>је</w:t>
      </w:r>
      <w:proofErr w:type="spellEnd"/>
      <w:r w:rsidRPr="001D1ECD">
        <w:rPr>
          <w:lang w:val="hr-HR"/>
        </w:rPr>
        <w:t xml:space="preserve"> и </w:t>
      </w:r>
      <w:proofErr w:type="spellStart"/>
      <w:r w:rsidRPr="001D1ECD">
        <w:rPr>
          <w:lang w:val="hr-HR"/>
        </w:rPr>
        <w:t>вриједност</w:t>
      </w:r>
      <w:proofErr w:type="spellEnd"/>
      <w:r w:rsidRPr="001D1ECD">
        <w:rPr>
          <w:lang w:val="hr-HR"/>
        </w:rPr>
        <w:t xml:space="preserve"> </w:t>
      </w:r>
      <w:proofErr w:type="spellStart"/>
      <w:r w:rsidRPr="001D1ECD">
        <w:rPr>
          <w:lang w:val="hr-HR"/>
        </w:rPr>
        <w:t>капитала</w:t>
      </w:r>
      <w:proofErr w:type="spellEnd"/>
      <w:r w:rsidRPr="001D1ECD">
        <w:rPr>
          <w:lang w:val="hr-HR"/>
        </w:rPr>
        <w:t xml:space="preserve"> / </w:t>
      </w:r>
      <w:proofErr w:type="spellStart"/>
      <w:r w:rsidRPr="001D1ECD">
        <w:rPr>
          <w:lang w:val="hr-HR"/>
        </w:rPr>
        <w:t>нето</w:t>
      </w:r>
      <w:proofErr w:type="spellEnd"/>
      <w:r w:rsidRPr="001D1ECD">
        <w:rPr>
          <w:lang w:val="hr-HR"/>
        </w:rPr>
        <w:t xml:space="preserve"> </w:t>
      </w:r>
      <w:proofErr w:type="spellStart"/>
      <w:r w:rsidRPr="001D1ECD">
        <w:rPr>
          <w:lang w:val="hr-HR"/>
        </w:rPr>
        <w:t>имовине</w:t>
      </w:r>
      <w:proofErr w:type="spellEnd"/>
      <w:r w:rsidRPr="001D1ECD">
        <w:rPr>
          <w:lang w:val="hr-HR"/>
        </w:rPr>
        <w:t xml:space="preserve"> </w:t>
      </w:r>
      <w:proofErr w:type="spellStart"/>
      <w:r w:rsidRPr="001D1ECD">
        <w:rPr>
          <w:lang w:val="hr-HR"/>
        </w:rPr>
        <w:t>осталих</w:t>
      </w:r>
      <w:proofErr w:type="spellEnd"/>
      <w:r w:rsidRPr="001D1ECD">
        <w:rPr>
          <w:lang w:val="hr-HR"/>
        </w:rPr>
        <w:t xml:space="preserve"> </w:t>
      </w:r>
      <w:proofErr w:type="spellStart"/>
      <w:r w:rsidRPr="001D1ECD">
        <w:rPr>
          <w:lang w:val="hr-HR"/>
        </w:rPr>
        <w:t>контролисаних</w:t>
      </w:r>
      <w:proofErr w:type="spellEnd"/>
      <w:r w:rsidRPr="001D1ECD">
        <w:rPr>
          <w:lang w:val="hr-HR"/>
        </w:rPr>
        <w:t xml:space="preserve"> </w:t>
      </w:r>
      <w:proofErr w:type="spellStart"/>
      <w:r w:rsidRPr="001D1ECD">
        <w:rPr>
          <w:lang w:val="hr-HR"/>
        </w:rPr>
        <w:t>ентитета</w:t>
      </w:r>
      <w:proofErr w:type="spellEnd"/>
      <w:r w:rsidRPr="001D1ECD">
        <w:rPr>
          <w:lang w:val="hr-HR"/>
        </w:rPr>
        <w:t xml:space="preserve"> </w:t>
      </w:r>
      <w:proofErr w:type="spellStart"/>
      <w:r w:rsidRPr="001D1ECD">
        <w:rPr>
          <w:lang w:val="hr-HR"/>
        </w:rPr>
        <w:t>јавног</w:t>
      </w:r>
      <w:proofErr w:type="spellEnd"/>
      <w:r w:rsidRPr="001D1ECD">
        <w:rPr>
          <w:lang w:val="hr-HR"/>
        </w:rPr>
        <w:t xml:space="preserve"> </w:t>
      </w:r>
      <w:proofErr w:type="spellStart"/>
      <w:r w:rsidRPr="001D1ECD">
        <w:rPr>
          <w:lang w:val="hr-HR"/>
        </w:rPr>
        <w:t>сектора</w:t>
      </w:r>
      <w:proofErr w:type="spellEnd"/>
      <w:r w:rsidRPr="001D1ECD">
        <w:rPr>
          <w:lang w:val="sr-Cyrl-RS"/>
        </w:rPr>
        <w:t xml:space="preserve"> (КП „Водовод“ </w:t>
      </w:r>
      <w:proofErr w:type="spellStart"/>
      <w:r w:rsidRPr="001D1ECD">
        <w:rPr>
          <w:lang w:val="sr-Cyrl-RS"/>
        </w:rPr>
        <w:t>а.д</w:t>
      </w:r>
      <w:proofErr w:type="spellEnd"/>
      <w:r w:rsidRPr="001D1ECD">
        <w:rPr>
          <w:lang w:val="sr-Cyrl-RS"/>
        </w:rPr>
        <w:t>. П</w:t>
      </w:r>
      <w:r>
        <w:rPr>
          <w:lang w:val="sr-Cyrl-RS"/>
        </w:rPr>
        <w:t xml:space="preserve">рњавор, КП „Парк“ </w:t>
      </w:r>
      <w:proofErr w:type="spellStart"/>
      <w:r>
        <w:rPr>
          <w:lang w:val="sr-Cyrl-RS"/>
        </w:rPr>
        <w:t>а.д</w:t>
      </w:r>
      <w:proofErr w:type="spellEnd"/>
      <w:r>
        <w:rPr>
          <w:lang w:val="sr-Cyrl-RS"/>
        </w:rPr>
        <w:t>. Прњавор,</w:t>
      </w:r>
      <w:r w:rsidRPr="001D1ECD">
        <w:rPr>
          <w:lang w:val="sr-Cyrl-RS"/>
        </w:rPr>
        <w:t xml:space="preserve"> ЈП „ДЕП-ОТ“ </w:t>
      </w:r>
      <w:proofErr w:type="spellStart"/>
      <w:r w:rsidRPr="001D1ECD">
        <w:rPr>
          <w:lang w:val="sr-Cyrl-RS"/>
        </w:rPr>
        <w:t>а.д</w:t>
      </w:r>
      <w:proofErr w:type="spellEnd"/>
      <w:r w:rsidRPr="001D1ECD">
        <w:rPr>
          <w:lang w:val="sr-Cyrl-RS"/>
        </w:rPr>
        <w:t>. Бањалука</w:t>
      </w:r>
      <w:r>
        <w:rPr>
          <w:lang w:val="sr-Latn-RS"/>
        </w:rPr>
        <w:t xml:space="preserve">, </w:t>
      </w:r>
      <w:r>
        <w:rPr>
          <w:lang w:val="sr-Cyrl-RS"/>
        </w:rPr>
        <w:t>ЈП „Радио Прњавор“ и ЈЗУ „Дом здравља Прњавор</w:t>
      </w:r>
      <w:r w:rsidR="00AC145A">
        <w:rPr>
          <w:lang w:val="sr-Latn-RS"/>
        </w:rPr>
        <w:t>“</w:t>
      </w:r>
      <w:r w:rsidRPr="001D1ECD">
        <w:rPr>
          <w:lang w:val="sr-Cyrl-RS"/>
        </w:rPr>
        <w:t>)</w:t>
      </w:r>
      <w:r w:rsidRPr="001D1ECD">
        <w:rPr>
          <w:lang w:val="hr-HR"/>
        </w:rPr>
        <w:t xml:space="preserve">, у </w:t>
      </w:r>
      <w:proofErr w:type="spellStart"/>
      <w:r w:rsidRPr="001D1ECD">
        <w:rPr>
          <w:lang w:val="hr-HR"/>
        </w:rPr>
        <w:t>складу</w:t>
      </w:r>
      <w:proofErr w:type="spellEnd"/>
      <w:r w:rsidRPr="001D1ECD">
        <w:rPr>
          <w:lang w:val="hr-HR"/>
        </w:rPr>
        <w:t xml:space="preserve"> </w:t>
      </w:r>
      <w:proofErr w:type="spellStart"/>
      <w:r w:rsidRPr="001D1ECD">
        <w:rPr>
          <w:lang w:val="hr-HR"/>
        </w:rPr>
        <w:t>са</w:t>
      </w:r>
      <w:proofErr w:type="spellEnd"/>
      <w:r w:rsidRPr="001D1ECD">
        <w:rPr>
          <w:lang w:val="hr-HR"/>
        </w:rPr>
        <w:t xml:space="preserve"> </w:t>
      </w:r>
      <w:proofErr w:type="spellStart"/>
      <w:r w:rsidRPr="001D1ECD">
        <w:rPr>
          <w:lang w:val="hr-HR"/>
        </w:rPr>
        <w:t>чланом</w:t>
      </w:r>
      <w:proofErr w:type="spellEnd"/>
      <w:r w:rsidRPr="001D1ECD">
        <w:rPr>
          <w:lang w:val="hr-HR"/>
        </w:rPr>
        <w:t xml:space="preserve"> 1</w:t>
      </w:r>
      <w:r w:rsidRPr="001D1ECD">
        <w:rPr>
          <w:lang w:val="sr-Cyrl-RS"/>
        </w:rPr>
        <w:t>21</w:t>
      </w:r>
      <w:r w:rsidRPr="001D1ECD">
        <w:rPr>
          <w:lang w:val="hr-HR"/>
        </w:rPr>
        <w:t xml:space="preserve">. </w:t>
      </w:r>
      <w:proofErr w:type="spellStart"/>
      <w:r w:rsidRPr="001D1ECD">
        <w:rPr>
          <w:lang w:val="hr-HR"/>
        </w:rPr>
        <w:t>Правилника</w:t>
      </w:r>
      <w:proofErr w:type="spellEnd"/>
      <w:r w:rsidRPr="001D1ECD">
        <w:rPr>
          <w:lang w:val="hr-HR"/>
        </w:rPr>
        <w:t xml:space="preserve"> о </w:t>
      </w:r>
      <w:proofErr w:type="spellStart"/>
      <w:r w:rsidRPr="001D1ECD">
        <w:rPr>
          <w:lang w:val="hr-HR"/>
        </w:rPr>
        <w:t>рачуноводству</w:t>
      </w:r>
      <w:proofErr w:type="spellEnd"/>
      <w:r w:rsidRPr="001D1ECD">
        <w:rPr>
          <w:lang w:val="hr-HR"/>
        </w:rPr>
        <w:t xml:space="preserve">, </w:t>
      </w:r>
      <w:proofErr w:type="spellStart"/>
      <w:r w:rsidRPr="001D1ECD">
        <w:rPr>
          <w:lang w:val="hr-HR"/>
        </w:rPr>
        <w:t>рачунов</w:t>
      </w:r>
      <w:r w:rsidRPr="001D1ECD">
        <w:t>одственим</w:t>
      </w:r>
      <w:proofErr w:type="spellEnd"/>
      <w:r w:rsidRPr="001D1ECD">
        <w:rPr>
          <w:lang w:val="hr-HR"/>
        </w:rPr>
        <w:t xml:space="preserve"> </w:t>
      </w:r>
      <w:proofErr w:type="spellStart"/>
      <w:r w:rsidRPr="001D1ECD">
        <w:rPr>
          <w:lang w:val="hr-HR"/>
        </w:rPr>
        <w:t>политикама</w:t>
      </w:r>
      <w:proofErr w:type="spellEnd"/>
      <w:r w:rsidRPr="001D1ECD">
        <w:rPr>
          <w:lang w:val="hr-HR"/>
        </w:rPr>
        <w:t xml:space="preserve"> и </w:t>
      </w:r>
      <w:proofErr w:type="spellStart"/>
      <w:r w:rsidRPr="001D1ECD">
        <w:rPr>
          <w:lang w:val="hr-HR"/>
        </w:rPr>
        <w:t>рачунов</w:t>
      </w:r>
      <w:r w:rsidRPr="001D1ECD">
        <w:t>одственим</w:t>
      </w:r>
      <w:proofErr w:type="spellEnd"/>
      <w:r w:rsidRPr="001D1ECD">
        <w:rPr>
          <w:lang w:val="hr-HR"/>
        </w:rPr>
        <w:t xml:space="preserve"> </w:t>
      </w:r>
      <w:proofErr w:type="spellStart"/>
      <w:r w:rsidRPr="001D1ECD">
        <w:rPr>
          <w:lang w:val="hr-HR"/>
        </w:rPr>
        <w:t>процјенама</w:t>
      </w:r>
      <w:proofErr w:type="spellEnd"/>
      <w:r w:rsidRPr="001D1ECD">
        <w:rPr>
          <w:lang w:val="hr-HR"/>
        </w:rPr>
        <w:t xml:space="preserve"> </w:t>
      </w:r>
      <w:proofErr w:type="spellStart"/>
      <w:r w:rsidRPr="001D1ECD">
        <w:rPr>
          <w:lang w:val="hr-HR"/>
        </w:rPr>
        <w:t>за</w:t>
      </w:r>
      <w:proofErr w:type="spellEnd"/>
      <w:r w:rsidRPr="001D1ECD">
        <w:rPr>
          <w:lang w:val="hr-HR"/>
        </w:rPr>
        <w:t xml:space="preserve"> </w:t>
      </w:r>
      <w:proofErr w:type="spellStart"/>
      <w:r w:rsidRPr="001D1ECD">
        <w:rPr>
          <w:lang w:val="hr-HR"/>
        </w:rPr>
        <w:t>буџетске</w:t>
      </w:r>
      <w:proofErr w:type="spellEnd"/>
      <w:r w:rsidRPr="001D1ECD">
        <w:rPr>
          <w:lang w:val="hr-HR"/>
        </w:rPr>
        <w:t xml:space="preserve"> </w:t>
      </w:r>
      <w:proofErr w:type="spellStart"/>
      <w:r w:rsidRPr="001D1ECD">
        <w:rPr>
          <w:lang w:val="hr-HR"/>
        </w:rPr>
        <w:t>кориснике</w:t>
      </w:r>
      <w:proofErr w:type="spellEnd"/>
      <w:r w:rsidRPr="001D1ECD">
        <w:rPr>
          <w:lang w:val="hr-HR"/>
        </w:rPr>
        <w:t xml:space="preserve"> у </w:t>
      </w:r>
      <w:proofErr w:type="spellStart"/>
      <w:r w:rsidRPr="001D1ECD">
        <w:rPr>
          <w:lang w:val="hr-HR"/>
        </w:rPr>
        <w:t>Републици</w:t>
      </w:r>
      <w:proofErr w:type="spellEnd"/>
      <w:r w:rsidRPr="001D1ECD">
        <w:rPr>
          <w:lang w:val="hr-HR"/>
        </w:rPr>
        <w:t xml:space="preserve"> </w:t>
      </w:r>
      <w:proofErr w:type="spellStart"/>
      <w:r w:rsidRPr="001D1ECD">
        <w:rPr>
          <w:lang w:val="hr-HR"/>
        </w:rPr>
        <w:t>Српској</w:t>
      </w:r>
      <w:proofErr w:type="spellEnd"/>
      <w:r w:rsidRPr="001D1ECD">
        <w:rPr>
          <w:lang w:val="hr-HR"/>
        </w:rPr>
        <w:t xml:space="preserve"> („</w:t>
      </w:r>
      <w:proofErr w:type="spellStart"/>
      <w:r w:rsidRPr="001D1ECD">
        <w:rPr>
          <w:lang w:val="hr-HR"/>
        </w:rPr>
        <w:t>Службени</w:t>
      </w:r>
      <w:proofErr w:type="spellEnd"/>
      <w:r w:rsidRPr="001D1ECD">
        <w:rPr>
          <w:lang w:val="hr-HR"/>
        </w:rPr>
        <w:t xml:space="preserve"> </w:t>
      </w:r>
      <w:proofErr w:type="spellStart"/>
      <w:r w:rsidRPr="001D1ECD">
        <w:rPr>
          <w:lang w:val="hr-HR"/>
        </w:rPr>
        <w:t>гласник</w:t>
      </w:r>
      <w:proofErr w:type="spellEnd"/>
      <w:r w:rsidRPr="001D1ECD">
        <w:rPr>
          <w:lang w:val="hr-HR"/>
        </w:rPr>
        <w:t xml:space="preserve"> </w:t>
      </w:r>
      <w:proofErr w:type="spellStart"/>
      <w:r w:rsidRPr="001D1ECD">
        <w:rPr>
          <w:lang w:val="hr-HR"/>
        </w:rPr>
        <w:t>Републике</w:t>
      </w:r>
      <w:proofErr w:type="spellEnd"/>
      <w:r w:rsidRPr="001D1ECD">
        <w:rPr>
          <w:lang w:val="hr-HR"/>
        </w:rPr>
        <w:t xml:space="preserve"> </w:t>
      </w:r>
      <w:proofErr w:type="spellStart"/>
      <w:r w:rsidRPr="001D1ECD">
        <w:rPr>
          <w:lang w:val="hr-HR"/>
        </w:rPr>
        <w:t>Српске</w:t>
      </w:r>
      <w:proofErr w:type="spellEnd"/>
      <w:r w:rsidRPr="001D1ECD">
        <w:rPr>
          <w:lang w:val="hr-HR"/>
        </w:rPr>
        <w:t xml:space="preserve">“, </w:t>
      </w:r>
      <w:proofErr w:type="spellStart"/>
      <w:r w:rsidRPr="001D1ECD">
        <w:rPr>
          <w:lang w:val="hr-HR"/>
        </w:rPr>
        <w:t>број</w:t>
      </w:r>
      <w:proofErr w:type="spellEnd"/>
      <w:r w:rsidRPr="001D1ECD">
        <w:rPr>
          <w:lang w:val="hr-HR"/>
        </w:rPr>
        <w:t xml:space="preserve"> </w:t>
      </w:r>
      <w:r w:rsidRPr="001D1ECD">
        <w:rPr>
          <w:lang w:val="sr-Cyrl-RS"/>
        </w:rPr>
        <w:t>115/17 и 118/19</w:t>
      </w:r>
      <w:r w:rsidRPr="001D1ECD">
        <w:rPr>
          <w:lang w:val="hr-HR"/>
        </w:rPr>
        <w:t xml:space="preserve">).   </w:t>
      </w:r>
    </w:p>
    <w:p w14:paraId="3A801393" w14:textId="77777777" w:rsidR="001327CF" w:rsidRDefault="001327CF" w:rsidP="00C3532F">
      <w:pPr>
        <w:ind w:left="0" w:firstLine="0"/>
        <w:rPr>
          <w:b/>
        </w:rPr>
      </w:pPr>
    </w:p>
    <w:p w14:paraId="5E7BB0B6" w14:textId="77777777" w:rsidR="008B4BFE" w:rsidRDefault="008B4BFE" w:rsidP="00C3532F">
      <w:pPr>
        <w:ind w:left="0" w:firstLine="0"/>
        <w:rPr>
          <w:b/>
        </w:rPr>
      </w:pPr>
    </w:p>
    <w:p w14:paraId="4A372CCE" w14:textId="77777777" w:rsidR="008B4BFE" w:rsidRDefault="008B4BFE" w:rsidP="00C3532F">
      <w:pPr>
        <w:ind w:left="0" w:firstLine="0"/>
        <w:rPr>
          <w:b/>
        </w:rPr>
      </w:pPr>
    </w:p>
    <w:p w14:paraId="41BEA9E3" w14:textId="77777777" w:rsidR="008B4BFE" w:rsidRDefault="008B4BFE" w:rsidP="00C3532F">
      <w:pPr>
        <w:ind w:left="0" w:firstLine="0"/>
        <w:rPr>
          <w:b/>
        </w:rPr>
      </w:pPr>
    </w:p>
    <w:p w14:paraId="4A883524" w14:textId="77777777" w:rsidR="008B4BFE" w:rsidRDefault="008B4BFE" w:rsidP="00C3532F">
      <w:pPr>
        <w:ind w:left="0" w:firstLine="0"/>
        <w:rPr>
          <w:b/>
        </w:rPr>
      </w:pPr>
    </w:p>
    <w:p w14:paraId="666B9173" w14:textId="77777777" w:rsidR="00E312F9" w:rsidRDefault="00E312F9" w:rsidP="00C3532F">
      <w:pPr>
        <w:ind w:left="0" w:firstLine="0"/>
        <w:rPr>
          <w:b/>
        </w:rPr>
      </w:pPr>
    </w:p>
    <w:p w14:paraId="47B7CDC8" w14:textId="77777777" w:rsidR="00E312F9" w:rsidRDefault="00E312F9" w:rsidP="00C3532F">
      <w:pPr>
        <w:ind w:left="0" w:firstLine="0"/>
        <w:rPr>
          <w:b/>
        </w:rPr>
      </w:pPr>
    </w:p>
    <w:p w14:paraId="715E45CC" w14:textId="77777777" w:rsidR="00E312F9" w:rsidRDefault="00E312F9" w:rsidP="00C3532F">
      <w:pPr>
        <w:ind w:left="0" w:firstLine="0"/>
        <w:rPr>
          <w:b/>
        </w:rPr>
      </w:pPr>
    </w:p>
    <w:p w14:paraId="48A8A2A3" w14:textId="77777777" w:rsidR="00E312F9" w:rsidRDefault="00E312F9" w:rsidP="00C3532F">
      <w:pPr>
        <w:ind w:left="0" w:firstLine="0"/>
        <w:rPr>
          <w:b/>
        </w:rPr>
      </w:pPr>
    </w:p>
    <w:p w14:paraId="0874270D" w14:textId="77777777" w:rsidR="00E312F9" w:rsidRDefault="00E312F9" w:rsidP="00C3532F">
      <w:pPr>
        <w:ind w:left="0" w:firstLine="0"/>
        <w:rPr>
          <w:b/>
        </w:rPr>
      </w:pPr>
    </w:p>
    <w:p w14:paraId="6B0ADD69" w14:textId="77777777" w:rsidR="00E312F9" w:rsidRDefault="00E312F9" w:rsidP="00C3532F">
      <w:pPr>
        <w:ind w:left="0" w:firstLine="0"/>
        <w:rPr>
          <w:b/>
        </w:rPr>
      </w:pPr>
    </w:p>
    <w:p w14:paraId="1ADCEE1F" w14:textId="77777777" w:rsidR="00E312F9" w:rsidRDefault="00E312F9" w:rsidP="00C3532F">
      <w:pPr>
        <w:ind w:left="0" w:firstLine="0"/>
        <w:rPr>
          <w:b/>
        </w:rPr>
      </w:pPr>
    </w:p>
    <w:p w14:paraId="28A7E12C" w14:textId="77777777" w:rsidR="00E312F9" w:rsidRDefault="00E312F9" w:rsidP="00C3532F">
      <w:pPr>
        <w:ind w:left="0" w:firstLine="0"/>
        <w:rPr>
          <w:b/>
        </w:rPr>
      </w:pPr>
    </w:p>
    <w:p w14:paraId="4B761A84" w14:textId="77777777" w:rsidR="00E312F9" w:rsidRDefault="00E312F9" w:rsidP="00C3532F">
      <w:pPr>
        <w:ind w:left="0" w:firstLine="0"/>
        <w:rPr>
          <w:b/>
        </w:rPr>
      </w:pPr>
    </w:p>
    <w:p w14:paraId="0CE42960" w14:textId="77777777" w:rsidR="00E312F9" w:rsidRDefault="00E312F9" w:rsidP="00C3532F">
      <w:pPr>
        <w:ind w:left="0" w:firstLine="0"/>
        <w:rPr>
          <w:b/>
        </w:rPr>
      </w:pPr>
    </w:p>
    <w:p w14:paraId="2813FF2D" w14:textId="77777777" w:rsidR="00E312F9" w:rsidRDefault="00E312F9" w:rsidP="00C3532F">
      <w:pPr>
        <w:ind w:left="0" w:firstLine="0"/>
        <w:rPr>
          <w:b/>
        </w:rPr>
      </w:pPr>
    </w:p>
    <w:p w14:paraId="223116C6" w14:textId="77777777" w:rsidR="008B4BFE" w:rsidRPr="001327CF" w:rsidRDefault="008B4BFE" w:rsidP="00C3532F">
      <w:pPr>
        <w:ind w:left="0" w:firstLine="0"/>
        <w:rPr>
          <w:b/>
        </w:rPr>
      </w:pPr>
    </w:p>
    <w:p w14:paraId="504370F6" w14:textId="77777777" w:rsidR="001327CF" w:rsidRPr="001D1ECD" w:rsidRDefault="001327CF" w:rsidP="001327CF">
      <w:pPr>
        <w:jc w:val="center"/>
        <w:rPr>
          <w:b/>
        </w:rPr>
      </w:pPr>
      <w:r w:rsidRPr="001D1ECD">
        <w:rPr>
          <w:b/>
        </w:rPr>
        <w:t>КОНСОЛИДОВАНИ БИЛАНС СТАЊА ОПШТИНЕ ПРЊАВОР</w:t>
      </w:r>
    </w:p>
    <w:p w14:paraId="46516EB3" w14:textId="77777777" w:rsidR="00D602DD" w:rsidRDefault="001327CF" w:rsidP="001327CF">
      <w:pPr>
        <w:ind w:left="0" w:firstLine="0"/>
        <w:jc w:val="center"/>
        <w:rPr>
          <w:b/>
        </w:rPr>
      </w:pPr>
      <w:r>
        <w:rPr>
          <w:b/>
        </w:rPr>
        <w:t>на дан 31.12.2020</w:t>
      </w:r>
      <w:r w:rsidRPr="001D1ECD">
        <w:rPr>
          <w:b/>
        </w:rPr>
        <w:t>. године</w:t>
      </w:r>
    </w:p>
    <w:tbl>
      <w:tblPr>
        <w:tblW w:w="11033" w:type="dxa"/>
        <w:tblInd w:w="-743" w:type="dxa"/>
        <w:tblLook w:val="04A0" w:firstRow="1" w:lastRow="0" w:firstColumn="1" w:lastColumn="0" w:noHBand="0" w:noVBand="1"/>
      </w:tblPr>
      <w:tblGrid>
        <w:gridCol w:w="862"/>
        <w:gridCol w:w="3817"/>
        <w:gridCol w:w="919"/>
        <w:gridCol w:w="1325"/>
        <w:gridCol w:w="1417"/>
        <w:gridCol w:w="1417"/>
        <w:gridCol w:w="1276"/>
      </w:tblGrid>
      <w:tr w:rsidR="0060234A" w:rsidRPr="0060234A" w14:paraId="1C453BDF" w14:textId="77777777" w:rsidTr="0060234A">
        <w:trPr>
          <w:trHeight w:val="300"/>
          <w:tblHeader/>
        </w:trPr>
        <w:tc>
          <w:tcPr>
            <w:tcW w:w="862" w:type="dxa"/>
            <w:tcBorders>
              <w:top w:val="single" w:sz="4" w:space="0" w:color="auto"/>
              <w:left w:val="single" w:sz="4" w:space="0" w:color="auto"/>
              <w:bottom w:val="nil"/>
              <w:right w:val="single" w:sz="4" w:space="0" w:color="auto"/>
            </w:tcBorders>
            <w:shd w:val="clear" w:color="000000" w:fill="F2F2F2"/>
            <w:vAlign w:val="center"/>
            <w:hideMark/>
          </w:tcPr>
          <w:p w14:paraId="3D10A0FE"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proofErr w:type="spellStart"/>
            <w:r w:rsidRPr="0060234A">
              <w:rPr>
                <w:rFonts w:ascii="Calibri" w:hAnsi="Calibri" w:cs="Calibri"/>
                <w:b/>
                <w:bCs/>
                <w:color w:val="000000"/>
                <w:sz w:val="18"/>
                <w:szCs w:val="18"/>
                <w:lang w:val="sr-Latn-RS" w:eastAsia="sr-Latn-RS"/>
              </w:rPr>
              <w:t>Економ</w:t>
            </w:r>
            <w:proofErr w:type="spellEnd"/>
            <w:r w:rsidRPr="0060234A">
              <w:rPr>
                <w:rFonts w:ascii="Calibri" w:hAnsi="Calibri" w:cs="Calibri"/>
                <w:b/>
                <w:bCs/>
                <w:color w:val="000000"/>
                <w:sz w:val="18"/>
                <w:szCs w:val="18"/>
                <w:lang w:val="sr-Latn-RS" w:eastAsia="sr-Latn-RS"/>
              </w:rPr>
              <w:t>.</w:t>
            </w:r>
          </w:p>
        </w:tc>
        <w:tc>
          <w:tcPr>
            <w:tcW w:w="381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1FD138E"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П О З И Ц И Ј А</w:t>
            </w:r>
          </w:p>
        </w:tc>
        <w:tc>
          <w:tcPr>
            <w:tcW w:w="91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4E3FBEA"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proofErr w:type="spellStart"/>
            <w:r w:rsidRPr="0060234A">
              <w:rPr>
                <w:rFonts w:ascii="Calibri" w:hAnsi="Calibri" w:cs="Calibri"/>
                <w:b/>
                <w:bCs/>
                <w:color w:val="000000"/>
                <w:sz w:val="18"/>
                <w:szCs w:val="18"/>
                <w:lang w:val="sr-Latn-RS" w:eastAsia="sr-Latn-RS"/>
              </w:rPr>
              <w:t>Ознака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за</w:t>
            </w:r>
            <w:proofErr w:type="spellEnd"/>
            <w:r w:rsidRPr="0060234A">
              <w:rPr>
                <w:rFonts w:ascii="Calibri" w:hAnsi="Calibri" w:cs="Calibri"/>
                <w:b/>
                <w:bCs/>
                <w:color w:val="000000"/>
                <w:sz w:val="18"/>
                <w:szCs w:val="18"/>
                <w:lang w:val="sr-Latn-RS" w:eastAsia="sr-Latn-RS"/>
              </w:rPr>
              <w:t xml:space="preserve"> АОП</w:t>
            </w:r>
          </w:p>
        </w:tc>
        <w:tc>
          <w:tcPr>
            <w:tcW w:w="4159" w:type="dxa"/>
            <w:gridSpan w:val="3"/>
            <w:tcBorders>
              <w:top w:val="single" w:sz="4" w:space="0" w:color="auto"/>
              <w:left w:val="nil"/>
              <w:bottom w:val="nil"/>
              <w:right w:val="single" w:sz="4" w:space="0" w:color="000000"/>
            </w:tcBorders>
            <w:shd w:val="clear" w:color="000000" w:fill="F2F2F2"/>
            <w:vAlign w:val="center"/>
            <w:hideMark/>
          </w:tcPr>
          <w:p w14:paraId="594404DE"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proofErr w:type="spellStart"/>
            <w:r w:rsidRPr="0060234A">
              <w:rPr>
                <w:rFonts w:ascii="Calibri" w:hAnsi="Calibri" w:cs="Calibri"/>
                <w:b/>
                <w:bCs/>
                <w:color w:val="000000"/>
                <w:sz w:val="18"/>
                <w:szCs w:val="18"/>
                <w:lang w:val="sr-Latn-RS" w:eastAsia="sr-Latn-RS"/>
              </w:rPr>
              <w:t>Текућа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година</w:t>
            </w:r>
            <w:proofErr w:type="spellEnd"/>
          </w:p>
        </w:tc>
        <w:tc>
          <w:tcPr>
            <w:tcW w:w="1276" w:type="dxa"/>
            <w:tcBorders>
              <w:top w:val="single" w:sz="4" w:space="0" w:color="auto"/>
              <w:left w:val="nil"/>
              <w:bottom w:val="nil"/>
              <w:right w:val="single" w:sz="4" w:space="0" w:color="000000"/>
            </w:tcBorders>
            <w:shd w:val="clear" w:color="000000" w:fill="F2F2F2"/>
            <w:vAlign w:val="center"/>
            <w:hideMark/>
          </w:tcPr>
          <w:p w14:paraId="217B8FB8"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proofErr w:type="spellStart"/>
            <w:r w:rsidRPr="0060234A">
              <w:rPr>
                <w:rFonts w:ascii="Calibri" w:hAnsi="Calibri" w:cs="Calibri"/>
                <w:b/>
                <w:bCs/>
                <w:color w:val="000000"/>
                <w:sz w:val="18"/>
                <w:szCs w:val="18"/>
                <w:lang w:val="sr-Latn-RS" w:eastAsia="sr-Latn-RS"/>
              </w:rPr>
              <w:t>Претходна</w:t>
            </w:r>
            <w:proofErr w:type="spellEnd"/>
          </w:p>
        </w:tc>
      </w:tr>
      <w:tr w:rsidR="0060234A" w:rsidRPr="0060234A" w14:paraId="275C4037" w14:textId="77777777" w:rsidTr="0060234A">
        <w:trPr>
          <w:trHeight w:val="300"/>
          <w:tblHeader/>
        </w:trPr>
        <w:tc>
          <w:tcPr>
            <w:tcW w:w="862" w:type="dxa"/>
            <w:tcBorders>
              <w:top w:val="nil"/>
              <w:left w:val="single" w:sz="4" w:space="0" w:color="auto"/>
              <w:bottom w:val="single" w:sz="4" w:space="0" w:color="auto"/>
              <w:right w:val="single" w:sz="4" w:space="0" w:color="auto"/>
            </w:tcBorders>
            <w:shd w:val="clear" w:color="000000" w:fill="F2F2F2"/>
            <w:vAlign w:val="center"/>
            <w:hideMark/>
          </w:tcPr>
          <w:p w14:paraId="27168C11"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proofErr w:type="spellStart"/>
            <w:r w:rsidRPr="0060234A">
              <w:rPr>
                <w:rFonts w:ascii="Calibri" w:hAnsi="Calibri" w:cs="Calibri"/>
                <w:b/>
                <w:bCs/>
                <w:color w:val="000000"/>
                <w:sz w:val="18"/>
                <w:szCs w:val="18"/>
                <w:lang w:val="sr-Latn-RS" w:eastAsia="sr-Latn-RS"/>
              </w:rPr>
              <w:t>код</w:t>
            </w:r>
            <w:proofErr w:type="spellEnd"/>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2708288B"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14:paraId="7F081118"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p>
        </w:tc>
        <w:tc>
          <w:tcPr>
            <w:tcW w:w="1325" w:type="dxa"/>
            <w:tcBorders>
              <w:top w:val="single" w:sz="4" w:space="0" w:color="auto"/>
              <w:left w:val="nil"/>
              <w:bottom w:val="single" w:sz="4" w:space="0" w:color="auto"/>
              <w:right w:val="single" w:sz="4" w:space="0" w:color="000000"/>
            </w:tcBorders>
            <w:shd w:val="clear" w:color="000000" w:fill="F2F2F2"/>
            <w:vAlign w:val="center"/>
            <w:hideMark/>
          </w:tcPr>
          <w:p w14:paraId="7384B330"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proofErr w:type="spellStart"/>
            <w:r w:rsidRPr="0060234A">
              <w:rPr>
                <w:rFonts w:ascii="Calibri" w:hAnsi="Calibri" w:cs="Calibri"/>
                <w:b/>
                <w:bCs/>
                <w:color w:val="000000"/>
                <w:sz w:val="18"/>
                <w:szCs w:val="18"/>
                <w:lang w:val="sr-Latn-RS" w:eastAsia="sr-Latn-RS"/>
              </w:rPr>
              <w:t>Бруто</w:t>
            </w:r>
            <w:proofErr w:type="spellEnd"/>
          </w:p>
        </w:tc>
        <w:tc>
          <w:tcPr>
            <w:tcW w:w="1417" w:type="dxa"/>
            <w:tcBorders>
              <w:top w:val="single" w:sz="4" w:space="0" w:color="auto"/>
              <w:left w:val="nil"/>
              <w:bottom w:val="single" w:sz="4" w:space="0" w:color="auto"/>
              <w:right w:val="nil"/>
            </w:tcBorders>
            <w:shd w:val="clear" w:color="000000" w:fill="F2F2F2"/>
            <w:vAlign w:val="center"/>
            <w:hideMark/>
          </w:tcPr>
          <w:p w14:paraId="44DB20D0"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proofErr w:type="spellStart"/>
            <w:r w:rsidRPr="0060234A">
              <w:rPr>
                <w:rFonts w:ascii="Calibri" w:hAnsi="Calibri" w:cs="Calibri"/>
                <w:b/>
                <w:bCs/>
                <w:color w:val="000000"/>
                <w:sz w:val="18"/>
                <w:szCs w:val="18"/>
                <w:lang w:val="sr-Latn-RS" w:eastAsia="sr-Latn-RS"/>
              </w:rPr>
              <w:t>Исправка</w:t>
            </w:r>
            <w:proofErr w:type="spellEnd"/>
          </w:p>
        </w:tc>
        <w:tc>
          <w:tcPr>
            <w:tcW w:w="141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586A674"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proofErr w:type="spellStart"/>
            <w:r w:rsidRPr="0060234A">
              <w:rPr>
                <w:rFonts w:ascii="Calibri" w:hAnsi="Calibri" w:cs="Calibri"/>
                <w:b/>
                <w:bCs/>
                <w:color w:val="000000"/>
                <w:sz w:val="18"/>
                <w:szCs w:val="18"/>
                <w:lang w:val="sr-Latn-RS" w:eastAsia="sr-Latn-RS"/>
              </w:rPr>
              <w:t>Нето</w:t>
            </w:r>
            <w:proofErr w:type="spellEnd"/>
            <w:r w:rsidRPr="0060234A">
              <w:rPr>
                <w:rFonts w:ascii="Calibri" w:hAnsi="Calibri" w:cs="Calibri"/>
                <w:b/>
                <w:bCs/>
                <w:color w:val="000000"/>
                <w:sz w:val="18"/>
                <w:szCs w:val="18"/>
                <w:lang w:val="sr-Latn-RS" w:eastAsia="sr-Latn-RS"/>
              </w:rPr>
              <w:t xml:space="preserve"> (4-5)</w:t>
            </w:r>
          </w:p>
        </w:tc>
        <w:tc>
          <w:tcPr>
            <w:tcW w:w="1276" w:type="dxa"/>
            <w:tcBorders>
              <w:top w:val="nil"/>
              <w:left w:val="nil"/>
              <w:bottom w:val="single" w:sz="4" w:space="0" w:color="auto"/>
              <w:right w:val="single" w:sz="4" w:space="0" w:color="000000"/>
            </w:tcBorders>
            <w:shd w:val="clear" w:color="000000" w:fill="F2F2F2"/>
            <w:vAlign w:val="center"/>
            <w:hideMark/>
          </w:tcPr>
          <w:p w14:paraId="39AC7048"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proofErr w:type="spellStart"/>
            <w:r w:rsidRPr="0060234A">
              <w:rPr>
                <w:rFonts w:ascii="Calibri" w:hAnsi="Calibri" w:cs="Calibri"/>
                <w:b/>
                <w:bCs/>
                <w:color w:val="000000"/>
                <w:sz w:val="18"/>
                <w:szCs w:val="18"/>
                <w:lang w:val="sr-Latn-RS" w:eastAsia="sr-Latn-RS"/>
              </w:rPr>
              <w:t>година</w:t>
            </w:r>
            <w:proofErr w:type="spellEnd"/>
          </w:p>
        </w:tc>
      </w:tr>
      <w:tr w:rsidR="0060234A" w:rsidRPr="0060234A" w14:paraId="67619919" w14:textId="77777777" w:rsidTr="0060234A">
        <w:trPr>
          <w:trHeight w:val="300"/>
          <w:tblHeader/>
        </w:trPr>
        <w:tc>
          <w:tcPr>
            <w:tcW w:w="862" w:type="dxa"/>
            <w:tcBorders>
              <w:top w:val="nil"/>
              <w:left w:val="single" w:sz="4" w:space="0" w:color="auto"/>
              <w:bottom w:val="single" w:sz="4" w:space="0" w:color="auto"/>
              <w:right w:val="single" w:sz="4" w:space="0" w:color="auto"/>
            </w:tcBorders>
            <w:shd w:val="clear" w:color="000000" w:fill="F2F2F2"/>
            <w:vAlign w:val="center"/>
            <w:hideMark/>
          </w:tcPr>
          <w:p w14:paraId="19185174"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w:t>
            </w:r>
          </w:p>
        </w:tc>
        <w:tc>
          <w:tcPr>
            <w:tcW w:w="3817" w:type="dxa"/>
            <w:tcBorders>
              <w:top w:val="nil"/>
              <w:left w:val="nil"/>
              <w:bottom w:val="single" w:sz="4" w:space="0" w:color="auto"/>
              <w:right w:val="single" w:sz="4" w:space="0" w:color="auto"/>
            </w:tcBorders>
            <w:shd w:val="clear" w:color="000000" w:fill="F2F2F2"/>
            <w:vAlign w:val="center"/>
            <w:hideMark/>
          </w:tcPr>
          <w:p w14:paraId="54F98FF4"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2</w:t>
            </w:r>
          </w:p>
        </w:tc>
        <w:tc>
          <w:tcPr>
            <w:tcW w:w="919" w:type="dxa"/>
            <w:tcBorders>
              <w:top w:val="nil"/>
              <w:left w:val="nil"/>
              <w:bottom w:val="single" w:sz="4" w:space="0" w:color="auto"/>
              <w:right w:val="single" w:sz="4" w:space="0" w:color="auto"/>
            </w:tcBorders>
            <w:shd w:val="clear" w:color="000000" w:fill="F2F2F2"/>
            <w:vAlign w:val="center"/>
            <w:hideMark/>
          </w:tcPr>
          <w:p w14:paraId="0514620E"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3</w:t>
            </w:r>
          </w:p>
        </w:tc>
        <w:tc>
          <w:tcPr>
            <w:tcW w:w="1325" w:type="dxa"/>
            <w:tcBorders>
              <w:top w:val="single" w:sz="4" w:space="0" w:color="auto"/>
              <w:left w:val="nil"/>
              <w:bottom w:val="single" w:sz="4" w:space="0" w:color="auto"/>
              <w:right w:val="single" w:sz="4" w:space="0" w:color="000000"/>
            </w:tcBorders>
            <w:shd w:val="clear" w:color="000000" w:fill="F2F2F2"/>
            <w:vAlign w:val="center"/>
            <w:hideMark/>
          </w:tcPr>
          <w:p w14:paraId="7A026177"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4</w:t>
            </w:r>
          </w:p>
        </w:tc>
        <w:tc>
          <w:tcPr>
            <w:tcW w:w="1417" w:type="dxa"/>
            <w:tcBorders>
              <w:top w:val="nil"/>
              <w:left w:val="nil"/>
              <w:bottom w:val="single" w:sz="4" w:space="0" w:color="auto"/>
              <w:right w:val="nil"/>
            </w:tcBorders>
            <w:shd w:val="clear" w:color="000000" w:fill="F2F2F2"/>
            <w:vAlign w:val="center"/>
            <w:hideMark/>
          </w:tcPr>
          <w:p w14:paraId="4861FCC7"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5</w:t>
            </w:r>
          </w:p>
        </w:tc>
        <w:tc>
          <w:tcPr>
            <w:tcW w:w="1417" w:type="dxa"/>
            <w:tcBorders>
              <w:top w:val="single" w:sz="4" w:space="0" w:color="auto"/>
              <w:left w:val="single" w:sz="4" w:space="0" w:color="auto"/>
              <w:bottom w:val="single" w:sz="4" w:space="0" w:color="auto"/>
              <w:right w:val="single" w:sz="4" w:space="0" w:color="000000"/>
            </w:tcBorders>
            <w:shd w:val="clear" w:color="000000" w:fill="F2F2F2"/>
            <w:vAlign w:val="center"/>
            <w:hideMark/>
          </w:tcPr>
          <w:p w14:paraId="722B4385"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6</w:t>
            </w:r>
          </w:p>
        </w:tc>
        <w:tc>
          <w:tcPr>
            <w:tcW w:w="1276" w:type="dxa"/>
            <w:tcBorders>
              <w:top w:val="single" w:sz="4" w:space="0" w:color="auto"/>
              <w:left w:val="nil"/>
              <w:bottom w:val="single" w:sz="4" w:space="0" w:color="auto"/>
              <w:right w:val="single" w:sz="4" w:space="0" w:color="000000"/>
            </w:tcBorders>
            <w:shd w:val="clear" w:color="000000" w:fill="F2F2F2"/>
            <w:vAlign w:val="center"/>
            <w:hideMark/>
          </w:tcPr>
          <w:p w14:paraId="00CA2E5F"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7</w:t>
            </w:r>
          </w:p>
        </w:tc>
      </w:tr>
      <w:tr w:rsidR="0060234A" w:rsidRPr="0060234A" w14:paraId="5F7312F1" w14:textId="77777777" w:rsidTr="0060234A">
        <w:trPr>
          <w:trHeight w:val="300"/>
        </w:trPr>
        <w:tc>
          <w:tcPr>
            <w:tcW w:w="862" w:type="dxa"/>
            <w:vMerge w:val="restart"/>
            <w:tcBorders>
              <w:top w:val="nil"/>
              <w:left w:val="single" w:sz="4" w:space="0" w:color="auto"/>
              <w:bottom w:val="single" w:sz="4" w:space="0" w:color="auto"/>
              <w:right w:val="single" w:sz="4" w:space="0" w:color="auto"/>
            </w:tcBorders>
            <w:shd w:val="clear" w:color="000000" w:fill="F2F2F2"/>
            <w:vAlign w:val="center"/>
            <w:hideMark/>
          </w:tcPr>
          <w:p w14:paraId="263B42D4"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w:t>
            </w:r>
          </w:p>
        </w:tc>
        <w:tc>
          <w:tcPr>
            <w:tcW w:w="3817" w:type="dxa"/>
            <w:tcBorders>
              <w:top w:val="nil"/>
              <w:left w:val="nil"/>
              <w:bottom w:val="nil"/>
              <w:right w:val="single" w:sz="4" w:space="0" w:color="auto"/>
            </w:tcBorders>
            <w:shd w:val="clear" w:color="000000" w:fill="F2F2F2"/>
            <w:vAlign w:val="center"/>
            <w:hideMark/>
          </w:tcPr>
          <w:p w14:paraId="4A7F8FCA" w14:textId="77777777" w:rsidR="0060234A" w:rsidRPr="0060234A" w:rsidRDefault="0060234A" w:rsidP="0060234A">
            <w:pPr>
              <w:ind w:left="0" w:right="0" w:firstLine="0"/>
              <w:jc w:val="left"/>
              <w:rPr>
                <w:rFonts w:ascii="Calibri" w:hAnsi="Calibri" w:cs="Calibri"/>
                <w:b/>
                <w:bCs/>
                <w:i/>
                <w:iCs/>
                <w:color w:val="000000"/>
                <w:sz w:val="18"/>
                <w:szCs w:val="18"/>
                <w:lang w:val="sr-Latn-RS" w:eastAsia="sr-Latn-RS"/>
              </w:rPr>
            </w:pPr>
            <w:r w:rsidRPr="0060234A">
              <w:rPr>
                <w:rFonts w:ascii="Calibri" w:hAnsi="Calibri" w:cs="Calibri"/>
                <w:b/>
                <w:bCs/>
                <w:i/>
                <w:iCs/>
                <w:color w:val="000000"/>
                <w:sz w:val="18"/>
                <w:szCs w:val="18"/>
                <w:lang w:val="sr-Latn-RS" w:eastAsia="sr-Latn-RS"/>
              </w:rPr>
              <w:t>АКТИВА</w:t>
            </w:r>
          </w:p>
        </w:tc>
        <w:tc>
          <w:tcPr>
            <w:tcW w:w="919" w:type="dxa"/>
            <w:vMerge w:val="restart"/>
            <w:tcBorders>
              <w:top w:val="nil"/>
              <w:left w:val="single" w:sz="4" w:space="0" w:color="auto"/>
              <w:bottom w:val="single" w:sz="4" w:space="0" w:color="auto"/>
              <w:right w:val="single" w:sz="4" w:space="0" w:color="auto"/>
            </w:tcBorders>
            <w:shd w:val="clear" w:color="000000" w:fill="F2F2F2"/>
            <w:vAlign w:val="center"/>
            <w:hideMark/>
          </w:tcPr>
          <w:p w14:paraId="1ABC0AE2"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001</w:t>
            </w:r>
          </w:p>
        </w:tc>
        <w:tc>
          <w:tcPr>
            <w:tcW w:w="1325" w:type="dxa"/>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3AFA330E"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7.034.037</w:t>
            </w:r>
          </w:p>
        </w:tc>
        <w:tc>
          <w:tcPr>
            <w:tcW w:w="141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B856758"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5.076.944</w:t>
            </w:r>
          </w:p>
        </w:tc>
        <w:tc>
          <w:tcPr>
            <w:tcW w:w="1417" w:type="dxa"/>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37DA6AD8"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1.957.093</w:t>
            </w:r>
          </w:p>
        </w:tc>
        <w:tc>
          <w:tcPr>
            <w:tcW w:w="1276" w:type="dxa"/>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5141AC12"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1.913.198</w:t>
            </w:r>
          </w:p>
        </w:tc>
      </w:tr>
      <w:tr w:rsidR="0060234A" w:rsidRPr="0060234A" w14:paraId="185872ED" w14:textId="77777777" w:rsidTr="0060234A">
        <w:trPr>
          <w:trHeight w:val="300"/>
        </w:trPr>
        <w:tc>
          <w:tcPr>
            <w:tcW w:w="862" w:type="dxa"/>
            <w:vMerge/>
            <w:tcBorders>
              <w:top w:val="nil"/>
              <w:left w:val="single" w:sz="4" w:space="0" w:color="auto"/>
              <w:bottom w:val="single" w:sz="4" w:space="0" w:color="auto"/>
              <w:right w:val="single" w:sz="4" w:space="0" w:color="auto"/>
            </w:tcBorders>
            <w:vAlign w:val="center"/>
            <w:hideMark/>
          </w:tcPr>
          <w:p w14:paraId="5CAA90AC"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p>
        </w:tc>
        <w:tc>
          <w:tcPr>
            <w:tcW w:w="3817" w:type="dxa"/>
            <w:tcBorders>
              <w:top w:val="nil"/>
              <w:left w:val="nil"/>
              <w:bottom w:val="single" w:sz="4" w:space="0" w:color="auto"/>
              <w:right w:val="single" w:sz="4" w:space="0" w:color="auto"/>
            </w:tcBorders>
            <w:shd w:val="clear" w:color="000000" w:fill="F2F2F2"/>
            <w:vAlign w:val="center"/>
            <w:hideMark/>
          </w:tcPr>
          <w:p w14:paraId="167D109F"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А.   Т Е К У Ћ А   И М О В И Н А   (002 + 032)</w:t>
            </w:r>
          </w:p>
        </w:tc>
        <w:tc>
          <w:tcPr>
            <w:tcW w:w="919" w:type="dxa"/>
            <w:vMerge/>
            <w:tcBorders>
              <w:top w:val="nil"/>
              <w:left w:val="single" w:sz="4" w:space="0" w:color="auto"/>
              <w:bottom w:val="single" w:sz="4" w:space="0" w:color="auto"/>
              <w:right w:val="single" w:sz="4" w:space="0" w:color="auto"/>
            </w:tcBorders>
            <w:vAlign w:val="center"/>
            <w:hideMark/>
          </w:tcPr>
          <w:p w14:paraId="56F35A15"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p>
        </w:tc>
        <w:tc>
          <w:tcPr>
            <w:tcW w:w="1325" w:type="dxa"/>
            <w:vMerge/>
            <w:tcBorders>
              <w:top w:val="single" w:sz="4" w:space="0" w:color="auto"/>
              <w:left w:val="single" w:sz="4" w:space="0" w:color="auto"/>
              <w:bottom w:val="single" w:sz="4" w:space="0" w:color="000000"/>
              <w:right w:val="single" w:sz="4" w:space="0" w:color="000000"/>
            </w:tcBorders>
            <w:vAlign w:val="center"/>
            <w:hideMark/>
          </w:tcPr>
          <w:p w14:paraId="50D3CBEB"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p>
        </w:tc>
        <w:tc>
          <w:tcPr>
            <w:tcW w:w="1417" w:type="dxa"/>
            <w:vMerge/>
            <w:tcBorders>
              <w:top w:val="nil"/>
              <w:left w:val="single" w:sz="4" w:space="0" w:color="auto"/>
              <w:bottom w:val="single" w:sz="4" w:space="0" w:color="000000"/>
              <w:right w:val="single" w:sz="4" w:space="0" w:color="auto"/>
            </w:tcBorders>
            <w:vAlign w:val="center"/>
            <w:hideMark/>
          </w:tcPr>
          <w:p w14:paraId="6842CC9D"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p>
        </w:tc>
        <w:tc>
          <w:tcPr>
            <w:tcW w:w="1417" w:type="dxa"/>
            <w:vMerge/>
            <w:tcBorders>
              <w:top w:val="single" w:sz="4" w:space="0" w:color="auto"/>
              <w:left w:val="single" w:sz="4" w:space="0" w:color="auto"/>
              <w:bottom w:val="single" w:sz="4" w:space="0" w:color="000000"/>
              <w:right w:val="single" w:sz="4" w:space="0" w:color="000000"/>
            </w:tcBorders>
            <w:vAlign w:val="center"/>
            <w:hideMark/>
          </w:tcPr>
          <w:p w14:paraId="65B07F7F"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p>
        </w:tc>
        <w:tc>
          <w:tcPr>
            <w:tcW w:w="1276" w:type="dxa"/>
            <w:vMerge/>
            <w:tcBorders>
              <w:top w:val="single" w:sz="4" w:space="0" w:color="auto"/>
              <w:left w:val="single" w:sz="4" w:space="0" w:color="auto"/>
              <w:bottom w:val="single" w:sz="4" w:space="0" w:color="000000"/>
              <w:right w:val="single" w:sz="4" w:space="0" w:color="000000"/>
            </w:tcBorders>
            <w:vAlign w:val="center"/>
            <w:hideMark/>
          </w:tcPr>
          <w:p w14:paraId="3F180A85"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p>
        </w:tc>
      </w:tr>
      <w:tr w:rsidR="0060234A" w:rsidRPr="0060234A" w14:paraId="39944DED" w14:textId="77777777" w:rsidTr="0060234A">
        <w:trPr>
          <w:trHeight w:val="72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143DA313"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12</w:t>
            </w:r>
          </w:p>
        </w:tc>
        <w:tc>
          <w:tcPr>
            <w:tcW w:w="3817" w:type="dxa"/>
            <w:tcBorders>
              <w:top w:val="nil"/>
              <w:left w:val="nil"/>
              <w:bottom w:val="single" w:sz="4" w:space="0" w:color="auto"/>
              <w:right w:val="single" w:sz="4" w:space="0" w:color="auto"/>
            </w:tcBorders>
            <w:shd w:val="clear" w:color="auto" w:fill="auto"/>
            <w:vAlign w:val="center"/>
            <w:hideMark/>
          </w:tcPr>
          <w:p w14:paraId="1BA5D37D"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I КРАТКОРОЧНА ФИНАНСИЈСКА ИМОВИНА И РАЗГРАНИЧЕЊА (003 + 008 + 014 + 023 + 027 + 029)</w:t>
            </w:r>
          </w:p>
        </w:tc>
        <w:tc>
          <w:tcPr>
            <w:tcW w:w="919" w:type="dxa"/>
            <w:tcBorders>
              <w:top w:val="nil"/>
              <w:left w:val="nil"/>
              <w:bottom w:val="single" w:sz="4" w:space="0" w:color="auto"/>
              <w:right w:val="single" w:sz="4" w:space="0" w:color="auto"/>
            </w:tcBorders>
            <w:shd w:val="clear" w:color="auto" w:fill="auto"/>
            <w:vAlign w:val="center"/>
            <w:hideMark/>
          </w:tcPr>
          <w:p w14:paraId="43AF361B"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002</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33BB7F87"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7.022.722</w:t>
            </w:r>
          </w:p>
        </w:tc>
        <w:tc>
          <w:tcPr>
            <w:tcW w:w="1417" w:type="dxa"/>
            <w:tcBorders>
              <w:top w:val="nil"/>
              <w:left w:val="nil"/>
              <w:bottom w:val="single" w:sz="4" w:space="0" w:color="auto"/>
              <w:right w:val="nil"/>
            </w:tcBorders>
            <w:shd w:val="clear" w:color="auto" w:fill="auto"/>
            <w:vAlign w:val="center"/>
            <w:hideMark/>
          </w:tcPr>
          <w:p w14:paraId="3B183017"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5.066.978</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9F9B83A"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1.955.744</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6C1D42B0"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1.911.797</w:t>
            </w:r>
          </w:p>
        </w:tc>
      </w:tr>
      <w:tr w:rsidR="0060234A" w:rsidRPr="0060234A" w14:paraId="7FC943D5" w14:textId="77777777" w:rsidTr="0060234A">
        <w:trPr>
          <w:trHeight w:val="48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097E5DD5"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121</w:t>
            </w:r>
          </w:p>
        </w:tc>
        <w:tc>
          <w:tcPr>
            <w:tcW w:w="3817" w:type="dxa"/>
            <w:tcBorders>
              <w:top w:val="nil"/>
              <w:left w:val="nil"/>
              <w:bottom w:val="single" w:sz="4" w:space="0" w:color="auto"/>
              <w:right w:val="single" w:sz="4" w:space="0" w:color="auto"/>
            </w:tcBorders>
            <w:shd w:val="clear" w:color="auto" w:fill="auto"/>
            <w:vAlign w:val="center"/>
            <w:hideMark/>
          </w:tcPr>
          <w:p w14:paraId="4FE27AF6"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xml:space="preserve">1. </w:t>
            </w:r>
            <w:proofErr w:type="spellStart"/>
            <w:r w:rsidRPr="0060234A">
              <w:rPr>
                <w:rFonts w:ascii="Calibri" w:hAnsi="Calibri" w:cs="Calibri"/>
                <w:b/>
                <w:bCs/>
                <w:color w:val="000000"/>
                <w:sz w:val="18"/>
                <w:szCs w:val="18"/>
                <w:lang w:val="sr-Latn-RS" w:eastAsia="sr-Latn-RS"/>
              </w:rPr>
              <w:t>Готовина</w:t>
            </w:r>
            <w:proofErr w:type="spellEnd"/>
            <w:r w:rsidRPr="0060234A">
              <w:rPr>
                <w:rFonts w:ascii="Calibri" w:hAnsi="Calibri" w:cs="Calibri"/>
                <w:b/>
                <w:bCs/>
                <w:color w:val="000000"/>
                <w:sz w:val="18"/>
                <w:szCs w:val="18"/>
                <w:lang w:val="sr-Latn-RS" w:eastAsia="sr-Latn-RS"/>
              </w:rPr>
              <w:t xml:space="preserve"> и </w:t>
            </w:r>
            <w:proofErr w:type="spellStart"/>
            <w:r w:rsidRPr="0060234A">
              <w:rPr>
                <w:rFonts w:ascii="Calibri" w:hAnsi="Calibri" w:cs="Calibri"/>
                <w:b/>
                <w:bCs/>
                <w:color w:val="000000"/>
                <w:sz w:val="18"/>
                <w:szCs w:val="18"/>
                <w:lang w:val="sr-Latn-RS" w:eastAsia="sr-Latn-RS"/>
              </w:rPr>
              <w:t>готовински</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еквиваленти</w:t>
            </w:r>
            <w:proofErr w:type="spellEnd"/>
            <w:r w:rsidRPr="0060234A">
              <w:rPr>
                <w:rFonts w:ascii="Calibri" w:hAnsi="Calibri" w:cs="Calibri"/>
                <w:b/>
                <w:bCs/>
                <w:color w:val="000000"/>
                <w:sz w:val="18"/>
                <w:szCs w:val="18"/>
                <w:lang w:val="sr-Latn-RS" w:eastAsia="sr-Latn-RS"/>
              </w:rPr>
              <w:t xml:space="preserve"> (004 </w:t>
            </w:r>
            <w:proofErr w:type="spellStart"/>
            <w:r w:rsidRPr="0060234A">
              <w:rPr>
                <w:rFonts w:ascii="Calibri" w:hAnsi="Calibri" w:cs="Calibri"/>
                <w:b/>
                <w:bCs/>
                <w:color w:val="000000"/>
                <w:sz w:val="18"/>
                <w:szCs w:val="18"/>
                <w:lang w:val="sr-Latn-RS" w:eastAsia="sr-Latn-RS"/>
              </w:rPr>
              <w:t>до</w:t>
            </w:r>
            <w:proofErr w:type="spellEnd"/>
            <w:r w:rsidRPr="0060234A">
              <w:rPr>
                <w:rFonts w:ascii="Calibri" w:hAnsi="Calibri" w:cs="Calibri"/>
                <w:b/>
                <w:bCs/>
                <w:color w:val="000000"/>
                <w:sz w:val="18"/>
                <w:szCs w:val="18"/>
                <w:lang w:val="sr-Latn-RS" w:eastAsia="sr-Latn-RS"/>
              </w:rPr>
              <w:t xml:space="preserve"> 007)</w:t>
            </w:r>
          </w:p>
        </w:tc>
        <w:tc>
          <w:tcPr>
            <w:tcW w:w="919" w:type="dxa"/>
            <w:tcBorders>
              <w:top w:val="nil"/>
              <w:left w:val="nil"/>
              <w:bottom w:val="single" w:sz="4" w:space="0" w:color="auto"/>
              <w:right w:val="single" w:sz="4" w:space="0" w:color="auto"/>
            </w:tcBorders>
            <w:shd w:val="clear" w:color="auto" w:fill="auto"/>
            <w:vAlign w:val="center"/>
            <w:hideMark/>
          </w:tcPr>
          <w:p w14:paraId="3E940D41"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003</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50CD40F1"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565.314</w:t>
            </w:r>
          </w:p>
        </w:tc>
        <w:tc>
          <w:tcPr>
            <w:tcW w:w="1417" w:type="dxa"/>
            <w:tcBorders>
              <w:top w:val="nil"/>
              <w:left w:val="nil"/>
              <w:bottom w:val="single" w:sz="4" w:space="0" w:color="auto"/>
              <w:right w:val="nil"/>
            </w:tcBorders>
            <w:shd w:val="clear" w:color="auto" w:fill="auto"/>
            <w:vAlign w:val="center"/>
            <w:hideMark/>
          </w:tcPr>
          <w:p w14:paraId="6D413E95"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B0ABC95"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565.314</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65F1940A"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963.639</w:t>
            </w:r>
          </w:p>
        </w:tc>
      </w:tr>
      <w:tr w:rsidR="0060234A" w:rsidRPr="0060234A" w14:paraId="126D5E32"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673C3A69"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1211</w:t>
            </w:r>
          </w:p>
        </w:tc>
        <w:tc>
          <w:tcPr>
            <w:tcW w:w="3817" w:type="dxa"/>
            <w:tcBorders>
              <w:top w:val="nil"/>
              <w:left w:val="nil"/>
              <w:bottom w:val="single" w:sz="4" w:space="0" w:color="auto"/>
              <w:right w:val="single" w:sz="4" w:space="0" w:color="auto"/>
            </w:tcBorders>
            <w:shd w:val="clear" w:color="auto" w:fill="auto"/>
            <w:vAlign w:val="center"/>
            <w:hideMark/>
          </w:tcPr>
          <w:p w14:paraId="0C99CE0D"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а) </w:t>
            </w:r>
            <w:proofErr w:type="spellStart"/>
            <w:r w:rsidRPr="0060234A">
              <w:rPr>
                <w:rFonts w:ascii="Calibri" w:hAnsi="Calibri" w:cs="Calibri"/>
                <w:color w:val="000000"/>
                <w:sz w:val="18"/>
                <w:szCs w:val="18"/>
                <w:lang w:val="sr-Latn-RS" w:eastAsia="sr-Latn-RS"/>
              </w:rPr>
              <w:t>Благајна</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03827E86"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004</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403C9E31"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4.989</w:t>
            </w:r>
          </w:p>
        </w:tc>
        <w:tc>
          <w:tcPr>
            <w:tcW w:w="1417" w:type="dxa"/>
            <w:tcBorders>
              <w:top w:val="nil"/>
              <w:left w:val="nil"/>
              <w:bottom w:val="single" w:sz="4" w:space="0" w:color="auto"/>
              <w:right w:val="nil"/>
            </w:tcBorders>
            <w:shd w:val="clear" w:color="auto" w:fill="auto"/>
            <w:vAlign w:val="center"/>
            <w:hideMark/>
          </w:tcPr>
          <w:p w14:paraId="708D8A86"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10836E3"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4.989</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332E4DD9"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6.031</w:t>
            </w:r>
          </w:p>
        </w:tc>
      </w:tr>
      <w:tr w:rsidR="0060234A" w:rsidRPr="0060234A" w14:paraId="225CBB64"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08C35369"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1212</w:t>
            </w:r>
          </w:p>
        </w:tc>
        <w:tc>
          <w:tcPr>
            <w:tcW w:w="3817" w:type="dxa"/>
            <w:tcBorders>
              <w:top w:val="nil"/>
              <w:left w:val="nil"/>
              <w:bottom w:val="single" w:sz="4" w:space="0" w:color="auto"/>
              <w:right w:val="single" w:sz="4" w:space="0" w:color="auto"/>
            </w:tcBorders>
            <w:shd w:val="clear" w:color="auto" w:fill="auto"/>
            <w:vAlign w:val="center"/>
            <w:hideMark/>
          </w:tcPr>
          <w:p w14:paraId="4863978F"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б) </w:t>
            </w:r>
            <w:proofErr w:type="spellStart"/>
            <w:r w:rsidRPr="0060234A">
              <w:rPr>
                <w:rFonts w:ascii="Calibri" w:hAnsi="Calibri" w:cs="Calibri"/>
                <w:color w:val="000000"/>
                <w:sz w:val="18"/>
                <w:szCs w:val="18"/>
                <w:lang w:val="sr-Latn-RS" w:eastAsia="sr-Latn-RS"/>
              </w:rPr>
              <w:t>Банковни</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рачуни</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2FBA11D1"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005</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104A5E63"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560.325</w:t>
            </w:r>
          </w:p>
        </w:tc>
        <w:tc>
          <w:tcPr>
            <w:tcW w:w="1417" w:type="dxa"/>
            <w:tcBorders>
              <w:top w:val="nil"/>
              <w:left w:val="nil"/>
              <w:bottom w:val="single" w:sz="4" w:space="0" w:color="auto"/>
              <w:right w:val="nil"/>
            </w:tcBorders>
            <w:shd w:val="clear" w:color="auto" w:fill="auto"/>
            <w:vAlign w:val="center"/>
            <w:hideMark/>
          </w:tcPr>
          <w:p w14:paraId="1013BF2E"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099F890"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560.325</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0DE196A4"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957.608</w:t>
            </w:r>
          </w:p>
        </w:tc>
      </w:tr>
      <w:tr w:rsidR="0060234A" w:rsidRPr="0060234A" w14:paraId="3DB4B64F" w14:textId="77777777" w:rsidTr="0060234A">
        <w:trPr>
          <w:trHeight w:val="48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5A8DAC71"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1213</w:t>
            </w:r>
          </w:p>
        </w:tc>
        <w:tc>
          <w:tcPr>
            <w:tcW w:w="3817" w:type="dxa"/>
            <w:tcBorders>
              <w:top w:val="nil"/>
              <w:left w:val="nil"/>
              <w:bottom w:val="single" w:sz="4" w:space="0" w:color="auto"/>
              <w:right w:val="single" w:sz="4" w:space="0" w:color="auto"/>
            </w:tcBorders>
            <w:shd w:val="clear" w:color="auto" w:fill="auto"/>
            <w:vAlign w:val="center"/>
            <w:hideMark/>
          </w:tcPr>
          <w:p w14:paraId="081D3EF9"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в) </w:t>
            </w:r>
            <w:proofErr w:type="spellStart"/>
            <w:r w:rsidRPr="0060234A">
              <w:rPr>
                <w:rFonts w:ascii="Calibri" w:hAnsi="Calibri" w:cs="Calibri"/>
                <w:color w:val="000000"/>
                <w:sz w:val="18"/>
                <w:szCs w:val="18"/>
                <w:lang w:val="sr-Latn-RS" w:eastAsia="sr-Latn-RS"/>
              </w:rPr>
              <w:t>Издвојена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новчана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средства</w:t>
            </w:r>
            <w:proofErr w:type="spellEnd"/>
            <w:r w:rsidRPr="0060234A">
              <w:rPr>
                <w:rFonts w:ascii="Calibri" w:hAnsi="Calibri" w:cs="Calibri"/>
                <w:color w:val="000000"/>
                <w:sz w:val="18"/>
                <w:szCs w:val="18"/>
                <w:lang w:val="sr-Latn-RS" w:eastAsia="sr-Latn-RS"/>
              </w:rPr>
              <w:t xml:space="preserve"> и </w:t>
            </w:r>
            <w:proofErr w:type="spellStart"/>
            <w:r w:rsidRPr="0060234A">
              <w:rPr>
                <w:rFonts w:ascii="Calibri" w:hAnsi="Calibri" w:cs="Calibri"/>
                <w:color w:val="000000"/>
                <w:sz w:val="18"/>
                <w:szCs w:val="18"/>
                <w:lang w:val="sr-Latn-RS" w:eastAsia="sr-Latn-RS"/>
              </w:rPr>
              <w:t>акредитиви</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65059AB7"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006</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230D4A87"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nil"/>
              <w:left w:val="nil"/>
              <w:bottom w:val="single" w:sz="4" w:space="0" w:color="auto"/>
              <w:right w:val="nil"/>
            </w:tcBorders>
            <w:shd w:val="clear" w:color="auto" w:fill="auto"/>
            <w:vAlign w:val="center"/>
            <w:hideMark/>
          </w:tcPr>
          <w:p w14:paraId="4FF0F409"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9CED2B0"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3E758679"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4C7395F5"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58C2D32F"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lastRenderedPageBreak/>
              <w:t>1219</w:t>
            </w:r>
          </w:p>
        </w:tc>
        <w:tc>
          <w:tcPr>
            <w:tcW w:w="3817" w:type="dxa"/>
            <w:tcBorders>
              <w:top w:val="nil"/>
              <w:left w:val="nil"/>
              <w:bottom w:val="single" w:sz="4" w:space="0" w:color="auto"/>
              <w:right w:val="single" w:sz="4" w:space="0" w:color="auto"/>
            </w:tcBorders>
            <w:shd w:val="clear" w:color="auto" w:fill="auto"/>
            <w:vAlign w:val="center"/>
            <w:hideMark/>
          </w:tcPr>
          <w:p w14:paraId="452C8DC9"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г) </w:t>
            </w:r>
            <w:proofErr w:type="spellStart"/>
            <w:r w:rsidRPr="0060234A">
              <w:rPr>
                <w:rFonts w:ascii="Calibri" w:hAnsi="Calibri" w:cs="Calibri"/>
                <w:color w:val="000000"/>
                <w:sz w:val="18"/>
                <w:szCs w:val="18"/>
                <w:lang w:val="sr-Latn-RS" w:eastAsia="sr-Latn-RS"/>
              </w:rPr>
              <w:t>Остала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готовина</w:t>
            </w:r>
            <w:proofErr w:type="spellEnd"/>
            <w:r w:rsidRPr="0060234A">
              <w:rPr>
                <w:rFonts w:ascii="Calibri" w:hAnsi="Calibri" w:cs="Calibri"/>
                <w:color w:val="000000"/>
                <w:sz w:val="18"/>
                <w:szCs w:val="18"/>
                <w:lang w:val="sr-Latn-RS" w:eastAsia="sr-Latn-RS"/>
              </w:rPr>
              <w:t xml:space="preserve"> и </w:t>
            </w:r>
            <w:proofErr w:type="spellStart"/>
            <w:r w:rsidRPr="0060234A">
              <w:rPr>
                <w:rFonts w:ascii="Calibri" w:hAnsi="Calibri" w:cs="Calibri"/>
                <w:color w:val="000000"/>
                <w:sz w:val="18"/>
                <w:szCs w:val="18"/>
                <w:lang w:val="sr-Latn-RS" w:eastAsia="sr-Latn-RS"/>
              </w:rPr>
              <w:t>готовински</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еквиваленти</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59483E72"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007</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439080DE"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nil"/>
              <w:left w:val="nil"/>
              <w:bottom w:val="single" w:sz="4" w:space="0" w:color="auto"/>
              <w:right w:val="nil"/>
            </w:tcBorders>
            <w:shd w:val="clear" w:color="auto" w:fill="auto"/>
            <w:vAlign w:val="center"/>
            <w:hideMark/>
          </w:tcPr>
          <w:p w14:paraId="19AC9C3E"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DF2B6F7"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3361DD4D"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60D4CB4E"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094CC0AF"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122</w:t>
            </w:r>
          </w:p>
        </w:tc>
        <w:tc>
          <w:tcPr>
            <w:tcW w:w="3817" w:type="dxa"/>
            <w:tcBorders>
              <w:top w:val="nil"/>
              <w:left w:val="nil"/>
              <w:bottom w:val="single" w:sz="4" w:space="0" w:color="auto"/>
              <w:right w:val="single" w:sz="4" w:space="0" w:color="auto"/>
            </w:tcBorders>
            <w:shd w:val="clear" w:color="auto" w:fill="auto"/>
            <w:vAlign w:val="center"/>
            <w:hideMark/>
          </w:tcPr>
          <w:p w14:paraId="6088A388"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xml:space="preserve">2. </w:t>
            </w:r>
            <w:proofErr w:type="spellStart"/>
            <w:r w:rsidRPr="0060234A">
              <w:rPr>
                <w:rFonts w:ascii="Calibri" w:hAnsi="Calibri" w:cs="Calibri"/>
                <w:b/>
                <w:bCs/>
                <w:color w:val="000000"/>
                <w:sz w:val="18"/>
                <w:szCs w:val="18"/>
                <w:lang w:val="sr-Latn-RS" w:eastAsia="sr-Latn-RS"/>
              </w:rPr>
              <w:t>Краткорочни</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пласмани</w:t>
            </w:r>
            <w:proofErr w:type="spellEnd"/>
            <w:r w:rsidRPr="0060234A">
              <w:rPr>
                <w:rFonts w:ascii="Calibri" w:hAnsi="Calibri" w:cs="Calibri"/>
                <w:b/>
                <w:bCs/>
                <w:color w:val="000000"/>
                <w:sz w:val="18"/>
                <w:szCs w:val="18"/>
                <w:lang w:val="sr-Latn-RS" w:eastAsia="sr-Latn-RS"/>
              </w:rPr>
              <w:t xml:space="preserve"> (009 </w:t>
            </w:r>
            <w:proofErr w:type="spellStart"/>
            <w:r w:rsidRPr="0060234A">
              <w:rPr>
                <w:rFonts w:ascii="Calibri" w:hAnsi="Calibri" w:cs="Calibri"/>
                <w:b/>
                <w:bCs/>
                <w:color w:val="000000"/>
                <w:sz w:val="18"/>
                <w:szCs w:val="18"/>
                <w:lang w:val="sr-Latn-RS" w:eastAsia="sr-Latn-RS"/>
              </w:rPr>
              <w:t>до</w:t>
            </w:r>
            <w:proofErr w:type="spellEnd"/>
            <w:r w:rsidRPr="0060234A">
              <w:rPr>
                <w:rFonts w:ascii="Calibri" w:hAnsi="Calibri" w:cs="Calibri"/>
                <w:b/>
                <w:bCs/>
                <w:color w:val="000000"/>
                <w:sz w:val="18"/>
                <w:szCs w:val="18"/>
                <w:lang w:val="sr-Latn-RS" w:eastAsia="sr-Latn-RS"/>
              </w:rPr>
              <w:t xml:space="preserve"> 013)</w:t>
            </w:r>
          </w:p>
        </w:tc>
        <w:tc>
          <w:tcPr>
            <w:tcW w:w="919" w:type="dxa"/>
            <w:tcBorders>
              <w:top w:val="nil"/>
              <w:left w:val="nil"/>
              <w:bottom w:val="single" w:sz="4" w:space="0" w:color="auto"/>
              <w:right w:val="single" w:sz="4" w:space="0" w:color="auto"/>
            </w:tcBorders>
            <w:shd w:val="clear" w:color="auto" w:fill="auto"/>
            <w:vAlign w:val="center"/>
            <w:hideMark/>
          </w:tcPr>
          <w:p w14:paraId="74F68DD1"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008</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31AB7CF8"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c>
          <w:tcPr>
            <w:tcW w:w="1417" w:type="dxa"/>
            <w:tcBorders>
              <w:top w:val="nil"/>
              <w:left w:val="nil"/>
              <w:bottom w:val="single" w:sz="4" w:space="0" w:color="auto"/>
              <w:right w:val="nil"/>
            </w:tcBorders>
            <w:shd w:val="clear" w:color="auto" w:fill="auto"/>
            <w:vAlign w:val="center"/>
            <w:hideMark/>
          </w:tcPr>
          <w:p w14:paraId="1AE5FB41"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3E4B932"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78A158B3"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r>
      <w:tr w:rsidR="0060234A" w:rsidRPr="0060234A" w14:paraId="44384254" w14:textId="77777777" w:rsidTr="0060234A">
        <w:trPr>
          <w:trHeight w:val="48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5E8847F9"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1221</w:t>
            </w:r>
          </w:p>
        </w:tc>
        <w:tc>
          <w:tcPr>
            <w:tcW w:w="3817" w:type="dxa"/>
            <w:tcBorders>
              <w:top w:val="nil"/>
              <w:left w:val="nil"/>
              <w:bottom w:val="single" w:sz="4" w:space="0" w:color="auto"/>
              <w:right w:val="single" w:sz="4" w:space="0" w:color="auto"/>
            </w:tcBorders>
            <w:shd w:val="clear" w:color="auto" w:fill="auto"/>
            <w:vAlign w:val="center"/>
            <w:hideMark/>
          </w:tcPr>
          <w:p w14:paraId="2D3E1717"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а) </w:t>
            </w:r>
            <w:proofErr w:type="spellStart"/>
            <w:r w:rsidRPr="0060234A">
              <w:rPr>
                <w:rFonts w:ascii="Calibri" w:hAnsi="Calibri" w:cs="Calibri"/>
                <w:color w:val="000000"/>
                <w:sz w:val="18"/>
                <w:szCs w:val="18"/>
                <w:lang w:val="sr-Latn-RS" w:eastAsia="sr-Latn-RS"/>
              </w:rPr>
              <w:t>Орочена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новчана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средства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до</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годину</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дана</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42089BF5"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009</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5F53CE3C"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nil"/>
              <w:left w:val="nil"/>
              <w:bottom w:val="single" w:sz="4" w:space="0" w:color="auto"/>
              <w:right w:val="nil"/>
            </w:tcBorders>
            <w:shd w:val="clear" w:color="auto" w:fill="auto"/>
            <w:vAlign w:val="center"/>
            <w:hideMark/>
          </w:tcPr>
          <w:p w14:paraId="2D1BB189"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A76912A"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51ABBB2B"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61DB5968" w14:textId="77777777" w:rsidTr="0060234A">
        <w:trPr>
          <w:trHeight w:val="48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3D5564F6"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1222</w:t>
            </w:r>
          </w:p>
        </w:tc>
        <w:tc>
          <w:tcPr>
            <w:tcW w:w="3817" w:type="dxa"/>
            <w:tcBorders>
              <w:top w:val="nil"/>
              <w:left w:val="nil"/>
              <w:bottom w:val="single" w:sz="4" w:space="0" w:color="auto"/>
              <w:right w:val="single" w:sz="4" w:space="0" w:color="auto"/>
            </w:tcBorders>
            <w:shd w:val="clear" w:color="auto" w:fill="auto"/>
            <w:vAlign w:val="center"/>
            <w:hideMark/>
          </w:tcPr>
          <w:p w14:paraId="100F000C"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б) </w:t>
            </w:r>
            <w:proofErr w:type="spellStart"/>
            <w:r w:rsidRPr="0060234A">
              <w:rPr>
                <w:rFonts w:ascii="Calibri" w:hAnsi="Calibri" w:cs="Calibri"/>
                <w:color w:val="000000"/>
                <w:sz w:val="18"/>
                <w:szCs w:val="18"/>
                <w:lang w:val="sr-Latn-RS" w:eastAsia="sr-Latn-RS"/>
              </w:rPr>
              <w:t>Хартије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од</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вриједности</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које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доспијевају</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до</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годину</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дана</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2A817532"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010</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4379D8C7"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nil"/>
              <w:left w:val="nil"/>
              <w:bottom w:val="single" w:sz="4" w:space="0" w:color="auto"/>
              <w:right w:val="nil"/>
            </w:tcBorders>
            <w:shd w:val="clear" w:color="auto" w:fill="auto"/>
            <w:vAlign w:val="center"/>
            <w:hideMark/>
          </w:tcPr>
          <w:p w14:paraId="347E2D6D"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7A16DFC"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37055003"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255F3F80" w14:textId="77777777" w:rsidTr="0060234A">
        <w:trPr>
          <w:trHeight w:val="48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3701CE36"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1223</w:t>
            </w:r>
          </w:p>
        </w:tc>
        <w:tc>
          <w:tcPr>
            <w:tcW w:w="3817" w:type="dxa"/>
            <w:tcBorders>
              <w:top w:val="nil"/>
              <w:left w:val="nil"/>
              <w:bottom w:val="single" w:sz="4" w:space="0" w:color="auto"/>
              <w:right w:val="single" w:sz="4" w:space="0" w:color="auto"/>
            </w:tcBorders>
            <w:shd w:val="clear" w:color="auto" w:fill="auto"/>
            <w:vAlign w:val="center"/>
            <w:hideMark/>
          </w:tcPr>
          <w:p w14:paraId="5B50C8E1"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в) </w:t>
            </w:r>
            <w:proofErr w:type="spellStart"/>
            <w:r w:rsidRPr="0060234A">
              <w:rPr>
                <w:rFonts w:ascii="Calibri" w:hAnsi="Calibri" w:cs="Calibri"/>
                <w:color w:val="000000"/>
                <w:sz w:val="18"/>
                <w:szCs w:val="18"/>
                <w:lang w:val="sr-Latn-RS" w:eastAsia="sr-Latn-RS"/>
              </w:rPr>
              <w:t>Финансијски</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деривати</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који</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доспијевају</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до</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годину</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дана</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453742B8"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011</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740764A8"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nil"/>
              <w:left w:val="nil"/>
              <w:bottom w:val="single" w:sz="4" w:space="0" w:color="auto"/>
              <w:right w:val="nil"/>
            </w:tcBorders>
            <w:shd w:val="clear" w:color="auto" w:fill="auto"/>
            <w:vAlign w:val="center"/>
            <w:hideMark/>
          </w:tcPr>
          <w:p w14:paraId="5AAD7CBD"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C97344E"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5FBE5F6A"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4A0F7EFE"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5213CABF"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1224</w:t>
            </w:r>
          </w:p>
        </w:tc>
        <w:tc>
          <w:tcPr>
            <w:tcW w:w="3817" w:type="dxa"/>
            <w:tcBorders>
              <w:top w:val="nil"/>
              <w:left w:val="nil"/>
              <w:bottom w:val="single" w:sz="4" w:space="0" w:color="auto"/>
              <w:right w:val="single" w:sz="4" w:space="0" w:color="auto"/>
            </w:tcBorders>
            <w:shd w:val="clear" w:color="auto" w:fill="auto"/>
            <w:vAlign w:val="center"/>
            <w:hideMark/>
          </w:tcPr>
          <w:p w14:paraId="5C55D288"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г) </w:t>
            </w:r>
            <w:proofErr w:type="spellStart"/>
            <w:r w:rsidRPr="0060234A">
              <w:rPr>
                <w:rFonts w:ascii="Calibri" w:hAnsi="Calibri" w:cs="Calibri"/>
                <w:color w:val="000000"/>
                <w:sz w:val="18"/>
                <w:szCs w:val="18"/>
                <w:lang w:val="sr-Latn-RS" w:eastAsia="sr-Latn-RS"/>
              </w:rPr>
              <w:t>Краткорочни</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зајмови</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637AA0BE"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012</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72758418"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nil"/>
              <w:left w:val="nil"/>
              <w:bottom w:val="single" w:sz="4" w:space="0" w:color="auto"/>
              <w:right w:val="nil"/>
            </w:tcBorders>
            <w:shd w:val="clear" w:color="auto" w:fill="auto"/>
            <w:vAlign w:val="center"/>
            <w:hideMark/>
          </w:tcPr>
          <w:p w14:paraId="21597C37"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0FF0840"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52EC308D"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5987B905" w14:textId="77777777" w:rsidTr="0060234A">
        <w:trPr>
          <w:trHeight w:val="48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4F87BF8C"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1225</w:t>
            </w:r>
          </w:p>
        </w:tc>
        <w:tc>
          <w:tcPr>
            <w:tcW w:w="3817" w:type="dxa"/>
            <w:tcBorders>
              <w:top w:val="nil"/>
              <w:left w:val="nil"/>
              <w:bottom w:val="single" w:sz="4" w:space="0" w:color="auto"/>
              <w:right w:val="single" w:sz="4" w:space="0" w:color="auto"/>
            </w:tcBorders>
            <w:shd w:val="clear" w:color="auto" w:fill="auto"/>
            <w:vAlign w:val="center"/>
            <w:hideMark/>
          </w:tcPr>
          <w:p w14:paraId="25CC3F91"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д) </w:t>
            </w:r>
            <w:proofErr w:type="spellStart"/>
            <w:r w:rsidRPr="0060234A">
              <w:rPr>
                <w:rFonts w:ascii="Calibri" w:hAnsi="Calibri" w:cs="Calibri"/>
                <w:color w:val="000000"/>
                <w:sz w:val="18"/>
                <w:szCs w:val="18"/>
                <w:lang w:val="sr-Latn-RS" w:eastAsia="sr-Latn-RS"/>
              </w:rPr>
              <w:t>Дугорочни</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зајмови</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који</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доспијевају</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на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наплату</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до</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годину</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дана</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27AF721F"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013</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10B9DDF1"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nil"/>
              <w:left w:val="nil"/>
              <w:bottom w:val="single" w:sz="4" w:space="0" w:color="auto"/>
              <w:right w:val="nil"/>
            </w:tcBorders>
            <w:shd w:val="clear" w:color="auto" w:fill="auto"/>
            <w:vAlign w:val="center"/>
            <w:hideMark/>
          </w:tcPr>
          <w:p w14:paraId="45840F63"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64F2293"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54EE6AE5"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1034F61D"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46D1C8E3"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123</w:t>
            </w:r>
          </w:p>
        </w:tc>
        <w:tc>
          <w:tcPr>
            <w:tcW w:w="3817" w:type="dxa"/>
            <w:tcBorders>
              <w:top w:val="nil"/>
              <w:left w:val="nil"/>
              <w:bottom w:val="single" w:sz="4" w:space="0" w:color="auto"/>
              <w:right w:val="single" w:sz="4" w:space="0" w:color="auto"/>
            </w:tcBorders>
            <w:shd w:val="clear" w:color="auto" w:fill="auto"/>
            <w:vAlign w:val="center"/>
            <w:hideMark/>
          </w:tcPr>
          <w:p w14:paraId="79147EA8"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xml:space="preserve">3. </w:t>
            </w:r>
            <w:proofErr w:type="spellStart"/>
            <w:r w:rsidRPr="0060234A">
              <w:rPr>
                <w:rFonts w:ascii="Calibri" w:hAnsi="Calibri" w:cs="Calibri"/>
                <w:b/>
                <w:bCs/>
                <w:color w:val="000000"/>
                <w:sz w:val="18"/>
                <w:szCs w:val="18"/>
                <w:lang w:val="sr-Latn-RS" w:eastAsia="sr-Latn-RS"/>
              </w:rPr>
              <w:t>Краткорочна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потраживања</w:t>
            </w:r>
            <w:proofErr w:type="spellEnd"/>
            <w:r w:rsidRPr="0060234A">
              <w:rPr>
                <w:rFonts w:ascii="Calibri" w:hAnsi="Calibri" w:cs="Calibri"/>
                <w:b/>
                <w:bCs/>
                <w:color w:val="000000"/>
                <w:sz w:val="18"/>
                <w:szCs w:val="18"/>
                <w:lang w:val="sr-Latn-RS" w:eastAsia="sr-Latn-RS"/>
              </w:rPr>
              <w:t xml:space="preserve"> (015 </w:t>
            </w:r>
            <w:proofErr w:type="spellStart"/>
            <w:r w:rsidRPr="0060234A">
              <w:rPr>
                <w:rFonts w:ascii="Calibri" w:hAnsi="Calibri" w:cs="Calibri"/>
                <w:b/>
                <w:bCs/>
                <w:color w:val="000000"/>
                <w:sz w:val="18"/>
                <w:szCs w:val="18"/>
                <w:lang w:val="sr-Latn-RS" w:eastAsia="sr-Latn-RS"/>
              </w:rPr>
              <w:t>до</w:t>
            </w:r>
            <w:proofErr w:type="spellEnd"/>
            <w:r w:rsidRPr="0060234A">
              <w:rPr>
                <w:rFonts w:ascii="Calibri" w:hAnsi="Calibri" w:cs="Calibri"/>
                <w:b/>
                <w:bCs/>
                <w:color w:val="000000"/>
                <w:sz w:val="18"/>
                <w:szCs w:val="18"/>
                <w:lang w:val="sr-Latn-RS" w:eastAsia="sr-Latn-RS"/>
              </w:rPr>
              <w:t xml:space="preserve"> 022)</w:t>
            </w:r>
          </w:p>
        </w:tc>
        <w:tc>
          <w:tcPr>
            <w:tcW w:w="919" w:type="dxa"/>
            <w:tcBorders>
              <w:top w:val="nil"/>
              <w:left w:val="nil"/>
              <w:bottom w:val="single" w:sz="4" w:space="0" w:color="auto"/>
              <w:right w:val="single" w:sz="4" w:space="0" w:color="auto"/>
            </w:tcBorders>
            <w:shd w:val="clear" w:color="auto" w:fill="auto"/>
            <w:vAlign w:val="center"/>
            <w:hideMark/>
          </w:tcPr>
          <w:p w14:paraId="224BFD33"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014</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583D6544"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5.885.615</w:t>
            </w:r>
          </w:p>
        </w:tc>
        <w:tc>
          <w:tcPr>
            <w:tcW w:w="1417" w:type="dxa"/>
            <w:tcBorders>
              <w:top w:val="nil"/>
              <w:left w:val="nil"/>
              <w:bottom w:val="single" w:sz="4" w:space="0" w:color="auto"/>
              <w:right w:val="nil"/>
            </w:tcBorders>
            <w:shd w:val="clear" w:color="auto" w:fill="auto"/>
            <w:vAlign w:val="center"/>
            <w:hideMark/>
          </w:tcPr>
          <w:p w14:paraId="4662D671"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5.062.400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8C986BD"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823.215</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4642EAC2"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661.320</w:t>
            </w:r>
          </w:p>
        </w:tc>
      </w:tr>
      <w:tr w:rsidR="0060234A" w:rsidRPr="0060234A" w14:paraId="574F5857" w14:textId="77777777" w:rsidTr="0060234A">
        <w:trPr>
          <w:trHeight w:val="48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5AD25DA5"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1231</w:t>
            </w:r>
          </w:p>
        </w:tc>
        <w:tc>
          <w:tcPr>
            <w:tcW w:w="3817" w:type="dxa"/>
            <w:tcBorders>
              <w:top w:val="nil"/>
              <w:left w:val="nil"/>
              <w:bottom w:val="single" w:sz="4" w:space="0" w:color="auto"/>
              <w:right w:val="single" w:sz="4" w:space="0" w:color="auto"/>
            </w:tcBorders>
            <w:shd w:val="clear" w:color="auto" w:fill="auto"/>
            <w:vAlign w:val="center"/>
            <w:hideMark/>
          </w:tcPr>
          <w:p w14:paraId="535F7C19"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а) </w:t>
            </w:r>
            <w:proofErr w:type="spellStart"/>
            <w:r w:rsidRPr="0060234A">
              <w:rPr>
                <w:rFonts w:ascii="Calibri" w:hAnsi="Calibri" w:cs="Calibri"/>
                <w:color w:val="000000"/>
                <w:sz w:val="18"/>
                <w:szCs w:val="18"/>
                <w:lang w:val="sr-Latn-RS" w:eastAsia="sr-Latn-RS"/>
              </w:rPr>
              <w:t>Потраживања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по</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основу</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продаје</w:t>
            </w:r>
            <w:proofErr w:type="spellEnd"/>
            <w:r w:rsidRPr="0060234A">
              <w:rPr>
                <w:rFonts w:ascii="Calibri" w:hAnsi="Calibri" w:cs="Calibri"/>
                <w:color w:val="000000"/>
                <w:sz w:val="18"/>
                <w:szCs w:val="18"/>
                <w:lang w:val="sr-Latn-RS" w:eastAsia="sr-Latn-RS"/>
              </w:rPr>
              <w:t xml:space="preserve"> и </w:t>
            </w:r>
            <w:proofErr w:type="spellStart"/>
            <w:r w:rsidRPr="0060234A">
              <w:rPr>
                <w:rFonts w:ascii="Calibri" w:hAnsi="Calibri" w:cs="Calibri"/>
                <w:color w:val="000000"/>
                <w:sz w:val="18"/>
                <w:szCs w:val="18"/>
                <w:lang w:val="sr-Latn-RS" w:eastAsia="sr-Latn-RS"/>
              </w:rPr>
              <w:t>извршених</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услуга</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1128C046"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015</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6364F433"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19.313</w:t>
            </w:r>
          </w:p>
        </w:tc>
        <w:tc>
          <w:tcPr>
            <w:tcW w:w="1417" w:type="dxa"/>
            <w:tcBorders>
              <w:top w:val="nil"/>
              <w:left w:val="nil"/>
              <w:bottom w:val="single" w:sz="4" w:space="0" w:color="auto"/>
              <w:right w:val="nil"/>
            </w:tcBorders>
            <w:shd w:val="clear" w:color="auto" w:fill="auto"/>
            <w:vAlign w:val="center"/>
            <w:hideMark/>
          </w:tcPr>
          <w:p w14:paraId="32F94044"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2.526</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F232E39"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16.787</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23B0F90E"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20.490</w:t>
            </w:r>
          </w:p>
        </w:tc>
      </w:tr>
      <w:tr w:rsidR="0060234A" w:rsidRPr="0060234A" w14:paraId="5F984265" w14:textId="77777777" w:rsidTr="0060234A">
        <w:trPr>
          <w:trHeight w:val="48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19FCDBAC"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1232</w:t>
            </w:r>
          </w:p>
        </w:tc>
        <w:tc>
          <w:tcPr>
            <w:tcW w:w="3817" w:type="dxa"/>
            <w:tcBorders>
              <w:top w:val="nil"/>
              <w:left w:val="nil"/>
              <w:bottom w:val="single" w:sz="4" w:space="0" w:color="auto"/>
              <w:right w:val="single" w:sz="4" w:space="0" w:color="auto"/>
            </w:tcBorders>
            <w:shd w:val="clear" w:color="auto" w:fill="auto"/>
            <w:vAlign w:val="center"/>
            <w:hideMark/>
          </w:tcPr>
          <w:p w14:paraId="148415B3"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б) </w:t>
            </w:r>
            <w:proofErr w:type="spellStart"/>
            <w:r w:rsidRPr="0060234A">
              <w:rPr>
                <w:rFonts w:ascii="Calibri" w:hAnsi="Calibri" w:cs="Calibri"/>
                <w:color w:val="000000"/>
                <w:sz w:val="18"/>
                <w:szCs w:val="18"/>
                <w:lang w:val="sr-Latn-RS" w:eastAsia="sr-Latn-RS"/>
              </w:rPr>
              <w:t>Потраживања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за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камате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дивиденде</w:t>
            </w:r>
            <w:proofErr w:type="spellEnd"/>
            <w:r w:rsidRPr="0060234A">
              <w:rPr>
                <w:rFonts w:ascii="Calibri" w:hAnsi="Calibri" w:cs="Calibri"/>
                <w:color w:val="000000"/>
                <w:sz w:val="18"/>
                <w:szCs w:val="18"/>
                <w:lang w:val="sr-Latn-RS" w:eastAsia="sr-Latn-RS"/>
              </w:rPr>
              <w:t xml:space="preserve"> и </w:t>
            </w:r>
            <w:proofErr w:type="spellStart"/>
            <w:r w:rsidRPr="0060234A">
              <w:rPr>
                <w:rFonts w:ascii="Calibri" w:hAnsi="Calibri" w:cs="Calibri"/>
                <w:color w:val="000000"/>
                <w:sz w:val="18"/>
                <w:szCs w:val="18"/>
                <w:lang w:val="sr-Latn-RS" w:eastAsia="sr-Latn-RS"/>
              </w:rPr>
              <w:t>друге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финансијске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приходе</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2A41410E"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016</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24698570"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nil"/>
              <w:left w:val="nil"/>
              <w:bottom w:val="single" w:sz="4" w:space="0" w:color="auto"/>
              <w:right w:val="nil"/>
            </w:tcBorders>
            <w:shd w:val="clear" w:color="auto" w:fill="auto"/>
            <w:vAlign w:val="center"/>
            <w:hideMark/>
          </w:tcPr>
          <w:p w14:paraId="7F30DADF"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0499E44"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734956EA"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6E2F2BC4"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6F381267"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1233</w:t>
            </w:r>
          </w:p>
        </w:tc>
        <w:tc>
          <w:tcPr>
            <w:tcW w:w="3817" w:type="dxa"/>
            <w:tcBorders>
              <w:top w:val="nil"/>
              <w:left w:val="nil"/>
              <w:bottom w:val="single" w:sz="4" w:space="0" w:color="auto"/>
              <w:right w:val="single" w:sz="4" w:space="0" w:color="auto"/>
            </w:tcBorders>
            <w:shd w:val="clear" w:color="auto" w:fill="auto"/>
            <w:vAlign w:val="center"/>
            <w:hideMark/>
          </w:tcPr>
          <w:p w14:paraId="5526E0F8"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в) </w:t>
            </w:r>
            <w:proofErr w:type="spellStart"/>
            <w:r w:rsidRPr="0060234A">
              <w:rPr>
                <w:rFonts w:ascii="Calibri" w:hAnsi="Calibri" w:cs="Calibri"/>
                <w:color w:val="000000"/>
                <w:sz w:val="18"/>
                <w:szCs w:val="18"/>
                <w:lang w:val="sr-Latn-RS" w:eastAsia="sr-Latn-RS"/>
              </w:rPr>
              <w:t>Потраживања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од</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запослених</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4F916522"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017</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17E1976E"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442</w:t>
            </w:r>
          </w:p>
        </w:tc>
        <w:tc>
          <w:tcPr>
            <w:tcW w:w="1417" w:type="dxa"/>
            <w:tcBorders>
              <w:top w:val="nil"/>
              <w:left w:val="nil"/>
              <w:bottom w:val="single" w:sz="4" w:space="0" w:color="auto"/>
              <w:right w:val="nil"/>
            </w:tcBorders>
            <w:shd w:val="clear" w:color="auto" w:fill="auto"/>
            <w:vAlign w:val="center"/>
            <w:hideMark/>
          </w:tcPr>
          <w:p w14:paraId="447B14C7"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0D8EA83"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442</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5CA983B9"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987</w:t>
            </w:r>
          </w:p>
        </w:tc>
      </w:tr>
      <w:tr w:rsidR="0060234A" w:rsidRPr="0060234A" w14:paraId="1F548F42" w14:textId="77777777" w:rsidTr="0060234A">
        <w:trPr>
          <w:trHeight w:val="48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22AEFD0F"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1234</w:t>
            </w:r>
          </w:p>
        </w:tc>
        <w:tc>
          <w:tcPr>
            <w:tcW w:w="3817" w:type="dxa"/>
            <w:tcBorders>
              <w:top w:val="nil"/>
              <w:left w:val="nil"/>
              <w:bottom w:val="single" w:sz="4" w:space="0" w:color="auto"/>
              <w:right w:val="single" w:sz="4" w:space="0" w:color="auto"/>
            </w:tcBorders>
            <w:shd w:val="clear" w:color="auto" w:fill="auto"/>
            <w:vAlign w:val="center"/>
            <w:hideMark/>
          </w:tcPr>
          <w:p w14:paraId="2E2EEFDB"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г) </w:t>
            </w:r>
            <w:proofErr w:type="spellStart"/>
            <w:r w:rsidRPr="0060234A">
              <w:rPr>
                <w:rFonts w:ascii="Calibri" w:hAnsi="Calibri" w:cs="Calibri"/>
                <w:color w:val="000000"/>
                <w:sz w:val="18"/>
                <w:szCs w:val="18"/>
                <w:lang w:val="sr-Latn-RS" w:eastAsia="sr-Latn-RS"/>
              </w:rPr>
              <w:t>Потраживања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за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ненаплаћене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порезе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доприносе</w:t>
            </w:r>
            <w:proofErr w:type="spellEnd"/>
            <w:r w:rsidRPr="0060234A">
              <w:rPr>
                <w:rFonts w:ascii="Calibri" w:hAnsi="Calibri" w:cs="Calibri"/>
                <w:color w:val="000000"/>
                <w:sz w:val="18"/>
                <w:szCs w:val="18"/>
                <w:lang w:val="sr-Latn-RS" w:eastAsia="sr-Latn-RS"/>
              </w:rPr>
              <w:t xml:space="preserve"> и </w:t>
            </w:r>
            <w:proofErr w:type="spellStart"/>
            <w:r w:rsidRPr="0060234A">
              <w:rPr>
                <w:rFonts w:ascii="Calibri" w:hAnsi="Calibri" w:cs="Calibri"/>
                <w:color w:val="000000"/>
                <w:sz w:val="18"/>
                <w:szCs w:val="18"/>
                <w:lang w:val="sr-Latn-RS" w:eastAsia="sr-Latn-RS"/>
              </w:rPr>
              <w:t>непореске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приходе</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59B4825E"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018</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7CFA39DE"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5.763.893</w:t>
            </w:r>
          </w:p>
        </w:tc>
        <w:tc>
          <w:tcPr>
            <w:tcW w:w="1417" w:type="dxa"/>
            <w:tcBorders>
              <w:top w:val="nil"/>
              <w:left w:val="nil"/>
              <w:bottom w:val="single" w:sz="4" w:space="0" w:color="auto"/>
              <w:right w:val="nil"/>
            </w:tcBorders>
            <w:shd w:val="clear" w:color="auto" w:fill="auto"/>
            <w:vAlign w:val="center"/>
            <w:hideMark/>
          </w:tcPr>
          <w:p w14:paraId="268B052B"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5.047.960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E51FE7D"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715.933</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6A9CE044"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541.562</w:t>
            </w:r>
          </w:p>
        </w:tc>
      </w:tr>
      <w:tr w:rsidR="0060234A" w:rsidRPr="0060234A" w14:paraId="5D29E6C7" w14:textId="77777777" w:rsidTr="0060234A">
        <w:trPr>
          <w:trHeight w:val="96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0A08A8CD"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1235</w:t>
            </w:r>
          </w:p>
        </w:tc>
        <w:tc>
          <w:tcPr>
            <w:tcW w:w="3817" w:type="dxa"/>
            <w:tcBorders>
              <w:top w:val="nil"/>
              <w:left w:val="nil"/>
              <w:bottom w:val="single" w:sz="4" w:space="0" w:color="auto"/>
              <w:right w:val="single" w:sz="4" w:space="0" w:color="auto"/>
            </w:tcBorders>
            <w:shd w:val="clear" w:color="auto" w:fill="auto"/>
            <w:vAlign w:val="center"/>
            <w:hideMark/>
          </w:tcPr>
          <w:p w14:paraId="09408170"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д) </w:t>
            </w:r>
            <w:proofErr w:type="spellStart"/>
            <w:r w:rsidRPr="0060234A">
              <w:rPr>
                <w:rFonts w:ascii="Calibri" w:hAnsi="Calibri" w:cs="Calibri"/>
                <w:color w:val="000000"/>
                <w:sz w:val="18"/>
                <w:szCs w:val="18"/>
                <w:lang w:val="sr-Latn-RS" w:eastAsia="sr-Latn-RS"/>
              </w:rPr>
              <w:t>Потраживања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за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порезе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доприносе</w:t>
            </w:r>
            <w:proofErr w:type="spellEnd"/>
            <w:r w:rsidRPr="0060234A">
              <w:rPr>
                <w:rFonts w:ascii="Calibri" w:hAnsi="Calibri" w:cs="Calibri"/>
                <w:color w:val="000000"/>
                <w:sz w:val="18"/>
                <w:szCs w:val="18"/>
                <w:lang w:val="sr-Latn-RS" w:eastAsia="sr-Latn-RS"/>
              </w:rPr>
              <w:t xml:space="preserve"> и </w:t>
            </w:r>
            <w:proofErr w:type="spellStart"/>
            <w:r w:rsidRPr="0060234A">
              <w:rPr>
                <w:rFonts w:ascii="Calibri" w:hAnsi="Calibri" w:cs="Calibri"/>
                <w:color w:val="000000"/>
                <w:sz w:val="18"/>
                <w:szCs w:val="18"/>
                <w:lang w:val="sr-Latn-RS" w:eastAsia="sr-Latn-RS"/>
              </w:rPr>
              <w:t>непореске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приходе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за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које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је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продужен</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рок</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плаћања</w:t>
            </w:r>
            <w:proofErr w:type="spellEnd"/>
            <w:r w:rsidRPr="0060234A">
              <w:rPr>
                <w:rFonts w:ascii="Calibri" w:hAnsi="Calibri" w:cs="Calibri"/>
                <w:color w:val="000000"/>
                <w:sz w:val="18"/>
                <w:szCs w:val="18"/>
                <w:lang w:val="sr-Latn-RS" w:eastAsia="sr-Latn-RS"/>
              </w:rPr>
              <w:t xml:space="preserve">, а </w:t>
            </w:r>
            <w:proofErr w:type="spellStart"/>
            <w:r w:rsidRPr="0060234A">
              <w:rPr>
                <w:rFonts w:ascii="Calibri" w:hAnsi="Calibri" w:cs="Calibri"/>
                <w:color w:val="000000"/>
                <w:sz w:val="18"/>
                <w:szCs w:val="18"/>
                <w:lang w:val="sr-Latn-RS" w:eastAsia="sr-Latn-RS"/>
              </w:rPr>
              <w:t>доспијевају</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на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наплату</w:t>
            </w:r>
            <w:proofErr w:type="spellEnd"/>
            <w:r w:rsidRPr="0060234A">
              <w:rPr>
                <w:rFonts w:ascii="Calibri" w:hAnsi="Calibri" w:cs="Calibri"/>
                <w:color w:val="000000"/>
                <w:sz w:val="18"/>
                <w:szCs w:val="18"/>
                <w:lang w:val="sr-Latn-RS" w:eastAsia="sr-Latn-RS"/>
              </w:rPr>
              <w:t xml:space="preserve"> у </w:t>
            </w:r>
            <w:proofErr w:type="spellStart"/>
            <w:r w:rsidRPr="0060234A">
              <w:rPr>
                <w:rFonts w:ascii="Calibri" w:hAnsi="Calibri" w:cs="Calibri"/>
                <w:color w:val="000000"/>
                <w:sz w:val="18"/>
                <w:szCs w:val="18"/>
                <w:lang w:val="sr-Latn-RS" w:eastAsia="sr-Latn-RS"/>
              </w:rPr>
              <w:t>року</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до</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годину</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дана</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0AB26BAD"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019</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79D971FC"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89.421</w:t>
            </w:r>
          </w:p>
        </w:tc>
        <w:tc>
          <w:tcPr>
            <w:tcW w:w="1417" w:type="dxa"/>
            <w:tcBorders>
              <w:top w:val="nil"/>
              <w:left w:val="nil"/>
              <w:bottom w:val="single" w:sz="4" w:space="0" w:color="auto"/>
              <w:right w:val="nil"/>
            </w:tcBorders>
            <w:shd w:val="clear" w:color="auto" w:fill="auto"/>
            <w:vAlign w:val="center"/>
            <w:hideMark/>
          </w:tcPr>
          <w:p w14:paraId="25F6BBD9"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5912B82"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89.421</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2D3ECC21"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97.922</w:t>
            </w:r>
          </w:p>
        </w:tc>
      </w:tr>
      <w:tr w:rsidR="0060234A" w:rsidRPr="0060234A" w14:paraId="3A6E621A" w14:textId="77777777" w:rsidTr="0060234A">
        <w:trPr>
          <w:trHeight w:val="48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2B874380"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1236</w:t>
            </w:r>
          </w:p>
        </w:tc>
        <w:tc>
          <w:tcPr>
            <w:tcW w:w="3817" w:type="dxa"/>
            <w:tcBorders>
              <w:top w:val="nil"/>
              <w:left w:val="nil"/>
              <w:bottom w:val="single" w:sz="4" w:space="0" w:color="auto"/>
              <w:right w:val="single" w:sz="4" w:space="0" w:color="auto"/>
            </w:tcBorders>
            <w:shd w:val="clear" w:color="auto" w:fill="auto"/>
            <w:vAlign w:val="center"/>
            <w:hideMark/>
          </w:tcPr>
          <w:p w14:paraId="7F354BDB"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ђ) </w:t>
            </w:r>
            <w:proofErr w:type="spellStart"/>
            <w:r w:rsidRPr="0060234A">
              <w:rPr>
                <w:rFonts w:ascii="Calibri" w:hAnsi="Calibri" w:cs="Calibri"/>
                <w:color w:val="000000"/>
                <w:sz w:val="18"/>
                <w:szCs w:val="18"/>
                <w:lang w:val="sr-Latn-RS" w:eastAsia="sr-Latn-RS"/>
              </w:rPr>
              <w:t>Потраживања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за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више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плаћене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порезе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доприносе</w:t>
            </w:r>
            <w:proofErr w:type="spellEnd"/>
            <w:r w:rsidRPr="0060234A">
              <w:rPr>
                <w:rFonts w:ascii="Calibri" w:hAnsi="Calibri" w:cs="Calibri"/>
                <w:color w:val="000000"/>
                <w:sz w:val="18"/>
                <w:szCs w:val="18"/>
                <w:lang w:val="sr-Latn-RS" w:eastAsia="sr-Latn-RS"/>
              </w:rPr>
              <w:t xml:space="preserve"> и </w:t>
            </w:r>
            <w:proofErr w:type="spellStart"/>
            <w:r w:rsidRPr="0060234A">
              <w:rPr>
                <w:rFonts w:ascii="Calibri" w:hAnsi="Calibri" w:cs="Calibri"/>
                <w:color w:val="000000"/>
                <w:sz w:val="18"/>
                <w:szCs w:val="18"/>
                <w:lang w:val="sr-Latn-RS" w:eastAsia="sr-Latn-RS"/>
              </w:rPr>
              <w:t>непореске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приходе</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3AABFFE7"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020</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738517C2"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nil"/>
              <w:left w:val="nil"/>
              <w:bottom w:val="single" w:sz="4" w:space="0" w:color="auto"/>
              <w:right w:val="nil"/>
            </w:tcBorders>
            <w:shd w:val="clear" w:color="auto" w:fill="auto"/>
            <w:vAlign w:val="center"/>
            <w:hideMark/>
          </w:tcPr>
          <w:p w14:paraId="53ED5B52"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3D53DB7"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36AD8905"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6E6B56C7" w14:textId="77777777" w:rsidTr="0060234A">
        <w:trPr>
          <w:trHeight w:val="48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37B65EC1"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1237</w:t>
            </w:r>
          </w:p>
        </w:tc>
        <w:tc>
          <w:tcPr>
            <w:tcW w:w="3817" w:type="dxa"/>
            <w:tcBorders>
              <w:top w:val="nil"/>
              <w:left w:val="nil"/>
              <w:bottom w:val="single" w:sz="4" w:space="0" w:color="auto"/>
              <w:right w:val="single" w:sz="4" w:space="0" w:color="auto"/>
            </w:tcBorders>
            <w:shd w:val="clear" w:color="auto" w:fill="auto"/>
            <w:vAlign w:val="center"/>
            <w:hideMark/>
          </w:tcPr>
          <w:p w14:paraId="6A5DEDC0"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е) </w:t>
            </w:r>
            <w:proofErr w:type="spellStart"/>
            <w:r w:rsidRPr="0060234A">
              <w:rPr>
                <w:rFonts w:ascii="Calibri" w:hAnsi="Calibri" w:cs="Calibri"/>
                <w:color w:val="000000"/>
                <w:sz w:val="18"/>
                <w:szCs w:val="18"/>
                <w:lang w:val="sr-Latn-RS" w:eastAsia="sr-Latn-RS"/>
              </w:rPr>
              <w:t>Потраживања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по</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основу</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пореза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на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додату</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вриједност</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3076BE36"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021</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566BE0D4"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nil"/>
              <w:left w:val="nil"/>
              <w:bottom w:val="single" w:sz="4" w:space="0" w:color="auto"/>
              <w:right w:val="nil"/>
            </w:tcBorders>
            <w:shd w:val="clear" w:color="auto" w:fill="auto"/>
            <w:vAlign w:val="center"/>
            <w:hideMark/>
          </w:tcPr>
          <w:p w14:paraId="039CFC3C"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8854DC2"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6D04DBA6"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664AA8EB"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26ED0AA7"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1239</w:t>
            </w:r>
          </w:p>
        </w:tc>
        <w:tc>
          <w:tcPr>
            <w:tcW w:w="3817" w:type="dxa"/>
            <w:tcBorders>
              <w:top w:val="nil"/>
              <w:left w:val="nil"/>
              <w:bottom w:val="single" w:sz="4" w:space="0" w:color="auto"/>
              <w:right w:val="single" w:sz="4" w:space="0" w:color="auto"/>
            </w:tcBorders>
            <w:shd w:val="clear" w:color="auto" w:fill="auto"/>
            <w:vAlign w:val="center"/>
            <w:hideMark/>
          </w:tcPr>
          <w:p w14:paraId="6EBE73F8"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ж) </w:t>
            </w:r>
            <w:proofErr w:type="spellStart"/>
            <w:r w:rsidRPr="0060234A">
              <w:rPr>
                <w:rFonts w:ascii="Calibri" w:hAnsi="Calibri" w:cs="Calibri"/>
                <w:color w:val="000000"/>
                <w:sz w:val="18"/>
                <w:szCs w:val="18"/>
                <w:lang w:val="sr-Latn-RS" w:eastAsia="sr-Latn-RS"/>
              </w:rPr>
              <w:t>Остала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краткорочна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потраживања</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1B73DFFD"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022</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4764C028"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12.546</w:t>
            </w:r>
          </w:p>
        </w:tc>
        <w:tc>
          <w:tcPr>
            <w:tcW w:w="1417" w:type="dxa"/>
            <w:tcBorders>
              <w:top w:val="nil"/>
              <w:left w:val="nil"/>
              <w:bottom w:val="single" w:sz="4" w:space="0" w:color="auto"/>
              <w:right w:val="nil"/>
            </w:tcBorders>
            <w:shd w:val="clear" w:color="auto" w:fill="auto"/>
            <w:vAlign w:val="center"/>
            <w:hideMark/>
          </w:tcPr>
          <w:p w14:paraId="7F2C90CD"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11.914</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BBBF33E"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632</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246F8B95"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359</w:t>
            </w:r>
          </w:p>
        </w:tc>
      </w:tr>
      <w:tr w:rsidR="0060234A" w:rsidRPr="0060234A" w14:paraId="4B92534F"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593F3EBF"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127</w:t>
            </w:r>
          </w:p>
        </w:tc>
        <w:tc>
          <w:tcPr>
            <w:tcW w:w="3817" w:type="dxa"/>
            <w:tcBorders>
              <w:top w:val="nil"/>
              <w:left w:val="nil"/>
              <w:bottom w:val="single" w:sz="4" w:space="0" w:color="auto"/>
              <w:right w:val="single" w:sz="4" w:space="0" w:color="auto"/>
            </w:tcBorders>
            <w:shd w:val="clear" w:color="auto" w:fill="auto"/>
            <w:vAlign w:val="center"/>
            <w:hideMark/>
          </w:tcPr>
          <w:p w14:paraId="6A571D7F"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xml:space="preserve">4. </w:t>
            </w:r>
            <w:proofErr w:type="spellStart"/>
            <w:r w:rsidRPr="0060234A">
              <w:rPr>
                <w:rFonts w:ascii="Calibri" w:hAnsi="Calibri" w:cs="Calibri"/>
                <w:b/>
                <w:bCs/>
                <w:color w:val="000000"/>
                <w:sz w:val="18"/>
                <w:szCs w:val="18"/>
                <w:lang w:val="sr-Latn-RS" w:eastAsia="sr-Latn-RS"/>
              </w:rPr>
              <w:t>Краткорочна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разграничења</w:t>
            </w:r>
            <w:proofErr w:type="spellEnd"/>
            <w:r w:rsidRPr="0060234A">
              <w:rPr>
                <w:rFonts w:ascii="Calibri" w:hAnsi="Calibri" w:cs="Calibri"/>
                <w:b/>
                <w:bCs/>
                <w:color w:val="000000"/>
                <w:sz w:val="18"/>
                <w:szCs w:val="18"/>
                <w:lang w:val="sr-Latn-RS" w:eastAsia="sr-Latn-RS"/>
              </w:rPr>
              <w:t xml:space="preserve"> (024 </w:t>
            </w:r>
            <w:proofErr w:type="spellStart"/>
            <w:r w:rsidRPr="0060234A">
              <w:rPr>
                <w:rFonts w:ascii="Calibri" w:hAnsi="Calibri" w:cs="Calibri"/>
                <w:b/>
                <w:bCs/>
                <w:color w:val="000000"/>
                <w:sz w:val="18"/>
                <w:szCs w:val="18"/>
                <w:lang w:val="sr-Latn-RS" w:eastAsia="sr-Latn-RS"/>
              </w:rPr>
              <w:t>до</w:t>
            </w:r>
            <w:proofErr w:type="spellEnd"/>
            <w:r w:rsidRPr="0060234A">
              <w:rPr>
                <w:rFonts w:ascii="Calibri" w:hAnsi="Calibri" w:cs="Calibri"/>
                <w:b/>
                <w:bCs/>
                <w:color w:val="000000"/>
                <w:sz w:val="18"/>
                <w:szCs w:val="18"/>
                <w:lang w:val="sr-Latn-RS" w:eastAsia="sr-Latn-RS"/>
              </w:rPr>
              <w:t xml:space="preserve"> 026)</w:t>
            </w:r>
          </w:p>
        </w:tc>
        <w:tc>
          <w:tcPr>
            <w:tcW w:w="919" w:type="dxa"/>
            <w:tcBorders>
              <w:top w:val="nil"/>
              <w:left w:val="nil"/>
              <w:bottom w:val="single" w:sz="4" w:space="0" w:color="auto"/>
              <w:right w:val="single" w:sz="4" w:space="0" w:color="auto"/>
            </w:tcBorders>
            <w:shd w:val="clear" w:color="auto" w:fill="auto"/>
            <w:vAlign w:val="center"/>
            <w:hideMark/>
          </w:tcPr>
          <w:p w14:paraId="2B13717F"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023</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23F5DF3E"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27.307</w:t>
            </w:r>
          </w:p>
        </w:tc>
        <w:tc>
          <w:tcPr>
            <w:tcW w:w="1417" w:type="dxa"/>
            <w:tcBorders>
              <w:top w:val="nil"/>
              <w:left w:val="nil"/>
              <w:bottom w:val="single" w:sz="4" w:space="0" w:color="auto"/>
              <w:right w:val="nil"/>
            </w:tcBorders>
            <w:shd w:val="clear" w:color="auto" w:fill="auto"/>
            <w:vAlign w:val="center"/>
            <w:hideMark/>
          </w:tcPr>
          <w:p w14:paraId="2A8219A7"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C1EE41F"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27.307</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28226BE7"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5.517</w:t>
            </w:r>
          </w:p>
        </w:tc>
      </w:tr>
      <w:tr w:rsidR="0060234A" w:rsidRPr="0060234A" w14:paraId="3507D0BB"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4792E819"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1271</w:t>
            </w:r>
          </w:p>
        </w:tc>
        <w:tc>
          <w:tcPr>
            <w:tcW w:w="3817" w:type="dxa"/>
            <w:tcBorders>
              <w:top w:val="nil"/>
              <w:left w:val="nil"/>
              <w:bottom w:val="single" w:sz="4" w:space="0" w:color="auto"/>
              <w:right w:val="single" w:sz="4" w:space="0" w:color="auto"/>
            </w:tcBorders>
            <w:shd w:val="clear" w:color="auto" w:fill="auto"/>
            <w:vAlign w:val="center"/>
            <w:hideMark/>
          </w:tcPr>
          <w:p w14:paraId="69DEDE39"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а) </w:t>
            </w:r>
            <w:proofErr w:type="spellStart"/>
            <w:r w:rsidRPr="0060234A">
              <w:rPr>
                <w:rFonts w:ascii="Calibri" w:hAnsi="Calibri" w:cs="Calibri"/>
                <w:color w:val="000000"/>
                <w:sz w:val="18"/>
                <w:szCs w:val="18"/>
                <w:lang w:val="sr-Latn-RS" w:eastAsia="sr-Latn-RS"/>
              </w:rPr>
              <w:t>Краткорочно</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разграничени</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расходи</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26001410"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024</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6C0E7E1B"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nil"/>
              <w:left w:val="nil"/>
              <w:bottom w:val="single" w:sz="4" w:space="0" w:color="auto"/>
              <w:right w:val="nil"/>
            </w:tcBorders>
            <w:shd w:val="clear" w:color="auto" w:fill="auto"/>
            <w:vAlign w:val="center"/>
            <w:hideMark/>
          </w:tcPr>
          <w:p w14:paraId="0308B8EA"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0AA9A17"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2BE616DC"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6BEADB0D"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07DF6254"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1272</w:t>
            </w:r>
          </w:p>
        </w:tc>
        <w:tc>
          <w:tcPr>
            <w:tcW w:w="3817" w:type="dxa"/>
            <w:tcBorders>
              <w:top w:val="nil"/>
              <w:left w:val="nil"/>
              <w:bottom w:val="single" w:sz="4" w:space="0" w:color="auto"/>
              <w:right w:val="single" w:sz="4" w:space="0" w:color="auto"/>
            </w:tcBorders>
            <w:shd w:val="clear" w:color="auto" w:fill="auto"/>
            <w:vAlign w:val="center"/>
            <w:hideMark/>
          </w:tcPr>
          <w:p w14:paraId="1FCBD7D1"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б) </w:t>
            </w:r>
            <w:proofErr w:type="spellStart"/>
            <w:r w:rsidRPr="0060234A">
              <w:rPr>
                <w:rFonts w:ascii="Calibri" w:hAnsi="Calibri" w:cs="Calibri"/>
                <w:color w:val="000000"/>
                <w:sz w:val="18"/>
                <w:szCs w:val="18"/>
                <w:lang w:val="sr-Latn-RS" w:eastAsia="sr-Latn-RS"/>
              </w:rPr>
              <w:t>Краткорочно</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разграничени</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приходи</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6A233DF5"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025</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650CDE12"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nil"/>
              <w:left w:val="nil"/>
              <w:bottom w:val="single" w:sz="4" w:space="0" w:color="auto"/>
              <w:right w:val="nil"/>
            </w:tcBorders>
            <w:shd w:val="clear" w:color="auto" w:fill="auto"/>
            <w:vAlign w:val="center"/>
            <w:hideMark/>
          </w:tcPr>
          <w:p w14:paraId="39B036A6"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82D5D8A"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3F6A4BCD"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4150999B"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2BE26AEC"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1279</w:t>
            </w:r>
          </w:p>
        </w:tc>
        <w:tc>
          <w:tcPr>
            <w:tcW w:w="3817" w:type="dxa"/>
            <w:tcBorders>
              <w:top w:val="nil"/>
              <w:left w:val="nil"/>
              <w:bottom w:val="single" w:sz="4" w:space="0" w:color="auto"/>
              <w:right w:val="single" w:sz="4" w:space="0" w:color="auto"/>
            </w:tcBorders>
            <w:shd w:val="clear" w:color="auto" w:fill="auto"/>
            <w:vAlign w:val="center"/>
            <w:hideMark/>
          </w:tcPr>
          <w:p w14:paraId="282CBA79"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в) </w:t>
            </w:r>
            <w:proofErr w:type="spellStart"/>
            <w:r w:rsidRPr="0060234A">
              <w:rPr>
                <w:rFonts w:ascii="Calibri" w:hAnsi="Calibri" w:cs="Calibri"/>
                <w:color w:val="000000"/>
                <w:sz w:val="18"/>
                <w:szCs w:val="18"/>
                <w:lang w:val="sr-Latn-RS" w:eastAsia="sr-Latn-RS"/>
              </w:rPr>
              <w:t>Остала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краткорочна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разграничења</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56FA8C85"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026</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64EDBEFA"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27.307</w:t>
            </w:r>
          </w:p>
        </w:tc>
        <w:tc>
          <w:tcPr>
            <w:tcW w:w="1417" w:type="dxa"/>
            <w:tcBorders>
              <w:top w:val="nil"/>
              <w:left w:val="nil"/>
              <w:bottom w:val="single" w:sz="4" w:space="0" w:color="auto"/>
              <w:right w:val="nil"/>
            </w:tcBorders>
            <w:shd w:val="clear" w:color="auto" w:fill="auto"/>
            <w:vAlign w:val="center"/>
            <w:hideMark/>
          </w:tcPr>
          <w:p w14:paraId="0FC475E8"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EEC0D22"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27.307</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40C0D8F9"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5.517</w:t>
            </w:r>
          </w:p>
        </w:tc>
      </w:tr>
      <w:tr w:rsidR="0060234A" w:rsidRPr="0060234A" w14:paraId="12978FC5" w14:textId="77777777" w:rsidTr="0060234A">
        <w:trPr>
          <w:trHeight w:val="48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4C219E48"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128</w:t>
            </w:r>
          </w:p>
        </w:tc>
        <w:tc>
          <w:tcPr>
            <w:tcW w:w="3817" w:type="dxa"/>
            <w:tcBorders>
              <w:top w:val="nil"/>
              <w:left w:val="nil"/>
              <w:bottom w:val="single" w:sz="4" w:space="0" w:color="auto"/>
              <w:right w:val="single" w:sz="4" w:space="0" w:color="auto"/>
            </w:tcBorders>
            <w:shd w:val="clear" w:color="auto" w:fill="auto"/>
            <w:vAlign w:val="center"/>
            <w:hideMark/>
          </w:tcPr>
          <w:p w14:paraId="40C21B3B"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xml:space="preserve">5. </w:t>
            </w:r>
            <w:proofErr w:type="spellStart"/>
            <w:r w:rsidRPr="0060234A">
              <w:rPr>
                <w:rFonts w:ascii="Calibri" w:hAnsi="Calibri" w:cs="Calibri"/>
                <w:b/>
                <w:bCs/>
                <w:color w:val="000000"/>
                <w:sz w:val="18"/>
                <w:szCs w:val="18"/>
                <w:lang w:val="sr-Latn-RS" w:eastAsia="sr-Latn-RS"/>
              </w:rPr>
              <w:t>Остала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краткорочна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финансијска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имовина</w:t>
            </w:r>
            <w:proofErr w:type="spellEnd"/>
            <w:r w:rsidRPr="0060234A">
              <w:rPr>
                <w:rFonts w:ascii="Calibri" w:hAnsi="Calibri" w:cs="Calibri"/>
                <w:b/>
                <w:bCs/>
                <w:color w:val="000000"/>
                <w:sz w:val="18"/>
                <w:szCs w:val="18"/>
                <w:lang w:val="sr-Latn-RS" w:eastAsia="sr-Latn-RS"/>
              </w:rPr>
              <w:t xml:space="preserve"> (028)</w:t>
            </w:r>
          </w:p>
        </w:tc>
        <w:tc>
          <w:tcPr>
            <w:tcW w:w="919" w:type="dxa"/>
            <w:tcBorders>
              <w:top w:val="nil"/>
              <w:left w:val="nil"/>
              <w:bottom w:val="single" w:sz="4" w:space="0" w:color="auto"/>
              <w:right w:val="single" w:sz="4" w:space="0" w:color="auto"/>
            </w:tcBorders>
            <w:shd w:val="clear" w:color="auto" w:fill="auto"/>
            <w:vAlign w:val="center"/>
            <w:hideMark/>
          </w:tcPr>
          <w:p w14:paraId="719B6F90"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027</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7313CBF0"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c>
          <w:tcPr>
            <w:tcW w:w="1417" w:type="dxa"/>
            <w:tcBorders>
              <w:top w:val="nil"/>
              <w:left w:val="nil"/>
              <w:bottom w:val="single" w:sz="4" w:space="0" w:color="auto"/>
              <w:right w:val="nil"/>
            </w:tcBorders>
            <w:shd w:val="clear" w:color="auto" w:fill="auto"/>
            <w:vAlign w:val="center"/>
            <w:hideMark/>
          </w:tcPr>
          <w:p w14:paraId="5983B44A"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CA86FB3"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54D1E052"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r>
      <w:tr w:rsidR="0060234A" w:rsidRPr="0060234A" w14:paraId="30688A2A" w14:textId="77777777" w:rsidTr="0060234A">
        <w:trPr>
          <w:trHeight w:val="28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5B733435"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1281</w:t>
            </w:r>
          </w:p>
        </w:tc>
        <w:tc>
          <w:tcPr>
            <w:tcW w:w="3817" w:type="dxa"/>
            <w:tcBorders>
              <w:top w:val="nil"/>
              <w:left w:val="nil"/>
              <w:bottom w:val="single" w:sz="4" w:space="0" w:color="auto"/>
              <w:right w:val="single" w:sz="4" w:space="0" w:color="auto"/>
            </w:tcBorders>
            <w:shd w:val="clear" w:color="auto" w:fill="auto"/>
            <w:vAlign w:val="center"/>
            <w:hideMark/>
          </w:tcPr>
          <w:p w14:paraId="6DA6C592"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а) </w:t>
            </w:r>
            <w:proofErr w:type="spellStart"/>
            <w:r w:rsidRPr="0060234A">
              <w:rPr>
                <w:rFonts w:ascii="Calibri" w:hAnsi="Calibri" w:cs="Calibri"/>
                <w:color w:val="000000"/>
                <w:sz w:val="18"/>
                <w:szCs w:val="18"/>
                <w:lang w:val="sr-Latn-RS" w:eastAsia="sr-Latn-RS"/>
              </w:rPr>
              <w:t>Остала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краткорочна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финансијска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имовина</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31F65698"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028</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5264D611"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nil"/>
              <w:left w:val="nil"/>
              <w:bottom w:val="single" w:sz="4" w:space="0" w:color="auto"/>
              <w:right w:val="nil"/>
            </w:tcBorders>
            <w:shd w:val="clear" w:color="auto" w:fill="auto"/>
            <w:vAlign w:val="center"/>
            <w:hideMark/>
          </w:tcPr>
          <w:p w14:paraId="017523A5"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5E51FC7"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4200B690"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64386F43" w14:textId="77777777" w:rsidTr="0060234A">
        <w:trPr>
          <w:trHeight w:val="72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35892B4D"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129</w:t>
            </w:r>
          </w:p>
        </w:tc>
        <w:tc>
          <w:tcPr>
            <w:tcW w:w="3817" w:type="dxa"/>
            <w:tcBorders>
              <w:top w:val="nil"/>
              <w:left w:val="nil"/>
              <w:bottom w:val="single" w:sz="4" w:space="0" w:color="auto"/>
              <w:right w:val="single" w:sz="4" w:space="0" w:color="auto"/>
            </w:tcBorders>
            <w:shd w:val="clear" w:color="auto" w:fill="auto"/>
            <w:vAlign w:val="center"/>
            <w:hideMark/>
          </w:tcPr>
          <w:p w14:paraId="6A4EEBBB"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xml:space="preserve">6. </w:t>
            </w:r>
            <w:proofErr w:type="spellStart"/>
            <w:r w:rsidRPr="0060234A">
              <w:rPr>
                <w:rFonts w:ascii="Calibri" w:hAnsi="Calibri" w:cs="Calibri"/>
                <w:b/>
                <w:bCs/>
                <w:color w:val="000000"/>
                <w:sz w:val="18"/>
                <w:szCs w:val="18"/>
                <w:lang w:val="sr-Latn-RS" w:eastAsia="sr-Latn-RS"/>
              </w:rPr>
              <w:t>Краткорочна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финансијска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имовина</w:t>
            </w:r>
            <w:proofErr w:type="spellEnd"/>
            <w:r w:rsidRPr="0060234A">
              <w:rPr>
                <w:rFonts w:ascii="Calibri" w:hAnsi="Calibri" w:cs="Calibri"/>
                <w:b/>
                <w:bCs/>
                <w:color w:val="000000"/>
                <w:sz w:val="18"/>
                <w:szCs w:val="18"/>
                <w:lang w:val="sr-Latn-RS" w:eastAsia="sr-Latn-RS"/>
              </w:rPr>
              <w:t xml:space="preserve"> и </w:t>
            </w:r>
            <w:proofErr w:type="spellStart"/>
            <w:r w:rsidRPr="0060234A">
              <w:rPr>
                <w:rFonts w:ascii="Calibri" w:hAnsi="Calibri" w:cs="Calibri"/>
                <w:b/>
                <w:bCs/>
                <w:color w:val="000000"/>
                <w:sz w:val="18"/>
                <w:szCs w:val="18"/>
                <w:lang w:val="sr-Latn-RS" w:eastAsia="sr-Latn-RS"/>
              </w:rPr>
              <w:t>разграничења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између</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или</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унутар</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јединица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власти</w:t>
            </w:r>
            <w:proofErr w:type="spellEnd"/>
            <w:r w:rsidRPr="0060234A">
              <w:rPr>
                <w:rFonts w:ascii="Calibri" w:hAnsi="Calibri" w:cs="Calibri"/>
                <w:b/>
                <w:bCs/>
                <w:color w:val="000000"/>
                <w:sz w:val="18"/>
                <w:szCs w:val="18"/>
                <w:lang w:val="sr-Latn-RS" w:eastAsia="sr-Latn-RS"/>
              </w:rPr>
              <w:t xml:space="preserve"> (030 + 031)</w:t>
            </w:r>
          </w:p>
        </w:tc>
        <w:tc>
          <w:tcPr>
            <w:tcW w:w="919" w:type="dxa"/>
            <w:tcBorders>
              <w:top w:val="nil"/>
              <w:left w:val="nil"/>
              <w:bottom w:val="single" w:sz="4" w:space="0" w:color="auto"/>
              <w:right w:val="single" w:sz="4" w:space="0" w:color="auto"/>
            </w:tcBorders>
            <w:shd w:val="clear" w:color="auto" w:fill="auto"/>
            <w:vAlign w:val="center"/>
            <w:hideMark/>
          </w:tcPr>
          <w:p w14:paraId="70B65F10"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029</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1F69EBDD"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544.485</w:t>
            </w:r>
          </w:p>
        </w:tc>
        <w:tc>
          <w:tcPr>
            <w:tcW w:w="1417" w:type="dxa"/>
            <w:tcBorders>
              <w:top w:val="nil"/>
              <w:left w:val="nil"/>
              <w:bottom w:val="single" w:sz="4" w:space="0" w:color="auto"/>
              <w:right w:val="nil"/>
            </w:tcBorders>
            <w:shd w:val="clear" w:color="auto" w:fill="auto"/>
            <w:vAlign w:val="center"/>
            <w:hideMark/>
          </w:tcPr>
          <w:p w14:paraId="3D8A4B49"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4.578</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D770CBA"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539.908</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5B303A46"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281.320</w:t>
            </w:r>
          </w:p>
        </w:tc>
      </w:tr>
      <w:tr w:rsidR="0060234A" w:rsidRPr="0060234A" w14:paraId="7BE8D493" w14:textId="77777777" w:rsidTr="0060234A">
        <w:trPr>
          <w:trHeight w:val="72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64114364"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1297</w:t>
            </w:r>
          </w:p>
        </w:tc>
        <w:tc>
          <w:tcPr>
            <w:tcW w:w="3817" w:type="dxa"/>
            <w:tcBorders>
              <w:top w:val="nil"/>
              <w:left w:val="nil"/>
              <w:bottom w:val="single" w:sz="4" w:space="0" w:color="auto"/>
              <w:right w:val="single" w:sz="4" w:space="0" w:color="auto"/>
            </w:tcBorders>
            <w:shd w:val="clear" w:color="000000" w:fill="FFFFFF"/>
            <w:vAlign w:val="center"/>
            <w:hideMark/>
          </w:tcPr>
          <w:p w14:paraId="05533C4E"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а) </w:t>
            </w:r>
            <w:proofErr w:type="spellStart"/>
            <w:r w:rsidRPr="0060234A">
              <w:rPr>
                <w:rFonts w:ascii="Calibri" w:hAnsi="Calibri" w:cs="Calibri"/>
                <w:color w:val="000000"/>
                <w:sz w:val="18"/>
                <w:szCs w:val="18"/>
                <w:lang w:val="sr-Latn-RS" w:eastAsia="sr-Latn-RS"/>
              </w:rPr>
              <w:t>Краткорочна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финансијска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имовина</w:t>
            </w:r>
            <w:proofErr w:type="spellEnd"/>
            <w:r w:rsidRPr="0060234A">
              <w:rPr>
                <w:rFonts w:ascii="Calibri" w:hAnsi="Calibri" w:cs="Calibri"/>
                <w:color w:val="000000"/>
                <w:sz w:val="18"/>
                <w:szCs w:val="18"/>
                <w:lang w:val="sr-Latn-RS" w:eastAsia="sr-Latn-RS"/>
              </w:rPr>
              <w:t xml:space="preserve"> и </w:t>
            </w:r>
            <w:proofErr w:type="spellStart"/>
            <w:r w:rsidRPr="0060234A">
              <w:rPr>
                <w:rFonts w:ascii="Calibri" w:hAnsi="Calibri" w:cs="Calibri"/>
                <w:color w:val="000000"/>
                <w:sz w:val="18"/>
                <w:szCs w:val="18"/>
                <w:lang w:val="sr-Latn-RS" w:eastAsia="sr-Latn-RS"/>
              </w:rPr>
              <w:t>разграничења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из</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трансакција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са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другим</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јединицама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власти</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653D422B"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030</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7A20508C"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544.485</w:t>
            </w:r>
          </w:p>
        </w:tc>
        <w:tc>
          <w:tcPr>
            <w:tcW w:w="1417" w:type="dxa"/>
            <w:tcBorders>
              <w:top w:val="nil"/>
              <w:left w:val="nil"/>
              <w:bottom w:val="single" w:sz="4" w:space="0" w:color="auto"/>
              <w:right w:val="nil"/>
            </w:tcBorders>
            <w:shd w:val="clear" w:color="auto" w:fill="auto"/>
            <w:vAlign w:val="center"/>
            <w:hideMark/>
          </w:tcPr>
          <w:p w14:paraId="44BEFE66"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4.578</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E326C7D"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539.908</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1F78E4A8"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281.320</w:t>
            </w:r>
          </w:p>
        </w:tc>
      </w:tr>
      <w:tr w:rsidR="0060234A" w:rsidRPr="0060234A" w14:paraId="63923B63" w14:textId="77777777" w:rsidTr="0060234A">
        <w:trPr>
          <w:trHeight w:val="76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2E2FF98C"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1298</w:t>
            </w:r>
          </w:p>
        </w:tc>
        <w:tc>
          <w:tcPr>
            <w:tcW w:w="3817" w:type="dxa"/>
            <w:tcBorders>
              <w:top w:val="nil"/>
              <w:left w:val="nil"/>
              <w:bottom w:val="single" w:sz="4" w:space="0" w:color="auto"/>
              <w:right w:val="single" w:sz="4" w:space="0" w:color="auto"/>
            </w:tcBorders>
            <w:shd w:val="clear" w:color="auto" w:fill="auto"/>
            <w:vAlign w:val="center"/>
            <w:hideMark/>
          </w:tcPr>
          <w:p w14:paraId="01854A4D"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б) </w:t>
            </w:r>
            <w:proofErr w:type="spellStart"/>
            <w:r w:rsidRPr="0060234A">
              <w:rPr>
                <w:rFonts w:ascii="Calibri" w:hAnsi="Calibri" w:cs="Calibri"/>
                <w:color w:val="000000"/>
                <w:sz w:val="18"/>
                <w:szCs w:val="18"/>
                <w:lang w:val="sr-Latn-RS" w:eastAsia="sr-Latn-RS"/>
              </w:rPr>
              <w:t>Краткорочна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финансијска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имовина</w:t>
            </w:r>
            <w:proofErr w:type="spellEnd"/>
            <w:r w:rsidRPr="0060234A">
              <w:rPr>
                <w:rFonts w:ascii="Calibri" w:hAnsi="Calibri" w:cs="Calibri"/>
                <w:color w:val="000000"/>
                <w:sz w:val="18"/>
                <w:szCs w:val="18"/>
                <w:lang w:val="sr-Latn-RS" w:eastAsia="sr-Latn-RS"/>
              </w:rPr>
              <w:t xml:space="preserve"> и </w:t>
            </w:r>
            <w:proofErr w:type="spellStart"/>
            <w:r w:rsidRPr="0060234A">
              <w:rPr>
                <w:rFonts w:ascii="Calibri" w:hAnsi="Calibri" w:cs="Calibri"/>
                <w:color w:val="000000"/>
                <w:sz w:val="18"/>
                <w:szCs w:val="18"/>
                <w:lang w:val="sr-Latn-RS" w:eastAsia="sr-Latn-RS"/>
              </w:rPr>
              <w:t>разграничења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из</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трансакција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унутар</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исте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јединице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власти</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718028A9"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031</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5CA4E08B"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nil"/>
              <w:left w:val="nil"/>
              <w:bottom w:val="single" w:sz="4" w:space="0" w:color="auto"/>
              <w:right w:val="nil"/>
            </w:tcBorders>
            <w:shd w:val="clear" w:color="auto" w:fill="auto"/>
            <w:vAlign w:val="center"/>
            <w:hideMark/>
          </w:tcPr>
          <w:p w14:paraId="3C471155"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D70C5BF"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3A5ED806"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0EF18D5F" w14:textId="77777777" w:rsidTr="0060234A">
        <w:trPr>
          <w:trHeight w:val="48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7BFD43AA"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02</w:t>
            </w:r>
          </w:p>
        </w:tc>
        <w:tc>
          <w:tcPr>
            <w:tcW w:w="3817" w:type="dxa"/>
            <w:tcBorders>
              <w:top w:val="nil"/>
              <w:left w:val="nil"/>
              <w:bottom w:val="single" w:sz="4" w:space="0" w:color="auto"/>
              <w:right w:val="single" w:sz="4" w:space="0" w:color="auto"/>
            </w:tcBorders>
            <w:shd w:val="clear" w:color="auto" w:fill="auto"/>
            <w:vAlign w:val="center"/>
            <w:hideMark/>
          </w:tcPr>
          <w:p w14:paraId="3E19D6E1"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II НЕФИНАНСИЈСКА ИМОВИНА У ТЕКУЋИМ СРЕДСТВИМА (033 + 035 +037 + 042)</w:t>
            </w:r>
          </w:p>
        </w:tc>
        <w:tc>
          <w:tcPr>
            <w:tcW w:w="919" w:type="dxa"/>
            <w:tcBorders>
              <w:top w:val="nil"/>
              <w:left w:val="nil"/>
              <w:bottom w:val="single" w:sz="4" w:space="0" w:color="auto"/>
              <w:right w:val="single" w:sz="4" w:space="0" w:color="auto"/>
            </w:tcBorders>
            <w:shd w:val="clear" w:color="auto" w:fill="auto"/>
            <w:vAlign w:val="center"/>
            <w:hideMark/>
          </w:tcPr>
          <w:p w14:paraId="005554FA"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032</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64A9A920"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11.315</w:t>
            </w:r>
          </w:p>
        </w:tc>
        <w:tc>
          <w:tcPr>
            <w:tcW w:w="1417" w:type="dxa"/>
            <w:tcBorders>
              <w:top w:val="nil"/>
              <w:left w:val="nil"/>
              <w:bottom w:val="single" w:sz="4" w:space="0" w:color="auto"/>
              <w:right w:val="nil"/>
            </w:tcBorders>
            <w:shd w:val="clear" w:color="auto" w:fill="auto"/>
            <w:vAlign w:val="center"/>
            <w:hideMark/>
          </w:tcPr>
          <w:p w14:paraId="5BCA1434"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9.966</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2760679"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1.349</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34E34C44"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1.401</w:t>
            </w:r>
          </w:p>
        </w:tc>
      </w:tr>
      <w:tr w:rsidR="0060234A" w:rsidRPr="0060234A" w14:paraId="567C018D" w14:textId="77777777" w:rsidTr="0060234A">
        <w:trPr>
          <w:trHeight w:val="48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63C91F9F"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021</w:t>
            </w:r>
          </w:p>
        </w:tc>
        <w:tc>
          <w:tcPr>
            <w:tcW w:w="3817" w:type="dxa"/>
            <w:tcBorders>
              <w:top w:val="nil"/>
              <w:left w:val="nil"/>
              <w:bottom w:val="single" w:sz="4" w:space="0" w:color="auto"/>
              <w:right w:val="single" w:sz="4" w:space="0" w:color="auto"/>
            </w:tcBorders>
            <w:shd w:val="clear" w:color="auto" w:fill="auto"/>
            <w:vAlign w:val="center"/>
            <w:hideMark/>
          </w:tcPr>
          <w:p w14:paraId="35CEF3C0"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xml:space="preserve">1. </w:t>
            </w:r>
            <w:proofErr w:type="spellStart"/>
            <w:r w:rsidRPr="0060234A">
              <w:rPr>
                <w:rFonts w:ascii="Calibri" w:hAnsi="Calibri" w:cs="Calibri"/>
                <w:b/>
                <w:bCs/>
                <w:color w:val="000000"/>
                <w:sz w:val="18"/>
                <w:szCs w:val="18"/>
                <w:lang w:val="sr-Latn-RS" w:eastAsia="sr-Latn-RS"/>
              </w:rPr>
              <w:t>Стална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имовина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намијењена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продаји</w:t>
            </w:r>
            <w:proofErr w:type="spellEnd"/>
            <w:r w:rsidRPr="0060234A">
              <w:rPr>
                <w:rFonts w:ascii="Calibri" w:hAnsi="Calibri" w:cs="Calibri"/>
                <w:b/>
                <w:bCs/>
                <w:color w:val="000000"/>
                <w:sz w:val="18"/>
                <w:szCs w:val="18"/>
                <w:lang w:val="sr-Latn-RS" w:eastAsia="sr-Latn-RS"/>
              </w:rPr>
              <w:t xml:space="preserve"> и </w:t>
            </w:r>
            <w:proofErr w:type="spellStart"/>
            <w:r w:rsidRPr="0060234A">
              <w:rPr>
                <w:rFonts w:ascii="Calibri" w:hAnsi="Calibri" w:cs="Calibri"/>
                <w:b/>
                <w:bCs/>
                <w:color w:val="000000"/>
                <w:sz w:val="18"/>
                <w:szCs w:val="18"/>
                <w:lang w:val="sr-Latn-RS" w:eastAsia="sr-Latn-RS"/>
              </w:rPr>
              <w:t>обустављена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пословања</w:t>
            </w:r>
            <w:proofErr w:type="spellEnd"/>
            <w:r w:rsidRPr="0060234A">
              <w:rPr>
                <w:rFonts w:ascii="Calibri" w:hAnsi="Calibri" w:cs="Calibri"/>
                <w:b/>
                <w:bCs/>
                <w:color w:val="000000"/>
                <w:sz w:val="18"/>
                <w:szCs w:val="18"/>
                <w:lang w:val="sr-Latn-RS" w:eastAsia="sr-Latn-RS"/>
              </w:rPr>
              <w:t xml:space="preserve"> (034)</w:t>
            </w:r>
          </w:p>
        </w:tc>
        <w:tc>
          <w:tcPr>
            <w:tcW w:w="919" w:type="dxa"/>
            <w:tcBorders>
              <w:top w:val="nil"/>
              <w:left w:val="nil"/>
              <w:bottom w:val="single" w:sz="4" w:space="0" w:color="auto"/>
              <w:right w:val="single" w:sz="4" w:space="0" w:color="auto"/>
            </w:tcBorders>
            <w:shd w:val="clear" w:color="auto" w:fill="auto"/>
            <w:vAlign w:val="center"/>
            <w:hideMark/>
          </w:tcPr>
          <w:p w14:paraId="5F69D02F"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033</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79648731"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9.289</w:t>
            </w:r>
          </w:p>
        </w:tc>
        <w:tc>
          <w:tcPr>
            <w:tcW w:w="1417" w:type="dxa"/>
            <w:tcBorders>
              <w:top w:val="nil"/>
              <w:left w:val="nil"/>
              <w:bottom w:val="single" w:sz="4" w:space="0" w:color="auto"/>
              <w:right w:val="nil"/>
            </w:tcBorders>
            <w:shd w:val="clear" w:color="auto" w:fill="auto"/>
            <w:vAlign w:val="center"/>
            <w:hideMark/>
          </w:tcPr>
          <w:p w14:paraId="20A36720"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9.289</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7B80813"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2A1A8563"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r>
      <w:tr w:rsidR="0060234A" w:rsidRPr="0060234A" w14:paraId="685A52DD" w14:textId="77777777" w:rsidTr="0060234A">
        <w:trPr>
          <w:trHeight w:val="48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6E546F36"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lastRenderedPageBreak/>
              <w:t>0211</w:t>
            </w:r>
          </w:p>
        </w:tc>
        <w:tc>
          <w:tcPr>
            <w:tcW w:w="3817" w:type="dxa"/>
            <w:tcBorders>
              <w:top w:val="nil"/>
              <w:left w:val="nil"/>
              <w:bottom w:val="single" w:sz="4" w:space="0" w:color="auto"/>
              <w:right w:val="single" w:sz="4" w:space="0" w:color="auto"/>
            </w:tcBorders>
            <w:shd w:val="clear" w:color="auto" w:fill="auto"/>
            <w:vAlign w:val="center"/>
            <w:hideMark/>
          </w:tcPr>
          <w:p w14:paraId="383B6786"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а) </w:t>
            </w:r>
            <w:proofErr w:type="spellStart"/>
            <w:r w:rsidRPr="0060234A">
              <w:rPr>
                <w:rFonts w:ascii="Calibri" w:hAnsi="Calibri" w:cs="Calibri"/>
                <w:color w:val="000000"/>
                <w:sz w:val="18"/>
                <w:szCs w:val="18"/>
                <w:lang w:val="sr-Latn-RS" w:eastAsia="sr-Latn-RS"/>
              </w:rPr>
              <w:t>Стална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имовина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намијењена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продаји</w:t>
            </w:r>
            <w:proofErr w:type="spellEnd"/>
            <w:r w:rsidRPr="0060234A">
              <w:rPr>
                <w:rFonts w:ascii="Calibri" w:hAnsi="Calibri" w:cs="Calibri"/>
                <w:color w:val="000000"/>
                <w:sz w:val="18"/>
                <w:szCs w:val="18"/>
                <w:lang w:val="sr-Latn-RS" w:eastAsia="sr-Latn-RS"/>
              </w:rPr>
              <w:t xml:space="preserve"> и </w:t>
            </w:r>
            <w:proofErr w:type="spellStart"/>
            <w:r w:rsidRPr="0060234A">
              <w:rPr>
                <w:rFonts w:ascii="Calibri" w:hAnsi="Calibri" w:cs="Calibri"/>
                <w:color w:val="000000"/>
                <w:sz w:val="18"/>
                <w:szCs w:val="18"/>
                <w:lang w:val="sr-Latn-RS" w:eastAsia="sr-Latn-RS"/>
              </w:rPr>
              <w:t>обустављена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пословања</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59FF51BA"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034</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32EF2270"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9.289</w:t>
            </w:r>
          </w:p>
        </w:tc>
        <w:tc>
          <w:tcPr>
            <w:tcW w:w="1417" w:type="dxa"/>
            <w:tcBorders>
              <w:top w:val="nil"/>
              <w:left w:val="nil"/>
              <w:bottom w:val="single" w:sz="4" w:space="0" w:color="auto"/>
              <w:right w:val="nil"/>
            </w:tcBorders>
            <w:shd w:val="clear" w:color="auto" w:fill="auto"/>
            <w:vAlign w:val="center"/>
            <w:hideMark/>
          </w:tcPr>
          <w:p w14:paraId="1B0902AC"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9.289</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3B84E1C"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109968E8"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219373E2"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6C29C62B"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022</w:t>
            </w:r>
          </w:p>
        </w:tc>
        <w:tc>
          <w:tcPr>
            <w:tcW w:w="3817" w:type="dxa"/>
            <w:tcBorders>
              <w:top w:val="nil"/>
              <w:left w:val="nil"/>
              <w:bottom w:val="single" w:sz="4" w:space="0" w:color="auto"/>
              <w:right w:val="single" w:sz="4" w:space="0" w:color="auto"/>
            </w:tcBorders>
            <w:shd w:val="clear" w:color="auto" w:fill="auto"/>
            <w:vAlign w:val="center"/>
            <w:hideMark/>
          </w:tcPr>
          <w:p w14:paraId="19A45051"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xml:space="preserve">2. </w:t>
            </w:r>
            <w:proofErr w:type="spellStart"/>
            <w:r w:rsidRPr="0060234A">
              <w:rPr>
                <w:rFonts w:ascii="Calibri" w:hAnsi="Calibri" w:cs="Calibri"/>
                <w:b/>
                <w:bCs/>
                <w:color w:val="000000"/>
                <w:sz w:val="18"/>
                <w:szCs w:val="18"/>
                <w:lang w:val="sr-Latn-RS" w:eastAsia="sr-Latn-RS"/>
              </w:rPr>
              <w:t>Стратешке</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залихе</w:t>
            </w:r>
            <w:proofErr w:type="spellEnd"/>
            <w:r w:rsidRPr="0060234A">
              <w:rPr>
                <w:rFonts w:ascii="Calibri" w:hAnsi="Calibri" w:cs="Calibri"/>
                <w:b/>
                <w:bCs/>
                <w:color w:val="000000"/>
                <w:sz w:val="18"/>
                <w:szCs w:val="18"/>
                <w:lang w:val="sr-Latn-RS" w:eastAsia="sr-Latn-RS"/>
              </w:rPr>
              <w:t xml:space="preserve"> (036)</w:t>
            </w:r>
          </w:p>
        </w:tc>
        <w:tc>
          <w:tcPr>
            <w:tcW w:w="919" w:type="dxa"/>
            <w:tcBorders>
              <w:top w:val="nil"/>
              <w:left w:val="nil"/>
              <w:bottom w:val="single" w:sz="4" w:space="0" w:color="auto"/>
              <w:right w:val="single" w:sz="4" w:space="0" w:color="auto"/>
            </w:tcBorders>
            <w:shd w:val="clear" w:color="auto" w:fill="auto"/>
            <w:vAlign w:val="center"/>
            <w:hideMark/>
          </w:tcPr>
          <w:p w14:paraId="4FA9EE18"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035</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451FF12D"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c>
          <w:tcPr>
            <w:tcW w:w="1417" w:type="dxa"/>
            <w:tcBorders>
              <w:top w:val="nil"/>
              <w:left w:val="nil"/>
              <w:bottom w:val="single" w:sz="4" w:space="0" w:color="auto"/>
              <w:right w:val="nil"/>
            </w:tcBorders>
            <w:shd w:val="clear" w:color="auto" w:fill="auto"/>
            <w:vAlign w:val="center"/>
            <w:hideMark/>
          </w:tcPr>
          <w:p w14:paraId="757418BF"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1E64995"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7AA185B5"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r>
      <w:tr w:rsidR="0060234A" w:rsidRPr="0060234A" w14:paraId="7230BC95"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30D16AB6"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0221</w:t>
            </w:r>
          </w:p>
        </w:tc>
        <w:tc>
          <w:tcPr>
            <w:tcW w:w="3817" w:type="dxa"/>
            <w:tcBorders>
              <w:top w:val="nil"/>
              <w:left w:val="nil"/>
              <w:bottom w:val="single" w:sz="4" w:space="0" w:color="auto"/>
              <w:right w:val="single" w:sz="4" w:space="0" w:color="auto"/>
            </w:tcBorders>
            <w:shd w:val="clear" w:color="auto" w:fill="auto"/>
            <w:vAlign w:val="center"/>
            <w:hideMark/>
          </w:tcPr>
          <w:p w14:paraId="6CF79823"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а) </w:t>
            </w:r>
            <w:proofErr w:type="spellStart"/>
            <w:r w:rsidRPr="0060234A">
              <w:rPr>
                <w:rFonts w:ascii="Calibri" w:hAnsi="Calibri" w:cs="Calibri"/>
                <w:color w:val="000000"/>
                <w:sz w:val="18"/>
                <w:szCs w:val="18"/>
                <w:lang w:val="sr-Latn-RS" w:eastAsia="sr-Latn-RS"/>
              </w:rPr>
              <w:t>Стратешке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залихе</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7194769D"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036</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679767A2"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nil"/>
              <w:left w:val="nil"/>
              <w:bottom w:val="single" w:sz="4" w:space="0" w:color="auto"/>
              <w:right w:val="nil"/>
            </w:tcBorders>
            <w:shd w:val="clear" w:color="auto" w:fill="auto"/>
            <w:vAlign w:val="center"/>
            <w:hideMark/>
          </w:tcPr>
          <w:p w14:paraId="366FA2C5"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3C42F23"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48514E2C"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263ED273" w14:textId="77777777" w:rsidTr="0060234A">
        <w:trPr>
          <w:trHeight w:val="48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52BF8EB9"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023</w:t>
            </w:r>
          </w:p>
        </w:tc>
        <w:tc>
          <w:tcPr>
            <w:tcW w:w="3817" w:type="dxa"/>
            <w:tcBorders>
              <w:top w:val="nil"/>
              <w:left w:val="nil"/>
              <w:bottom w:val="single" w:sz="4" w:space="0" w:color="auto"/>
              <w:right w:val="single" w:sz="4" w:space="0" w:color="auto"/>
            </w:tcBorders>
            <w:shd w:val="clear" w:color="auto" w:fill="auto"/>
            <w:vAlign w:val="center"/>
            <w:hideMark/>
          </w:tcPr>
          <w:p w14:paraId="19D32CF2"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xml:space="preserve">3. </w:t>
            </w:r>
            <w:proofErr w:type="spellStart"/>
            <w:r w:rsidRPr="0060234A">
              <w:rPr>
                <w:rFonts w:ascii="Calibri" w:hAnsi="Calibri" w:cs="Calibri"/>
                <w:b/>
                <w:bCs/>
                <w:color w:val="000000"/>
                <w:sz w:val="18"/>
                <w:szCs w:val="18"/>
                <w:lang w:val="sr-Latn-RS" w:eastAsia="sr-Latn-RS"/>
              </w:rPr>
              <w:t>Залихе</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материјала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учинака</w:t>
            </w:r>
            <w:proofErr w:type="spellEnd"/>
            <w:r w:rsidRPr="0060234A">
              <w:rPr>
                <w:rFonts w:ascii="Calibri" w:hAnsi="Calibri" w:cs="Calibri"/>
                <w:b/>
                <w:bCs/>
                <w:color w:val="000000"/>
                <w:sz w:val="18"/>
                <w:szCs w:val="18"/>
                <w:lang w:val="sr-Latn-RS" w:eastAsia="sr-Latn-RS"/>
              </w:rPr>
              <w:t xml:space="preserve"> и </w:t>
            </w:r>
            <w:proofErr w:type="spellStart"/>
            <w:r w:rsidRPr="0060234A">
              <w:rPr>
                <w:rFonts w:ascii="Calibri" w:hAnsi="Calibri" w:cs="Calibri"/>
                <w:b/>
                <w:bCs/>
                <w:color w:val="000000"/>
                <w:sz w:val="18"/>
                <w:szCs w:val="18"/>
                <w:lang w:val="sr-Latn-RS" w:eastAsia="sr-Latn-RS"/>
              </w:rPr>
              <w:t>роба</w:t>
            </w:r>
            <w:proofErr w:type="spellEnd"/>
            <w:r w:rsidRPr="0060234A">
              <w:rPr>
                <w:rFonts w:ascii="Calibri" w:hAnsi="Calibri" w:cs="Calibri"/>
                <w:b/>
                <w:bCs/>
                <w:color w:val="000000"/>
                <w:sz w:val="18"/>
                <w:szCs w:val="18"/>
                <w:lang w:val="sr-Latn-RS" w:eastAsia="sr-Latn-RS"/>
              </w:rPr>
              <w:t xml:space="preserve"> (038 </w:t>
            </w:r>
            <w:proofErr w:type="spellStart"/>
            <w:r w:rsidRPr="0060234A">
              <w:rPr>
                <w:rFonts w:ascii="Calibri" w:hAnsi="Calibri" w:cs="Calibri"/>
                <w:b/>
                <w:bCs/>
                <w:color w:val="000000"/>
                <w:sz w:val="18"/>
                <w:szCs w:val="18"/>
                <w:lang w:val="sr-Latn-RS" w:eastAsia="sr-Latn-RS"/>
              </w:rPr>
              <w:t>до</w:t>
            </w:r>
            <w:proofErr w:type="spellEnd"/>
            <w:r w:rsidRPr="0060234A">
              <w:rPr>
                <w:rFonts w:ascii="Calibri" w:hAnsi="Calibri" w:cs="Calibri"/>
                <w:b/>
                <w:bCs/>
                <w:color w:val="000000"/>
                <w:sz w:val="18"/>
                <w:szCs w:val="18"/>
                <w:lang w:val="sr-Latn-RS" w:eastAsia="sr-Latn-RS"/>
              </w:rPr>
              <w:t xml:space="preserve"> 041)</w:t>
            </w:r>
          </w:p>
        </w:tc>
        <w:tc>
          <w:tcPr>
            <w:tcW w:w="919" w:type="dxa"/>
            <w:tcBorders>
              <w:top w:val="nil"/>
              <w:left w:val="nil"/>
              <w:bottom w:val="single" w:sz="4" w:space="0" w:color="auto"/>
              <w:right w:val="single" w:sz="4" w:space="0" w:color="auto"/>
            </w:tcBorders>
            <w:shd w:val="clear" w:color="auto" w:fill="auto"/>
            <w:vAlign w:val="center"/>
            <w:hideMark/>
          </w:tcPr>
          <w:p w14:paraId="556FFC4E"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037</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442F259C"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2.026</w:t>
            </w:r>
          </w:p>
        </w:tc>
        <w:tc>
          <w:tcPr>
            <w:tcW w:w="1417" w:type="dxa"/>
            <w:tcBorders>
              <w:top w:val="nil"/>
              <w:left w:val="nil"/>
              <w:bottom w:val="single" w:sz="4" w:space="0" w:color="auto"/>
              <w:right w:val="nil"/>
            </w:tcBorders>
            <w:shd w:val="clear" w:color="auto" w:fill="auto"/>
            <w:vAlign w:val="center"/>
            <w:hideMark/>
          </w:tcPr>
          <w:p w14:paraId="5FC2B360"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677</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B6864AF"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1.349</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7EEB5C3F"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1.401</w:t>
            </w:r>
          </w:p>
        </w:tc>
      </w:tr>
      <w:tr w:rsidR="0060234A" w:rsidRPr="0060234A" w14:paraId="682A9BC5"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531C5F77"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0231</w:t>
            </w:r>
          </w:p>
        </w:tc>
        <w:tc>
          <w:tcPr>
            <w:tcW w:w="3817" w:type="dxa"/>
            <w:tcBorders>
              <w:top w:val="nil"/>
              <w:left w:val="nil"/>
              <w:bottom w:val="single" w:sz="4" w:space="0" w:color="auto"/>
              <w:right w:val="single" w:sz="4" w:space="0" w:color="auto"/>
            </w:tcBorders>
            <w:shd w:val="clear" w:color="auto" w:fill="auto"/>
            <w:vAlign w:val="center"/>
            <w:hideMark/>
          </w:tcPr>
          <w:p w14:paraId="02874255"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а) </w:t>
            </w:r>
            <w:proofErr w:type="spellStart"/>
            <w:r w:rsidRPr="0060234A">
              <w:rPr>
                <w:rFonts w:ascii="Calibri" w:hAnsi="Calibri" w:cs="Calibri"/>
                <w:color w:val="000000"/>
                <w:sz w:val="18"/>
                <w:szCs w:val="18"/>
                <w:lang w:val="sr-Latn-RS" w:eastAsia="sr-Latn-RS"/>
              </w:rPr>
              <w:t>Залихе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материјала</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1A087226"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038</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510FE948"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657</w:t>
            </w:r>
          </w:p>
        </w:tc>
        <w:tc>
          <w:tcPr>
            <w:tcW w:w="1417" w:type="dxa"/>
            <w:tcBorders>
              <w:top w:val="nil"/>
              <w:left w:val="nil"/>
              <w:bottom w:val="single" w:sz="4" w:space="0" w:color="auto"/>
              <w:right w:val="nil"/>
            </w:tcBorders>
            <w:shd w:val="clear" w:color="auto" w:fill="auto"/>
            <w:vAlign w:val="center"/>
            <w:hideMark/>
          </w:tcPr>
          <w:p w14:paraId="6A7558F4"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2E274C3"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657</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34A63ACD"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657</w:t>
            </w:r>
          </w:p>
        </w:tc>
      </w:tr>
      <w:tr w:rsidR="0060234A" w:rsidRPr="0060234A" w14:paraId="61F145C8"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45A6B17A"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0232</w:t>
            </w:r>
          </w:p>
        </w:tc>
        <w:tc>
          <w:tcPr>
            <w:tcW w:w="3817" w:type="dxa"/>
            <w:tcBorders>
              <w:top w:val="nil"/>
              <w:left w:val="nil"/>
              <w:bottom w:val="single" w:sz="4" w:space="0" w:color="auto"/>
              <w:right w:val="single" w:sz="4" w:space="0" w:color="auto"/>
            </w:tcBorders>
            <w:shd w:val="clear" w:color="auto" w:fill="auto"/>
            <w:vAlign w:val="center"/>
            <w:hideMark/>
          </w:tcPr>
          <w:p w14:paraId="26F37827"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б) </w:t>
            </w:r>
            <w:proofErr w:type="spellStart"/>
            <w:r w:rsidRPr="0060234A">
              <w:rPr>
                <w:rFonts w:ascii="Calibri" w:hAnsi="Calibri" w:cs="Calibri"/>
                <w:color w:val="000000"/>
                <w:sz w:val="18"/>
                <w:szCs w:val="18"/>
                <w:lang w:val="sr-Latn-RS" w:eastAsia="sr-Latn-RS"/>
              </w:rPr>
              <w:t>Залихе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недовршених</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учинака</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65553A0C"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039</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11A0BBF3"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nil"/>
              <w:left w:val="nil"/>
              <w:bottom w:val="single" w:sz="4" w:space="0" w:color="auto"/>
              <w:right w:val="nil"/>
            </w:tcBorders>
            <w:shd w:val="clear" w:color="auto" w:fill="auto"/>
            <w:vAlign w:val="center"/>
            <w:hideMark/>
          </w:tcPr>
          <w:p w14:paraId="5E5707BB"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BD08273"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192956BD"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53C40325"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000F018C"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0233</w:t>
            </w:r>
          </w:p>
        </w:tc>
        <w:tc>
          <w:tcPr>
            <w:tcW w:w="3817" w:type="dxa"/>
            <w:tcBorders>
              <w:top w:val="nil"/>
              <w:left w:val="nil"/>
              <w:bottom w:val="single" w:sz="4" w:space="0" w:color="auto"/>
              <w:right w:val="single" w:sz="4" w:space="0" w:color="auto"/>
            </w:tcBorders>
            <w:shd w:val="clear" w:color="auto" w:fill="auto"/>
            <w:vAlign w:val="center"/>
            <w:hideMark/>
          </w:tcPr>
          <w:p w14:paraId="5ABAFCF3"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в) </w:t>
            </w:r>
            <w:proofErr w:type="spellStart"/>
            <w:r w:rsidRPr="0060234A">
              <w:rPr>
                <w:rFonts w:ascii="Calibri" w:hAnsi="Calibri" w:cs="Calibri"/>
                <w:color w:val="000000"/>
                <w:sz w:val="18"/>
                <w:szCs w:val="18"/>
                <w:lang w:val="sr-Latn-RS" w:eastAsia="sr-Latn-RS"/>
              </w:rPr>
              <w:t>Залихе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довршених</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учинака</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5286CCBF"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040</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18699408"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nil"/>
              <w:left w:val="nil"/>
              <w:bottom w:val="single" w:sz="4" w:space="0" w:color="auto"/>
              <w:right w:val="nil"/>
            </w:tcBorders>
            <w:shd w:val="clear" w:color="auto" w:fill="auto"/>
            <w:vAlign w:val="center"/>
            <w:hideMark/>
          </w:tcPr>
          <w:p w14:paraId="2560A5D0"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7C5EB2B"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4EDB727D"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6BCAF929"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21B98533"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0234</w:t>
            </w:r>
          </w:p>
        </w:tc>
        <w:tc>
          <w:tcPr>
            <w:tcW w:w="3817" w:type="dxa"/>
            <w:tcBorders>
              <w:top w:val="nil"/>
              <w:left w:val="nil"/>
              <w:bottom w:val="single" w:sz="4" w:space="0" w:color="auto"/>
              <w:right w:val="single" w:sz="4" w:space="0" w:color="auto"/>
            </w:tcBorders>
            <w:shd w:val="clear" w:color="auto" w:fill="auto"/>
            <w:vAlign w:val="center"/>
            <w:hideMark/>
          </w:tcPr>
          <w:p w14:paraId="6537B870"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г) </w:t>
            </w:r>
            <w:proofErr w:type="spellStart"/>
            <w:r w:rsidRPr="0060234A">
              <w:rPr>
                <w:rFonts w:ascii="Calibri" w:hAnsi="Calibri" w:cs="Calibri"/>
                <w:color w:val="000000"/>
                <w:sz w:val="18"/>
                <w:szCs w:val="18"/>
                <w:lang w:val="sr-Latn-RS" w:eastAsia="sr-Latn-RS"/>
              </w:rPr>
              <w:t>Залихе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робе</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25AB8265"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041</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3FB63123"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1.369</w:t>
            </w:r>
          </w:p>
        </w:tc>
        <w:tc>
          <w:tcPr>
            <w:tcW w:w="1417" w:type="dxa"/>
            <w:tcBorders>
              <w:top w:val="nil"/>
              <w:left w:val="nil"/>
              <w:bottom w:val="single" w:sz="4" w:space="0" w:color="auto"/>
              <w:right w:val="nil"/>
            </w:tcBorders>
            <w:shd w:val="clear" w:color="auto" w:fill="auto"/>
            <w:vAlign w:val="center"/>
            <w:hideMark/>
          </w:tcPr>
          <w:p w14:paraId="4B87DA64"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677</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5D1FD87"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692</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53F7FDA8"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744</w:t>
            </w:r>
          </w:p>
        </w:tc>
      </w:tr>
      <w:tr w:rsidR="0060234A" w:rsidRPr="0060234A" w14:paraId="1BC276C9" w14:textId="77777777" w:rsidTr="0060234A">
        <w:trPr>
          <w:trHeight w:val="48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64C57FA5"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024</w:t>
            </w:r>
          </w:p>
        </w:tc>
        <w:tc>
          <w:tcPr>
            <w:tcW w:w="3817" w:type="dxa"/>
            <w:tcBorders>
              <w:top w:val="nil"/>
              <w:left w:val="nil"/>
              <w:bottom w:val="single" w:sz="4" w:space="0" w:color="auto"/>
              <w:right w:val="single" w:sz="4" w:space="0" w:color="auto"/>
            </w:tcBorders>
            <w:shd w:val="clear" w:color="auto" w:fill="auto"/>
            <w:vAlign w:val="center"/>
            <w:hideMark/>
          </w:tcPr>
          <w:p w14:paraId="07BED08F"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xml:space="preserve">4. </w:t>
            </w:r>
            <w:proofErr w:type="spellStart"/>
            <w:r w:rsidRPr="0060234A">
              <w:rPr>
                <w:rFonts w:ascii="Calibri" w:hAnsi="Calibri" w:cs="Calibri"/>
                <w:b/>
                <w:bCs/>
                <w:color w:val="000000"/>
                <w:sz w:val="18"/>
                <w:szCs w:val="18"/>
                <w:lang w:val="sr-Latn-RS" w:eastAsia="sr-Latn-RS"/>
              </w:rPr>
              <w:t>Ситан</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инвентар</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ауто-гуме</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одјећа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обућа</w:t>
            </w:r>
            <w:proofErr w:type="spellEnd"/>
            <w:r w:rsidRPr="0060234A">
              <w:rPr>
                <w:rFonts w:ascii="Calibri" w:hAnsi="Calibri" w:cs="Calibri"/>
                <w:b/>
                <w:bCs/>
                <w:color w:val="000000"/>
                <w:sz w:val="18"/>
                <w:szCs w:val="18"/>
                <w:lang w:val="sr-Latn-RS" w:eastAsia="sr-Latn-RS"/>
              </w:rPr>
              <w:t xml:space="preserve"> и </w:t>
            </w:r>
            <w:proofErr w:type="spellStart"/>
            <w:r w:rsidRPr="0060234A">
              <w:rPr>
                <w:rFonts w:ascii="Calibri" w:hAnsi="Calibri" w:cs="Calibri"/>
                <w:b/>
                <w:bCs/>
                <w:color w:val="000000"/>
                <w:sz w:val="18"/>
                <w:szCs w:val="18"/>
                <w:lang w:val="sr-Latn-RS" w:eastAsia="sr-Latn-RS"/>
              </w:rPr>
              <w:t>слично</w:t>
            </w:r>
            <w:proofErr w:type="spellEnd"/>
            <w:r w:rsidRPr="0060234A">
              <w:rPr>
                <w:rFonts w:ascii="Calibri" w:hAnsi="Calibri" w:cs="Calibri"/>
                <w:b/>
                <w:bCs/>
                <w:color w:val="000000"/>
                <w:sz w:val="18"/>
                <w:szCs w:val="18"/>
                <w:lang w:val="sr-Latn-RS" w:eastAsia="sr-Latn-RS"/>
              </w:rPr>
              <w:t xml:space="preserve"> (043)</w:t>
            </w:r>
          </w:p>
        </w:tc>
        <w:tc>
          <w:tcPr>
            <w:tcW w:w="919" w:type="dxa"/>
            <w:tcBorders>
              <w:top w:val="nil"/>
              <w:left w:val="nil"/>
              <w:bottom w:val="single" w:sz="4" w:space="0" w:color="auto"/>
              <w:right w:val="single" w:sz="4" w:space="0" w:color="auto"/>
            </w:tcBorders>
            <w:shd w:val="clear" w:color="auto" w:fill="auto"/>
            <w:vAlign w:val="center"/>
            <w:hideMark/>
          </w:tcPr>
          <w:p w14:paraId="3E53BBD7"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042</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2D5A024B"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c>
          <w:tcPr>
            <w:tcW w:w="1417" w:type="dxa"/>
            <w:tcBorders>
              <w:top w:val="nil"/>
              <w:left w:val="nil"/>
              <w:bottom w:val="single" w:sz="4" w:space="0" w:color="auto"/>
              <w:right w:val="nil"/>
            </w:tcBorders>
            <w:shd w:val="clear" w:color="auto" w:fill="auto"/>
            <w:vAlign w:val="center"/>
            <w:hideMark/>
          </w:tcPr>
          <w:p w14:paraId="7116D341"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3B366EB"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647FF40D"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r>
      <w:tr w:rsidR="0060234A" w:rsidRPr="0060234A" w14:paraId="6A7B9047" w14:textId="77777777" w:rsidTr="0060234A">
        <w:trPr>
          <w:trHeight w:val="48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0E53AB41"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0241</w:t>
            </w:r>
          </w:p>
        </w:tc>
        <w:tc>
          <w:tcPr>
            <w:tcW w:w="3817" w:type="dxa"/>
            <w:tcBorders>
              <w:top w:val="nil"/>
              <w:left w:val="nil"/>
              <w:bottom w:val="single" w:sz="4" w:space="0" w:color="auto"/>
              <w:right w:val="single" w:sz="4" w:space="0" w:color="auto"/>
            </w:tcBorders>
            <w:shd w:val="clear" w:color="auto" w:fill="auto"/>
            <w:vAlign w:val="center"/>
            <w:hideMark/>
          </w:tcPr>
          <w:p w14:paraId="3ADD92DD"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а) </w:t>
            </w:r>
            <w:proofErr w:type="spellStart"/>
            <w:r w:rsidRPr="0060234A">
              <w:rPr>
                <w:rFonts w:ascii="Calibri" w:hAnsi="Calibri" w:cs="Calibri"/>
                <w:color w:val="000000"/>
                <w:sz w:val="18"/>
                <w:szCs w:val="18"/>
                <w:lang w:val="sr-Latn-RS" w:eastAsia="sr-Latn-RS"/>
              </w:rPr>
              <w:t>Ситан</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инвентар</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ауто-гуме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одјећа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обућа</w:t>
            </w:r>
            <w:proofErr w:type="spellEnd"/>
            <w:r w:rsidRPr="0060234A">
              <w:rPr>
                <w:rFonts w:ascii="Calibri" w:hAnsi="Calibri" w:cs="Calibri"/>
                <w:color w:val="000000"/>
                <w:sz w:val="18"/>
                <w:szCs w:val="18"/>
                <w:lang w:val="sr-Latn-RS" w:eastAsia="sr-Latn-RS"/>
              </w:rPr>
              <w:t xml:space="preserve"> и </w:t>
            </w:r>
            <w:proofErr w:type="spellStart"/>
            <w:r w:rsidRPr="0060234A">
              <w:rPr>
                <w:rFonts w:ascii="Calibri" w:hAnsi="Calibri" w:cs="Calibri"/>
                <w:color w:val="000000"/>
                <w:sz w:val="18"/>
                <w:szCs w:val="18"/>
                <w:lang w:val="sr-Latn-RS" w:eastAsia="sr-Latn-RS"/>
              </w:rPr>
              <w:t>слично</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6157EF3E"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043</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0581F7E4"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nil"/>
              <w:left w:val="nil"/>
              <w:bottom w:val="single" w:sz="4" w:space="0" w:color="auto"/>
              <w:right w:val="nil"/>
            </w:tcBorders>
            <w:shd w:val="clear" w:color="auto" w:fill="auto"/>
            <w:vAlign w:val="center"/>
            <w:hideMark/>
          </w:tcPr>
          <w:p w14:paraId="660F9B8D"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FCF5320"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4FB4E9D6"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16D10F0E" w14:textId="77777777" w:rsidTr="0060234A">
        <w:trPr>
          <w:trHeight w:val="315"/>
        </w:trPr>
        <w:tc>
          <w:tcPr>
            <w:tcW w:w="862" w:type="dxa"/>
            <w:tcBorders>
              <w:top w:val="nil"/>
              <w:left w:val="single" w:sz="4" w:space="0" w:color="auto"/>
              <w:bottom w:val="single" w:sz="4" w:space="0" w:color="auto"/>
              <w:right w:val="single" w:sz="4" w:space="0" w:color="auto"/>
            </w:tcBorders>
            <w:shd w:val="clear" w:color="000000" w:fill="F2F2F2"/>
            <w:vAlign w:val="center"/>
            <w:hideMark/>
          </w:tcPr>
          <w:p w14:paraId="215AF652"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w:t>
            </w:r>
          </w:p>
        </w:tc>
        <w:tc>
          <w:tcPr>
            <w:tcW w:w="3817" w:type="dxa"/>
            <w:tcBorders>
              <w:top w:val="nil"/>
              <w:left w:val="nil"/>
              <w:bottom w:val="single" w:sz="4" w:space="0" w:color="auto"/>
              <w:right w:val="single" w:sz="4" w:space="0" w:color="auto"/>
            </w:tcBorders>
            <w:shd w:val="clear" w:color="000000" w:fill="F2F2F2"/>
            <w:vAlign w:val="center"/>
            <w:hideMark/>
          </w:tcPr>
          <w:p w14:paraId="39A86B4D"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xml:space="preserve">Б.   С Т А Л Н А   И М О В И Н А   (045 + 062)  </w:t>
            </w:r>
          </w:p>
        </w:tc>
        <w:tc>
          <w:tcPr>
            <w:tcW w:w="919" w:type="dxa"/>
            <w:tcBorders>
              <w:top w:val="nil"/>
              <w:left w:val="nil"/>
              <w:bottom w:val="single" w:sz="4" w:space="0" w:color="auto"/>
              <w:right w:val="single" w:sz="4" w:space="0" w:color="auto"/>
            </w:tcBorders>
            <w:shd w:val="clear" w:color="000000" w:fill="F2F2F2"/>
            <w:vAlign w:val="center"/>
            <w:hideMark/>
          </w:tcPr>
          <w:p w14:paraId="0D2935B4"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044</w:t>
            </w:r>
          </w:p>
        </w:tc>
        <w:tc>
          <w:tcPr>
            <w:tcW w:w="1325" w:type="dxa"/>
            <w:tcBorders>
              <w:top w:val="single" w:sz="4" w:space="0" w:color="auto"/>
              <w:left w:val="nil"/>
              <w:bottom w:val="single" w:sz="4" w:space="0" w:color="auto"/>
              <w:right w:val="single" w:sz="4" w:space="0" w:color="000000"/>
            </w:tcBorders>
            <w:shd w:val="clear" w:color="000000" w:fill="F2F2F2"/>
            <w:vAlign w:val="center"/>
            <w:hideMark/>
          </w:tcPr>
          <w:p w14:paraId="00FDEDDF"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136.711.976</w:t>
            </w:r>
          </w:p>
        </w:tc>
        <w:tc>
          <w:tcPr>
            <w:tcW w:w="1417" w:type="dxa"/>
            <w:tcBorders>
              <w:top w:val="nil"/>
              <w:left w:val="nil"/>
              <w:bottom w:val="single" w:sz="4" w:space="0" w:color="auto"/>
              <w:right w:val="nil"/>
            </w:tcBorders>
            <w:shd w:val="clear" w:color="000000" w:fill="F2F2F2"/>
            <w:vAlign w:val="center"/>
            <w:hideMark/>
          </w:tcPr>
          <w:p w14:paraId="289B2F52"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37.273.889</w:t>
            </w:r>
          </w:p>
        </w:tc>
        <w:tc>
          <w:tcPr>
            <w:tcW w:w="1417" w:type="dxa"/>
            <w:tcBorders>
              <w:top w:val="single" w:sz="4" w:space="0" w:color="auto"/>
              <w:left w:val="single" w:sz="4" w:space="0" w:color="auto"/>
              <w:bottom w:val="single" w:sz="4" w:space="0" w:color="auto"/>
              <w:right w:val="single" w:sz="4" w:space="0" w:color="000000"/>
            </w:tcBorders>
            <w:shd w:val="clear" w:color="000000" w:fill="F2F2F2"/>
            <w:vAlign w:val="center"/>
            <w:hideMark/>
          </w:tcPr>
          <w:p w14:paraId="6473362E"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99.438.087</w:t>
            </w:r>
          </w:p>
        </w:tc>
        <w:tc>
          <w:tcPr>
            <w:tcW w:w="1276" w:type="dxa"/>
            <w:tcBorders>
              <w:top w:val="single" w:sz="4" w:space="0" w:color="auto"/>
              <w:left w:val="nil"/>
              <w:bottom w:val="single" w:sz="4" w:space="0" w:color="auto"/>
              <w:right w:val="single" w:sz="4" w:space="0" w:color="000000"/>
            </w:tcBorders>
            <w:shd w:val="clear" w:color="000000" w:fill="F2F2F2"/>
            <w:vAlign w:val="center"/>
            <w:hideMark/>
          </w:tcPr>
          <w:p w14:paraId="32F25C70"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95.911.152</w:t>
            </w:r>
          </w:p>
        </w:tc>
      </w:tr>
      <w:tr w:rsidR="0060234A" w:rsidRPr="0060234A" w14:paraId="42D8B851" w14:textId="77777777" w:rsidTr="0060234A">
        <w:trPr>
          <w:trHeight w:val="48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6D3B41CF"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11</w:t>
            </w:r>
          </w:p>
        </w:tc>
        <w:tc>
          <w:tcPr>
            <w:tcW w:w="3817" w:type="dxa"/>
            <w:tcBorders>
              <w:top w:val="nil"/>
              <w:left w:val="nil"/>
              <w:bottom w:val="single" w:sz="4" w:space="0" w:color="auto"/>
              <w:right w:val="single" w:sz="4" w:space="0" w:color="auto"/>
            </w:tcBorders>
            <w:shd w:val="clear" w:color="auto" w:fill="auto"/>
            <w:vAlign w:val="center"/>
            <w:hideMark/>
          </w:tcPr>
          <w:p w14:paraId="1558851C"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I ДУГОРОЧНА ФИНАНСИЈСКА ИМОВИНА И РАЗГРАНИЧЕЊА (046 + 052 + 055 + 057 + 059)</w:t>
            </w:r>
          </w:p>
        </w:tc>
        <w:tc>
          <w:tcPr>
            <w:tcW w:w="919" w:type="dxa"/>
            <w:tcBorders>
              <w:top w:val="nil"/>
              <w:left w:val="nil"/>
              <w:bottom w:val="single" w:sz="4" w:space="0" w:color="auto"/>
              <w:right w:val="single" w:sz="4" w:space="0" w:color="auto"/>
            </w:tcBorders>
            <w:shd w:val="clear" w:color="auto" w:fill="auto"/>
            <w:vAlign w:val="center"/>
            <w:hideMark/>
          </w:tcPr>
          <w:p w14:paraId="7FF72DA7"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045</w:t>
            </w:r>
          </w:p>
        </w:tc>
        <w:tc>
          <w:tcPr>
            <w:tcW w:w="1325" w:type="dxa"/>
            <w:tcBorders>
              <w:top w:val="single" w:sz="4" w:space="0" w:color="auto"/>
              <w:left w:val="nil"/>
              <w:bottom w:val="single" w:sz="4" w:space="0" w:color="auto"/>
              <w:right w:val="single" w:sz="4" w:space="0" w:color="000000"/>
            </w:tcBorders>
            <w:shd w:val="clear" w:color="000000" w:fill="FFFFFF"/>
            <w:vAlign w:val="center"/>
            <w:hideMark/>
          </w:tcPr>
          <w:p w14:paraId="489F5F7F"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5.440.368</w:t>
            </w:r>
          </w:p>
        </w:tc>
        <w:tc>
          <w:tcPr>
            <w:tcW w:w="1417" w:type="dxa"/>
            <w:tcBorders>
              <w:top w:val="nil"/>
              <w:left w:val="nil"/>
              <w:bottom w:val="single" w:sz="4" w:space="0" w:color="auto"/>
              <w:right w:val="nil"/>
            </w:tcBorders>
            <w:shd w:val="clear" w:color="000000" w:fill="FFFFFF"/>
            <w:vAlign w:val="center"/>
            <w:hideMark/>
          </w:tcPr>
          <w:p w14:paraId="251F607B"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3FC52441"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5.440.368</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090C95BA"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2.505.384</w:t>
            </w:r>
          </w:p>
        </w:tc>
      </w:tr>
      <w:tr w:rsidR="0060234A" w:rsidRPr="0060234A" w14:paraId="4FBD01B0" w14:textId="77777777" w:rsidTr="0060234A">
        <w:trPr>
          <w:trHeight w:val="31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0F23DAAA"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111</w:t>
            </w:r>
          </w:p>
        </w:tc>
        <w:tc>
          <w:tcPr>
            <w:tcW w:w="3817" w:type="dxa"/>
            <w:tcBorders>
              <w:top w:val="nil"/>
              <w:left w:val="nil"/>
              <w:bottom w:val="single" w:sz="4" w:space="0" w:color="auto"/>
              <w:right w:val="single" w:sz="4" w:space="0" w:color="auto"/>
            </w:tcBorders>
            <w:shd w:val="clear" w:color="auto" w:fill="auto"/>
            <w:vAlign w:val="center"/>
            <w:hideMark/>
          </w:tcPr>
          <w:p w14:paraId="6D885A10"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xml:space="preserve">1. </w:t>
            </w:r>
            <w:proofErr w:type="spellStart"/>
            <w:r w:rsidRPr="0060234A">
              <w:rPr>
                <w:rFonts w:ascii="Calibri" w:hAnsi="Calibri" w:cs="Calibri"/>
                <w:b/>
                <w:bCs/>
                <w:color w:val="000000"/>
                <w:sz w:val="18"/>
                <w:szCs w:val="18"/>
                <w:lang w:val="sr-Latn-RS" w:eastAsia="sr-Latn-RS"/>
              </w:rPr>
              <w:t>Дугорочни</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пласмани</w:t>
            </w:r>
            <w:proofErr w:type="spellEnd"/>
            <w:r w:rsidRPr="0060234A">
              <w:rPr>
                <w:rFonts w:ascii="Calibri" w:hAnsi="Calibri" w:cs="Calibri"/>
                <w:b/>
                <w:bCs/>
                <w:color w:val="000000"/>
                <w:sz w:val="18"/>
                <w:szCs w:val="18"/>
                <w:lang w:val="sr-Latn-RS" w:eastAsia="sr-Latn-RS"/>
              </w:rPr>
              <w:t xml:space="preserve"> (047 </w:t>
            </w:r>
            <w:proofErr w:type="spellStart"/>
            <w:r w:rsidRPr="0060234A">
              <w:rPr>
                <w:rFonts w:ascii="Calibri" w:hAnsi="Calibri" w:cs="Calibri"/>
                <w:b/>
                <w:bCs/>
                <w:color w:val="000000"/>
                <w:sz w:val="18"/>
                <w:szCs w:val="18"/>
                <w:lang w:val="sr-Latn-RS" w:eastAsia="sr-Latn-RS"/>
              </w:rPr>
              <w:t>до</w:t>
            </w:r>
            <w:proofErr w:type="spellEnd"/>
            <w:r w:rsidRPr="0060234A">
              <w:rPr>
                <w:rFonts w:ascii="Calibri" w:hAnsi="Calibri" w:cs="Calibri"/>
                <w:b/>
                <w:bCs/>
                <w:color w:val="000000"/>
                <w:sz w:val="18"/>
                <w:szCs w:val="18"/>
                <w:lang w:val="sr-Latn-RS" w:eastAsia="sr-Latn-RS"/>
              </w:rPr>
              <w:t xml:space="preserve"> 051)</w:t>
            </w:r>
          </w:p>
        </w:tc>
        <w:tc>
          <w:tcPr>
            <w:tcW w:w="919" w:type="dxa"/>
            <w:tcBorders>
              <w:top w:val="nil"/>
              <w:left w:val="nil"/>
              <w:bottom w:val="single" w:sz="4" w:space="0" w:color="auto"/>
              <w:right w:val="single" w:sz="4" w:space="0" w:color="auto"/>
            </w:tcBorders>
            <w:shd w:val="clear" w:color="auto" w:fill="auto"/>
            <w:vAlign w:val="center"/>
            <w:hideMark/>
          </w:tcPr>
          <w:p w14:paraId="22F3FB65"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046</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0500149B"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5.421.752</w:t>
            </w:r>
          </w:p>
        </w:tc>
        <w:tc>
          <w:tcPr>
            <w:tcW w:w="1417" w:type="dxa"/>
            <w:tcBorders>
              <w:top w:val="nil"/>
              <w:left w:val="nil"/>
              <w:bottom w:val="single" w:sz="4" w:space="0" w:color="auto"/>
              <w:right w:val="nil"/>
            </w:tcBorders>
            <w:shd w:val="clear" w:color="auto" w:fill="auto"/>
            <w:vAlign w:val="center"/>
            <w:hideMark/>
          </w:tcPr>
          <w:p w14:paraId="6F2339A6"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567901D"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5.421.752</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61107748"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2.469.190</w:t>
            </w:r>
          </w:p>
        </w:tc>
      </w:tr>
      <w:tr w:rsidR="0060234A" w:rsidRPr="0060234A" w14:paraId="55EB3114" w14:textId="77777777" w:rsidTr="0060234A">
        <w:trPr>
          <w:trHeight w:val="49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20F6926F"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1111</w:t>
            </w:r>
          </w:p>
        </w:tc>
        <w:tc>
          <w:tcPr>
            <w:tcW w:w="3817" w:type="dxa"/>
            <w:tcBorders>
              <w:top w:val="nil"/>
              <w:left w:val="nil"/>
              <w:bottom w:val="single" w:sz="4" w:space="0" w:color="auto"/>
              <w:right w:val="single" w:sz="4" w:space="0" w:color="auto"/>
            </w:tcBorders>
            <w:shd w:val="clear" w:color="auto" w:fill="auto"/>
            <w:vAlign w:val="center"/>
            <w:hideMark/>
          </w:tcPr>
          <w:p w14:paraId="2E5C6978"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а) </w:t>
            </w:r>
            <w:proofErr w:type="spellStart"/>
            <w:r w:rsidRPr="0060234A">
              <w:rPr>
                <w:rFonts w:ascii="Calibri" w:hAnsi="Calibri" w:cs="Calibri"/>
                <w:color w:val="000000"/>
                <w:sz w:val="18"/>
                <w:szCs w:val="18"/>
                <w:lang w:val="sr-Latn-RS" w:eastAsia="sr-Latn-RS"/>
              </w:rPr>
              <w:t>Орочена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новчана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средства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преко</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годину</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дана</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2A46DC77"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047</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7B8479B9"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nil"/>
              <w:left w:val="nil"/>
              <w:bottom w:val="single" w:sz="4" w:space="0" w:color="auto"/>
              <w:right w:val="nil"/>
            </w:tcBorders>
            <w:shd w:val="clear" w:color="auto" w:fill="auto"/>
            <w:vAlign w:val="center"/>
            <w:hideMark/>
          </w:tcPr>
          <w:p w14:paraId="243EACC3"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37686BD"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451BC897"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3FC01F8E" w14:textId="77777777" w:rsidTr="0060234A">
        <w:trPr>
          <w:trHeight w:val="48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3AC6BF82"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1112</w:t>
            </w:r>
          </w:p>
        </w:tc>
        <w:tc>
          <w:tcPr>
            <w:tcW w:w="3817" w:type="dxa"/>
            <w:tcBorders>
              <w:top w:val="nil"/>
              <w:left w:val="nil"/>
              <w:bottom w:val="single" w:sz="4" w:space="0" w:color="auto"/>
              <w:right w:val="single" w:sz="4" w:space="0" w:color="auto"/>
            </w:tcBorders>
            <w:shd w:val="clear" w:color="auto" w:fill="auto"/>
            <w:vAlign w:val="center"/>
            <w:hideMark/>
          </w:tcPr>
          <w:p w14:paraId="75AD9FA3"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б) </w:t>
            </w:r>
            <w:proofErr w:type="spellStart"/>
            <w:r w:rsidRPr="0060234A">
              <w:rPr>
                <w:rFonts w:ascii="Calibri" w:hAnsi="Calibri" w:cs="Calibri"/>
                <w:color w:val="000000"/>
                <w:sz w:val="18"/>
                <w:szCs w:val="18"/>
                <w:lang w:val="sr-Latn-RS" w:eastAsia="sr-Latn-RS"/>
              </w:rPr>
              <w:t>Дугорочне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хартије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од</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вриједности</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осим</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акција</w:t>
            </w:r>
            <w:proofErr w:type="spellEnd"/>
            <w:r w:rsidRPr="0060234A">
              <w:rPr>
                <w:rFonts w:ascii="Calibri" w:hAnsi="Calibri" w:cs="Calibri"/>
                <w:color w:val="000000"/>
                <w:sz w:val="18"/>
                <w:szCs w:val="18"/>
                <w:lang w:val="sr-Latn-RS" w:eastAsia="sr-Latn-RS"/>
              </w:rPr>
              <w:t>)</w:t>
            </w:r>
          </w:p>
        </w:tc>
        <w:tc>
          <w:tcPr>
            <w:tcW w:w="919" w:type="dxa"/>
            <w:tcBorders>
              <w:top w:val="nil"/>
              <w:left w:val="nil"/>
              <w:bottom w:val="single" w:sz="4" w:space="0" w:color="auto"/>
              <w:right w:val="single" w:sz="4" w:space="0" w:color="auto"/>
            </w:tcBorders>
            <w:shd w:val="clear" w:color="auto" w:fill="auto"/>
            <w:vAlign w:val="center"/>
            <w:hideMark/>
          </w:tcPr>
          <w:p w14:paraId="20D22003"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048</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3822C6DE"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nil"/>
              <w:left w:val="nil"/>
              <w:bottom w:val="single" w:sz="4" w:space="0" w:color="auto"/>
              <w:right w:val="nil"/>
            </w:tcBorders>
            <w:shd w:val="clear" w:color="auto" w:fill="auto"/>
            <w:vAlign w:val="center"/>
            <w:hideMark/>
          </w:tcPr>
          <w:p w14:paraId="2933F9D5"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A042949"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1CB0A53F"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398DC06B"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488750DE"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1113</w:t>
            </w:r>
          </w:p>
        </w:tc>
        <w:tc>
          <w:tcPr>
            <w:tcW w:w="3817" w:type="dxa"/>
            <w:tcBorders>
              <w:top w:val="nil"/>
              <w:left w:val="nil"/>
              <w:bottom w:val="single" w:sz="4" w:space="0" w:color="auto"/>
              <w:right w:val="single" w:sz="4" w:space="0" w:color="auto"/>
            </w:tcBorders>
            <w:shd w:val="clear" w:color="auto" w:fill="auto"/>
            <w:vAlign w:val="center"/>
            <w:hideMark/>
          </w:tcPr>
          <w:p w14:paraId="0A363D07"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в) </w:t>
            </w:r>
            <w:proofErr w:type="spellStart"/>
            <w:r w:rsidRPr="0060234A">
              <w:rPr>
                <w:rFonts w:ascii="Calibri" w:hAnsi="Calibri" w:cs="Calibri"/>
                <w:color w:val="000000"/>
                <w:sz w:val="18"/>
                <w:szCs w:val="18"/>
                <w:lang w:val="sr-Latn-RS" w:eastAsia="sr-Latn-RS"/>
              </w:rPr>
              <w:t>Акције</w:t>
            </w:r>
            <w:proofErr w:type="spellEnd"/>
            <w:r w:rsidRPr="0060234A">
              <w:rPr>
                <w:rFonts w:ascii="Calibri" w:hAnsi="Calibri" w:cs="Calibri"/>
                <w:color w:val="000000"/>
                <w:sz w:val="18"/>
                <w:szCs w:val="18"/>
                <w:lang w:val="sr-Latn-RS" w:eastAsia="sr-Latn-RS"/>
              </w:rPr>
              <w:t xml:space="preserve"> и </w:t>
            </w:r>
            <w:proofErr w:type="spellStart"/>
            <w:r w:rsidRPr="0060234A">
              <w:rPr>
                <w:rFonts w:ascii="Calibri" w:hAnsi="Calibri" w:cs="Calibri"/>
                <w:color w:val="000000"/>
                <w:sz w:val="18"/>
                <w:szCs w:val="18"/>
                <w:lang w:val="sr-Latn-RS" w:eastAsia="sr-Latn-RS"/>
              </w:rPr>
              <w:t>учешћа</w:t>
            </w:r>
            <w:proofErr w:type="spellEnd"/>
            <w:r w:rsidRPr="0060234A">
              <w:rPr>
                <w:rFonts w:ascii="Calibri" w:hAnsi="Calibri" w:cs="Calibri"/>
                <w:color w:val="000000"/>
                <w:sz w:val="18"/>
                <w:szCs w:val="18"/>
                <w:lang w:val="sr-Latn-RS" w:eastAsia="sr-Latn-RS"/>
              </w:rPr>
              <w:t xml:space="preserve"> у </w:t>
            </w:r>
            <w:proofErr w:type="spellStart"/>
            <w:r w:rsidRPr="0060234A">
              <w:rPr>
                <w:rFonts w:ascii="Calibri" w:hAnsi="Calibri" w:cs="Calibri"/>
                <w:color w:val="000000"/>
                <w:sz w:val="18"/>
                <w:szCs w:val="18"/>
                <w:lang w:val="sr-Latn-RS" w:eastAsia="sr-Latn-RS"/>
              </w:rPr>
              <w:t>капиталу</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5DCFE9FE"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049</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0C5094CF"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5.421.752</w:t>
            </w:r>
          </w:p>
        </w:tc>
        <w:tc>
          <w:tcPr>
            <w:tcW w:w="1417" w:type="dxa"/>
            <w:tcBorders>
              <w:top w:val="nil"/>
              <w:left w:val="nil"/>
              <w:bottom w:val="single" w:sz="4" w:space="0" w:color="auto"/>
              <w:right w:val="nil"/>
            </w:tcBorders>
            <w:shd w:val="clear" w:color="auto" w:fill="auto"/>
            <w:vAlign w:val="center"/>
            <w:hideMark/>
          </w:tcPr>
          <w:p w14:paraId="0A699362"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F47C356"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5.421.752</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4F1D7E94"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2.469.190</w:t>
            </w:r>
          </w:p>
        </w:tc>
      </w:tr>
      <w:tr w:rsidR="0060234A" w:rsidRPr="0060234A" w14:paraId="45B8DE7D"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0E1B9BBF"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1114</w:t>
            </w:r>
          </w:p>
        </w:tc>
        <w:tc>
          <w:tcPr>
            <w:tcW w:w="3817" w:type="dxa"/>
            <w:tcBorders>
              <w:top w:val="nil"/>
              <w:left w:val="nil"/>
              <w:bottom w:val="single" w:sz="4" w:space="0" w:color="auto"/>
              <w:right w:val="single" w:sz="4" w:space="0" w:color="auto"/>
            </w:tcBorders>
            <w:shd w:val="clear" w:color="auto" w:fill="auto"/>
            <w:vAlign w:val="center"/>
            <w:hideMark/>
          </w:tcPr>
          <w:p w14:paraId="54329DD1"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г) </w:t>
            </w:r>
            <w:proofErr w:type="spellStart"/>
            <w:r w:rsidRPr="0060234A">
              <w:rPr>
                <w:rFonts w:ascii="Calibri" w:hAnsi="Calibri" w:cs="Calibri"/>
                <w:color w:val="000000"/>
                <w:sz w:val="18"/>
                <w:szCs w:val="18"/>
                <w:lang w:val="sr-Latn-RS" w:eastAsia="sr-Latn-RS"/>
              </w:rPr>
              <w:t>Дугорочни</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финансијски</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деривати</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34DD33F1"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050</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251E764D"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nil"/>
              <w:left w:val="nil"/>
              <w:bottom w:val="single" w:sz="4" w:space="0" w:color="auto"/>
              <w:right w:val="nil"/>
            </w:tcBorders>
            <w:shd w:val="clear" w:color="auto" w:fill="auto"/>
            <w:vAlign w:val="center"/>
            <w:hideMark/>
          </w:tcPr>
          <w:p w14:paraId="1CAD21F8"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8FCF133"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5ABDFDA7"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23148694"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603C2DAF"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1115</w:t>
            </w:r>
          </w:p>
        </w:tc>
        <w:tc>
          <w:tcPr>
            <w:tcW w:w="3817" w:type="dxa"/>
            <w:tcBorders>
              <w:top w:val="nil"/>
              <w:left w:val="nil"/>
              <w:bottom w:val="single" w:sz="4" w:space="0" w:color="auto"/>
              <w:right w:val="single" w:sz="4" w:space="0" w:color="auto"/>
            </w:tcBorders>
            <w:shd w:val="clear" w:color="auto" w:fill="auto"/>
            <w:vAlign w:val="center"/>
            <w:hideMark/>
          </w:tcPr>
          <w:p w14:paraId="7FB18F54"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д) </w:t>
            </w:r>
            <w:proofErr w:type="spellStart"/>
            <w:r w:rsidRPr="0060234A">
              <w:rPr>
                <w:rFonts w:ascii="Calibri" w:hAnsi="Calibri" w:cs="Calibri"/>
                <w:color w:val="000000"/>
                <w:sz w:val="18"/>
                <w:szCs w:val="18"/>
                <w:lang w:val="sr-Latn-RS" w:eastAsia="sr-Latn-RS"/>
              </w:rPr>
              <w:t>Дугорочни</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зајмови</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59D473EA"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051</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466FAF26"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nil"/>
              <w:left w:val="nil"/>
              <w:bottom w:val="single" w:sz="4" w:space="0" w:color="auto"/>
              <w:right w:val="nil"/>
            </w:tcBorders>
            <w:shd w:val="clear" w:color="auto" w:fill="auto"/>
            <w:vAlign w:val="center"/>
            <w:hideMark/>
          </w:tcPr>
          <w:p w14:paraId="459F2829"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5D48131"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446CF58A"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0B7B477F"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657B8E44"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112</w:t>
            </w:r>
          </w:p>
        </w:tc>
        <w:tc>
          <w:tcPr>
            <w:tcW w:w="3817" w:type="dxa"/>
            <w:tcBorders>
              <w:top w:val="nil"/>
              <w:left w:val="nil"/>
              <w:bottom w:val="single" w:sz="4" w:space="0" w:color="auto"/>
              <w:right w:val="single" w:sz="4" w:space="0" w:color="auto"/>
            </w:tcBorders>
            <w:shd w:val="clear" w:color="auto" w:fill="auto"/>
            <w:vAlign w:val="center"/>
            <w:hideMark/>
          </w:tcPr>
          <w:p w14:paraId="500DB0E0"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xml:space="preserve">2. </w:t>
            </w:r>
            <w:proofErr w:type="spellStart"/>
            <w:r w:rsidRPr="0060234A">
              <w:rPr>
                <w:rFonts w:ascii="Calibri" w:hAnsi="Calibri" w:cs="Calibri"/>
                <w:b/>
                <w:bCs/>
                <w:color w:val="000000"/>
                <w:sz w:val="18"/>
                <w:szCs w:val="18"/>
                <w:lang w:val="sr-Latn-RS" w:eastAsia="sr-Latn-RS"/>
              </w:rPr>
              <w:t>Дугорочна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потраживања</w:t>
            </w:r>
            <w:proofErr w:type="spellEnd"/>
            <w:r w:rsidRPr="0060234A">
              <w:rPr>
                <w:rFonts w:ascii="Calibri" w:hAnsi="Calibri" w:cs="Calibri"/>
                <w:b/>
                <w:bCs/>
                <w:color w:val="000000"/>
                <w:sz w:val="18"/>
                <w:szCs w:val="18"/>
                <w:lang w:val="sr-Latn-RS" w:eastAsia="sr-Latn-RS"/>
              </w:rPr>
              <w:t xml:space="preserve"> (053 + 054)</w:t>
            </w:r>
          </w:p>
        </w:tc>
        <w:tc>
          <w:tcPr>
            <w:tcW w:w="919" w:type="dxa"/>
            <w:tcBorders>
              <w:top w:val="nil"/>
              <w:left w:val="nil"/>
              <w:bottom w:val="single" w:sz="4" w:space="0" w:color="auto"/>
              <w:right w:val="single" w:sz="4" w:space="0" w:color="auto"/>
            </w:tcBorders>
            <w:shd w:val="clear" w:color="auto" w:fill="auto"/>
            <w:vAlign w:val="center"/>
            <w:hideMark/>
          </w:tcPr>
          <w:p w14:paraId="384769FA"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052</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26B9652D"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18.070</w:t>
            </w:r>
          </w:p>
        </w:tc>
        <w:tc>
          <w:tcPr>
            <w:tcW w:w="1417" w:type="dxa"/>
            <w:tcBorders>
              <w:top w:val="nil"/>
              <w:left w:val="nil"/>
              <w:bottom w:val="single" w:sz="4" w:space="0" w:color="auto"/>
              <w:right w:val="nil"/>
            </w:tcBorders>
            <w:shd w:val="clear" w:color="auto" w:fill="auto"/>
            <w:vAlign w:val="center"/>
            <w:hideMark/>
          </w:tcPr>
          <w:p w14:paraId="316B4285"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AE3B39E"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18.070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0C6EA34C"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35.466</w:t>
            </w:r>
          </w:p>
        </w:tc>
      </w:tr>
      <w:tr w:rsidR="0060234A" w:rsidRPr="0060234A" w14:paraId="2030720E" w14:textId="77777777" w:rsidTr="0060234A">
        <w:trPr>
          <w:trHeight w:val="72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13727F0C"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1121</w:t>
            </w:r>
          </w:p>
        </w:tc>
        <w:tc>
          <w:tcPr>
            <w:tcW w:w="3817" w:type="dxa"/>
            <w:tcBorders>
              <w:top w:val="nil"/>
              <w:left w:val="nil"/>
              <w:bottom w:val="single" w:sz="4" w:space="0" w:color="auto"/>
              <w:right w:val="single" w:sz="4" w:space="0" w:color="auto"/>
            </w:tcBorders>
            <w:shd w:val="clear" w:color="auto" w:fill="auto"/>
            <w:vAlign w:val="center"/>
            <w:hideMark/>
          </w:tcPr>
          <w:p w14:paraId="2A80B3C5"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а) </w:t>
            </w:r>
            <w:proofErr w:type="spellStart"/>
            <w:r w:rsidRPr="0060234A">
              <w:rPr>
                <w:rFonts w:ascii="Calibri" w:hAnsi="Calibri" w:cs="Calibri"/>
                <w:color w:val="000000"/>
                <w:sz w:val="18"/>
                <w:szCs w:val="18"/>
                <w:lang w:val="sr-Latn-RS" w:eastAsia="sr-Latn-RS"/>
              </w:rPr>
              <w:t>Потраживања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за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порезе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доприносе</w:t>
            </w:r>
            <w:proofErr w:type="spellEnd"/>
            <w:r w:rsidRPr="0060234A">
              <w:rPr>
                <w:rFonts w:ascii="Calibri" w:hAnsi="Calibri" w:cs="Calibri"/>
                <w:color w:val="000000"/>
                <w:sz w:val="18"/>
                <w:szCs w:val="18"/>
                <w:lang w:val="sr-Latn-RS" w:eastAsia="sr-Latn-RS"/>
              </w:rPr>
              <w:t xml:space="preserve"> и </w:t>
            </w:r>
            <w:proofErr w:type="spellStart"/>
            <w:r w:rsidRPr="0060234A">
              <w:rPr>
                <w:rFonts w:ascii="Calibri" w:hAnsi="Calibri" w:cs="Calibri"/>
                <w:color w:val="000000"/>
                <w:sz w:val="18"/>
                <w:szCs w:val="18"/>
                <w:lang w:val="sr-Latn-RS" w:eastAsia="sr-Latn-RS"/>
              </w:rPr>
              <w:t>непореске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приходе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за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које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је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продужен</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рок</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плаћања</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267D6030"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053</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32DFE030"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18.070</w:t>
            </w:r>
          </w:p>
        </w:tc>
        <w:tc>
          <w:tcPr>
            <w:tcW w:w="1417" w:type="dxa"/>
            <w:tcBorders>
              <w:top w:val="nil"/>
              <w:left w:val="nil"/>
              <w:bottom w:val="single" w:sz="4" w:space="0" w:color="auto"/>
              <w:right w:val="nil"/>
            </w:tcBorders>
            <w:shd w:val="clear" w:color="auto" w:fill="auto"/>
            <w:vAlign w:val="center"/>
            <w:hideMark/>
          </w:tcPr>
          <w:p w14:paraId="51A8679B"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49B7ACD"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18.070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1BC2EDFB"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35.466</w:t>
            </w:r>
          </w:p>
        </w:tc>
      </w:tr>
      <w:tr w:rsidR="0060234A" w:rsidRPr="0060234A" w14:paraId="296F9BF9"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7D943B94"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1129</w:t>
            </w:r>
          </w:p>
        </w:tc>
        <w:tc>
          <w:tcPr>
            <w:tcW w:w="3817" w:type="dxa"/>
            <w:tcBorders>
              <w:top w:val="nil"/>
              <w:left w:val="nil"/>
              <w:bottom w:val="single" w:sz="4" w:space="0" w:color="auto"/>
              <w:right w:val="single" w:sz="4" w:space="0" w:color="auto"/>
            </w:tcBorders>
            <w:shd w:val="clear" w:color="auto" w:fill="auto"/>
            <w:vAlign w:val="center"/>
            <w:hideMark/>
          </w:tcPr>
          <w:p w14:paraId="3ABE9B52"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б) </w:t>
            </w:r>
            <w:proofErr w:type="spellStart"/>
            <w:r w:rsidRPr="0060234A">
              <w:rPr>
                <w:rFonts w:ascii="Calibri" w:hAnsi="Calibri" w:cs="Calibri"/>
                <w:color w:val="000000"/>
                <w:sz w:val="18"/>
                <w:szCs w:val="18"/>
                <w:lang w:val="sr-Latn-RS" w:eastAsia="sr-Latn-RS"/>
              </w:rPr>
              <w:t>Остала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дугорочна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потраживања</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3D596AB0"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054</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2A5EA9DF"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nil"/>
              <w:left w:val="nil"/>
              <w:bottom w:val="single" w:sz="4" w:space="0" w:color="auto"/>
              <w:right w:val="nil"/>
            </w:tcBorders>
            <w:shd w:val="clear" w:color="auto" w:fill="auto"/>
            <w:vAlign w:val="center"/>
            <w:hideMark/>
          </w:tcPr>
          <w:p w14:paraId="0CA791E1"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3940B41"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31807E07"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23EE375C"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39BF7999"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117</w:t>
            </w:r>
          </w:p>
        </w:tc>
        <w:tc>
          <w:tcPr>
            <w:tcW w:w="3817" w:type="dxa"/>
            <w:tcBorders>
              <w:top w:val="nil"/>
              <w:left w:val="nil"/>
              <w:bottom w:val="single" w:sz="4" w:space="0" w:color="auto"/>
              <w:right w:val="single" w:sz="4" w:space="0" w:color="auto"/>
            </w:tcBorders>
            <w:shd w:val="clear" w:color="auto" w:fill="auto"/>
            <w:vAlign w:val="center"/>
            <w:hideMark/>
          </w:tcPr>
          <w:p w14:paraId="01A8A9C5"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xml:space="preserve">3. </w:t>
            </w:r>
            <w:proofErr w:type="spellStart"/>
            <w:r w:rsidRPr="0060234A">
              <w:rPr>
                <w:rFonts w:ascii="Calibri" w:hAnsi="Calibri" w:cs="Calibri"/>
                <w:b/>
                <w:bCs/>
                <w:color w:val="000000"/>
                <w:sz w:val="18"/>
                <w:szCs w:val="18"/>
                <w:lang w:val="sr-Latn-RS" w:eastAsia="sr-Latn-RS"/>
              </w:rPr>
              <w:t>Дугорочна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разграничења</w:t>
            </w:r>
            <w:proofErr w:type="spellEnd"/>
            <w:r w:rsidRPr="0060234A">
              <w:rPr>
                <w:rFonts w:ascii="Calibri" w:hAnsi="Calibri" w:cs="Calibri"/>
                <w:b/>
                <w:bCs/>
                <w:color w:val="000000"/>
                <w:sz w:val="18"/>
                <w:szCs w:val="18"/>
                <w:lang w:val="sr-Latn-RS" w:eastAsia="sr-Latn-RS"/>
              </w:rPr>
              <w:t xml:space="preserve"> (056)</w:t>
            </w:r>
          </w:p>
        </w:tc>
        <w:tc>
          <w:tcPr>
            <w:tcW w:w="919" w:type="dxa"/>
            <w:tcBorders>
              <w:top w:val="nil"/>
              <w:left w:val="nil"/>
              <w:bottom w:val="single" w:sz="4" w:space="0" w:color="auto"/>
              <w:right w:val="single" w:sz="4" w:space="0" w:color="auto"/>
            </w:tcBorders>
            <w:shd w:val="clear" w:color="auto" w:fill="auto"/>
            <w:vAlign w:val="center"/>
            <w:hideMark/>
          </w:tcPr>
          <w:p w14:paraId="3E858D1C"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055</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24833AE6"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c>
          <w:tcPr>
            <w:tcW w:w="1417" w:type="dxa"/>
            <w:tcBorders>
              <w:top w:val="nil"/>
              <w:left w:val="nil"/>
              <w:bottom w:val="single" w:sz="4" w:space="0" w:color="auto"/>
              <w:right w:val="nil"/>
            </w:tcBorders>
            <w:shd w:val="clear" w:color="auto" w:fill="auto"/>
            <w:vAlign w:val="center"/>
            <w:hideMark/>
          </w:tcPr>
          <w:p w14:paraId="597752AF"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1ABE834"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4AF7EA8E"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r>
      <w:tr w:rsidR="0060234A" w:rsidRPr="0060234A" w14:paraId="41BAB939"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04CE7BDF"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1171</w:t>
            </w:r>
          </w:p>
        </w:tc>
        <w:tc>
          <w:tcPr>
            <w:tcW w:w="3817" w:type="dxa"/>
            <w:tcBorders>
              <w:top w:val="nil"/>
              <w:left w:val="nil"/>
              <w:bottom w:val="single" w:sz="4" w:space="0" w:color="auto"/>
              <w:right w:val="single" w:sz="4" w:space="0" w:color="auto"/>
            </w:tcBorders>
            <w:shd w:val="clear" w:color="auto" w:fill="auto"/>
            <w:vAlign w:val="center"/>
            <w:hideMark/>
          </w:tcPr>
          <w:p w14:paraId="0072DD60"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а) </w:t>
            </w:r>
            <w:proofErr w:type="spellStart"/>
            <w:r w:rsidRPr="0060234A">
              <w:rPr>
                <w:rFonts w:ascii="Calibri" w:hAnsi="Calibri" w:cs="Calibri"/>
                <w:color w:val="000000"/>
                <w:sz w:val="18"/>
                <w:szCs w:val="18"/>
                <w:lang w:val="sr-Latn-RS" w:eastAsia="sr-Latn-RS"/>
              </w:rPr>
              <w:t>Дугорочна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разграничења</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51A36AAA"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056</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053FDDD8"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nil"/>
              <w:left w:val="nil"/>
              <w:bottom w:val="single" w:sz="4" w:space="0" w:color="auto"/>
              <w:right w:val="nil"/>
            </w:tcBorders>
            <w:shd w:val="clear" w:color="auto" w:fill="auto"/>
            <w:vAlign w:val="center"/>
            <w:hideMark/>
          </w:tcPr>
          <w:p w14:paraId="7E2E5D7D"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3C58330"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5B46AF2A"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44F01B1D" w14:textId="77777777" w:rsidTr="0060234A">
        <w:trPr>
          <w:trHeight w:val="48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336086D1"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118</w:t>
            </w:r>
          </w:p>
        </w:tc>
        <w:tc>
          <w:tcPr>
            <w:tcW w:w="3817" w:type="dxa"/>
            <w:tcBorders>
              <w:top w:val="nil"/>
              <w:left w:val="nil"/>
              <w:bottom w:val="single" w:sz="4" w:space="0" w:color="auto"/>
              <w:right w:val="single" w:sz="4" w:space="0" w:color="auto"/>
            </w:tcBorders>
            <w:shd w:val="clear" w:color="auto" w:fill="auto"/>
            <w:vAlign w:val="center"/>
            <w:hideMark/>
          </w:tcPr>
          <w:p w14:paraId="1920C1DE"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xml:space="preserve">4. </w:t>
            </w:r>
            <w:proofErr w:type="spellStart"/>
            <w:r w:rsidRPr="0060234A">
              <w:rPr>
                <w:rFonts w:ascii="Calibri" w:hAnsi="Calibri" w:cs="Calibri"/>
                <w:b/>
                <w:bCs/>
                <w:color w:val="000000"/>
                <w:sz w:val="18"/>
                <w:szCs w:val="18"/>
                <w:lang w:val="sr-Latn-RS" w:eastAsia="sr-Latn-RS"/>
              </w:rPr>
              <w:t>Остала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дугорочна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финансијска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имовина</w:t>
            </w:r>
            <w:proofErr w:type="spellEnd"/>
            <w:r w:rsidRPr="0060234A">
              <w:rPr>
                <w:rFonts w:ascii="Calibri" w:hAnsi="Calibri" w:cs="Calibri"/>
                <w:b/>
                <w:bCs/>
                <w:color w:val="000000"/>
                <w:sz w:val="18"/>
                <w:szCs w:val="18"/>
                <w:lang w:val="sr-Latn-RS" w:eastAsia="sr-Latn-RS"/>
              </w:rPr>
              <w:t xml:space="preserve"> (058)</w:t>
            </w:r>
          </w:p>
        </w:tc>
        <w:tc>
          <w:tcPr>
            <w:tcW w:w="919" w:type="dxa"/>
            <w:tcBorders>
              <w:top w:val="nil"/>
              <w:left w:val="nil"/>
              <w:bottom w:val="single" w:sz="4" w:space="0" w:color="auto"/>
              <w:right w:val="single" w:sz="4" w:space="0" w:color="auto"/>
            </w:tcBorders>
            <w:shd w:val="clear" w:color="auto" w:fill="auto"/>
            <w:vAlign w:val="center"/>
            <w:hideMark/>
          </w:tcPr>
          <w:p w14:paraId="18BA0F22"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057</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34E348A5"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c>
          <w:tcPr>
            <w:tcW w:w="1417" w:type="dxa"/>
            <w:tcBorders>
              <w:top w:val="nil"/>
              <w:left w:val="nil"/>
              <w:bottom w:val="single" w:sz="4" w:space="0" w:color="auto"/>
              <w:right w:val="nil"/>
            </w:tcBorders>
            <w:shd w:val="clear" w:color="auto" w:fill="auto"/>
            <w:vAlign w:val="center"/>
            <w:hideMark/>
          </w:tcPr>
          <w:p w14:paraId="0E66ABC0"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3D79502"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507C204D"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r>
      <w:tr w:rsidR="0060234A" w:rsidRPr="0060234A" w14:paraId="685FD55C"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4A4D0C04"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1181</w:t>
            </w:r>
          </w:p>
        </w:tc>
        <w:tc>
          <w:tcPr>
            <w:tcW w:w="3817" w:type="dxa"/>
            <w:tcBorders>
              <w:top w:val="nil"/>
              <w:left w:val="nil"/>
              <w:bottom w:val="single" w:sz="4" w:space="0" w:color="auto"/>
              <w:right w:val="single" w:sz="4" w:space="0" w:color="auto"/>
            </w:tcBorders>
            <w:shd w:val="clear" w:color="auto" w:fill="auto"/>
            <w:vAlign w:val="center"/>
            <w:hideMark/>
          </w:tcPr>
          <w:p w14:paraId="08D2BF30"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а) </w:t>
            </w:r>
            <w:proofErr w:type="spellStart"/>
            <w:r w:rsidRPr="0060234A">
              <w:rPr>
                <w:rFonts w:ascii="Calibri" w:hAnsi="Calibri" w:cs="Calibri"/>
                <w:color w:val="000000"/>
                <w:sz w:val="18"/>
                <w:szCs w:val="18"/>
                <w:lang w:val="sr-Latn-RS" w:eastAsia="sr-Latn-RS"/>
              </w:rPr>
              <w:t>Остала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дугорочна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финансијска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имовина</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17FD3DBA"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058</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6935BF44"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nil"/>
              <w:left w:val="nil"/>
              <w:bottom w:val="single" w:sz="4" w:space="0" w:color="auto"/>
              <w:right w:val="nil"/>
            </w:tcBorders>
            <w:shd w:val="clear" w:color="auto" w:fill="auto"/>
            <w:vAlign w:val="center"/>
            <w:hideMark/>
          </w:tcPr>
          <w:p w14:paraId="4DF78478"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BA1D799"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7AD8C08D"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4E23565F" w14:textId="77777777" w:rsidTr="0060234A">
        <w:trPr>
          <w:trHeight w:val="72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3F89193E"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119</w:t>
            </w:r>
          </w:p>
        </w:tc>
        <w:tc>
          <w:tcPr>
            <w:tcW w:w="3817" w:type="dxa"/>
            <w:tcBorders>
              <w:top w:val="nil"/>
              <w:left w:val="nil"/>
              <w:bottom w:val="single" w:sz="4" w:space="0" w:color="auto"/>
              <w:right w:val="single" w:sz="4" w:space="0" w:color="auto"/>
            </w:tcBorders>
            <w:shd w:val="clear" w:color="auto" w:fill="auto"/>
            <w:vAlign w:val="center"/>
            <w:hideMark/>
          </w:tcPr>
          <w:p w14:paraId="099A2BCE"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xml:space="preserve">5. </w:t>
            </w:r>
            <w:proofErr w:type="spellStart"/>
            <w:r w:rsidRPr="0060234A">
              <w:rPr>
                <w:rFonts w:ascii="Calibri" w:hAnsi="Calibri" w:cs="Calibri"/>
                <w:b/>
                <w:bCs/>
                <w:color w:val="000000"/>
                <w:sz w:val="18"/>
                <w:szCs w:val="18"/>
                <w:lang w:val="sr-Latn-RS" w:eastAsia="sr-Latn-RS"/>
              </w:rPr>
              <w:t>Дугорочна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финансијска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имовина</w:t>
            </w:r>
            <w:proofErr w:type="spellEnd"/>
            <w:r w:rsidRPr="0060234A">
              <w:rPr>
                <w:rFonts w:ascii="Calibri" w:hAnsi="Calibri" w:cs="Calibri"/>
                <w:b/>
                <w:bCs/>
                <w:color w:val="000000"/>
                <w:sz w:val="18"/>
                <w:szCs w:val="18"/>
                <w:lang w:val="sr-Latn-RS" w:eastAsia="sr-Latn-RS"/>
              </w:rPr>
              <w:t xml:space="preserve"> и </w:t>
            </w:r>
            <w:proofErr w:type="spellStart"/>
            <w:r w:rsidRPr="0060234A">
              <w:rPr>
                <w:rFonts w:ascii="Calibri" w:hAnsi="Calibri" w:cs="Calibri"/>
                <w:b/>
                <w:bCs/>
                <w:color w:val="000000"/>
                <w:sz w:val="18"/>
                <w:szCs w:val="18"/>
                <w:lang w:val="sr-Latn-RS" w:eastAsia="sr-Latn-RS"/>
              </w:rPr>
              <w:t>разграничења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из</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трансакција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између</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или</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унутар</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јединица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власти</w:t>
            </w:r>
            <w:proofErr w:type="spellEnd"/>
            <w:r w:rsidRPr="0060234A">
              <w:rPr>
                <w:rFonts w:ascii="Calibri" w:hAnsi="Calibri" w:cs="Calibri"/>
                <w:b/>
                <w:bCs/>
                <w:color w:val="000000"/>
                <w:sz w:val="18"/>
                <w:szCs w:val="18"/>
                <w:lang w:val="sr-Latn-RS" w:eastAsia="sr-Latn-RS"/>
              </w:rPr>
              <w:t xml:space="preserve"> (060 + 061)</w:t>
            </w:r>
          </w:p>
        </w:tc>
        <w:tc>
          <w:tcPr>
            <w:tcW w:w="919" w:type="dxa"/>
            <w:tcBorders>
              <w:top w:val="nil"/>
              <w:left w:val="nil"/>
              <w:bottom w:val="single" w:sz="4" w:space="0" w:color="auto"/>
              <w:right w:val="single" w:sz="4" w:space="0" w:color="auto"/>
            </w:tcBorders>
            <w:shd w:val="clear" w:color="auto" w:fill="auto"/>
            <w:vAlign w:val="center"/>
            <w:hideMark/>
          </w:tcPr>
          <w:p w14:paraId="7A8F2DDD"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059</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61DF61AE"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546</w:t>
            </w:r>
          </w:p>
        </w:tc>
        <w:tc>
          <w:tcPr>
            <w:tcW w:w="1417" w:type="dxa"/>
            <w:tcBorders>
              <w:top w:val="nil"/>
              <w:left w:val="nil"/>
              <w:bottom w:val="single" w:sz="4" w:space="0" w:color="auto"/>
              <w:right w:val="nil"/>
            </w:tcBorders>
            <w:shd w:val="clear" w:color="auto" w:fill="auto"/>
            <w:vAlign w:val="center"/>
            <w:hideMark/>
          </w:tcPr>
          <w:p w14:paraId="51B34DB7"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6B948D5"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546</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6D2C0E09"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728</w:t>
            </w:r>
          </w:p>
        </w:tc>
      </w:tr>
      <w:tr w:rsidR="0060234A" w:rsidRPr="0060234A" w14:paraId="7EE800FD" w14:textId="77777777" w:rsidTr="0060234A">
        <w:trPr>
          <w:trHeight w:val="72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3CB551F4"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1191</w:t>
            </w:r>
          </w:p>
        </w:tc>
        <w:tc>
          <w:tcPr>
            <w:tcW w:w="3817" w:type="dxa"/>
            <w:tcBorders>
              <w:top w:val="nil"/>
              <w:left w:val="nil"/>
              <w:bottom w:val="single" w:sz="4" w:space="0" w:color="auto"/>
              <w:right w:val="single" w:sz="4" w:space="0" w:color="auto"/>
            </w:tcBorders>
            <w:shd w:val="clear" w:color="auto" w:fill="auto"/>
            <w:vAlign w:val="center"/>
            <w:hideMark/>
          </w:tcPr>
          <w:p w14:paraId="1315D682"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а) </w:t>
            </w:r>
            <w:proofErr w:type="spellStart"/>
            <w:r w:rsidRPr="0060234A">
              <w:rPr>
                <w:rFonts w:ascii="Calibri" w:hAnsi="Calibri" w:cs="Calibri"/>
                <w:color w:val="000000"/>
                <w:sz w:val="18"/>
                <w:szCs w:val="18"/>
                <w:lang w:val="sr-Latn-RS" w:eastAsia="sr-Latn-RS"/>
              </w:rPr>
              <w:t>Дугорочна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финансијска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имовина</w:t>
            </w:r>
            <w:proofErr w:type="spellEnd"/>
            <w:r w:rsidRPr="0060234A">
              <w:rPr>
                <w:rFonts w:ascii="Calibri" w:hAnsi="Calibri" w:cs="Calibri"/>
                <w:color w:val="000000"/>
                <w:sz w:val="18"/>
                <w:szCs w:val="18"/>
                <w:lang w:val="sr-Latn-RS" w:eastAsia="sr-Latn-RS"/>
              </w:rPr>
              <w:t xml:space="preserve"> и </w:t>
            </w:r>
            <w:proofErr w:type="spellStart"/>
            <w:r w:rsidRPr="0060234A">
              <w:rPr>
                <w:rFonts w:ascii="Calibri" w:hAnsi="Calibri" w:cs="Calibri"/>
                <w:color w:val="000000"/>
                <w:sz w:val="18"/>
                <w:szCs w:val="18"/>
                <w:lang w:val="sr-Latn-RS" w:eastAsia="sr-Latn-RS"/>
              </w:rPr>
              <w:t>разграничења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из</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трансакција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са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другим</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јединицама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власти</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47D2FD09"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060</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04422AE0"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546</w:t>
            </w:r>
          </w:p>
        </w:tc>
        <w:tc>
          <w:tcPr>
            <w:tcW w:w="1417" w:type="dxa"/>
            <w:tcBorders>
              <w:top w:val="nil"/>
              <w:left w:val="nil"/>
              <w:bottom w:val="single" w:sz="4" w:space="0" w:color="auto"/>
              <w:right w:val="nil"/>
            </w:tcBorders>
            <w:shd w:val="clear" w:color="auto" w:fill="auto"/>
            <w:vAlign w:val="center"/>
            <w:hideMark/>
          </w:tcPr>
          <w:p w14:paraId="7973765D"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D90C751"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546</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163B603F"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728</w:t>
            </w:r>
          </w:p>
        </w:tc>
      </w:tr>
      <w:tr w:rsidR="0060234A" w:rsidRPr="0060234A" w14:paraId="7F05A65D" w14:textId="77777777" w:rsidTr="0060234A">
        <w:trPr>
          <w:trHeight w:val="72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257ADB47"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1192</w:t>
            </w:r>
          </w:p>
        </w:tc>
        <w:tc>
          <w:tcPr>
            <w:tcW w:w="3817" w:type="dxa"/>
            <w:tcBorders>
              <w:top w:val="nil"/>
              <w:left w:val="nil"/>
              <w:bottom w:val="single" w:sz="4" w:space="0" w:color="auto"/>
              <w:right w:val="single" w:sz="4" w:space="0" w:color="auto"/>
            </w:tcBorders>
            <w:shd w:val="clear" w:color="auto" w:fill="auto"/>
            <w:vAlign w:val="center"/>
            <w:hideMark/>
          </w:tcPr>
          <w:p w14:paraId="753B05E3"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б) </w:t>
            </w:r>
            <w:proofErr w:type="spellStart"/>
            <w:r w:rsidRPr="0060234A">
              <w:rPr>
                <w:rFonts w:ascii="Calibri" w:hAnsi="Calibri" w:cs="Calibri"/>
                <w:color w:val="000000"/>
                <w:sz w:val="18"/>
                <w:szCs w:val="18"/>
                <w:lang w:val="sr-Latn-RS" w:eastAsia="sr-Latn-RS"/>
              </w:rPr>
              <w:t>Дугорочна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финансијска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имовина</w:t>
            </w:r>
            <w:proofErr w:type="spellEnd"/>
            <w:r w:rsidRPr="0060234A">
              <w:rPr>
                <w:rFonts w:ascii="Calibri" w:hAnsi="Calibri" w:cs="Calibri"/>
                <w:color w:val="000000"/>
                <w:sz w:val="18"/>
                <w:szCs w:val="18"/>
                <w:lang w:val="sr-Latn-RS" w:eastAsia="sr-Latn-RS"/>
              </w:rPr>
              <w:t xml:space="preserve"> и </w:t>
            </w:r>
            <w:proofErr w:type="spellStart"/>
            <w:r w:rsidRPr="0060234A">
              <w:rPr>
                <w:rFonts w:ascii="Calibri" w:hAnsi="Calibri" w:cs="Calibri"/>
                <w:color w:val="000000"/>
                <w:sz w:val="18"/>
                <w:szCs w:val="18"/>
                <w:lang w:val="sr-Latn-RS" w:eastAsia="sr-Latn-RS"/>
              </w:rPr>
              <w:t>разграничења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из</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трансакција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унутар</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исте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јединице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власти</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745DC029"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061</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4BA1D7E9"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nil"/>
              <w:left w:val="nil"/>
              <w:bottom w:val="single" w:sz="4" w:space="0" w:color="auto"/>
              <w:right w:val="nil"/>
            </w:tcBorders>
            <w:shd w:val="clear" w:color="auto" w:fill="auto"/>
            <w:vAlign w:val="center"/>
            <w:hideMark/>
          </w:tcPr>
          <w:p w14:paraId="1AE4D898"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855F59E"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74BC834A"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7C266B70" w14:textId="77777777" w:rsidTr="0060234A">
        <w:trPr>
          <w:trHeight w:val="48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16CC40FD"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01</w:t>
            </w:r>
          </w:p>
        </w:tc>
        <w:tc>
          <w:tcPr>
            <w:tcW w:w="3817" w:type="dxa"/>
            <w:tcBorders>
              <w:top w:val="nil"/>
              <w:left w:val="nil"/>
              <w:bottom w:val="single" w:sz="4" w:space="0" w:color="auto"/>
              <w:right w:val="single" w:sz="4" w:space="0" w:color="auto"/>
            </w:tcBorders>
            <w:shd w:val="clear" w:color="auto" w:fill="auto"/>
            <w:vAlign w:val="center"/>
            <w:hideMark/>
          </w:tcPr>
          <w:p w14:paraId="34E5DF7C"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II НЕФИНАНСИЈСКА ИМОВИНА У СТАЛНИМ СРЕДСТВИМА (063 + 069 + 071 + 076 + 078)</w:t>
            </w:r>
          </w:p>
        </w:tc>
        <w:tc>
          <w:tcPr>
            <w:tcW w:w="919" w:type="dxa"/>
            <w:tcBorders>
              <w:top w:val="nil"/>
              <w:left w:val="nil"/>
              <w:bottom w:val="single" w:sz="4" w:space="0" w:color="auto"/>
              <w:right w:val="single" w:sz="4" w:space="0" w:color="auto"/>
            </w:tcBorders>
            <w:shd w:val="clear" w:color="auto" w:fill="auto"/>
            <w:vAlign w:val="center"/>
            <w:hideMark/>
          </w:tcPr>
          <w:p w14:paraId="71BB6D03"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062</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3E520B8B"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131.271.609</w:t>
            </w:r>
          </w:p>
        </w:tc>
        <w:tc>
          <w:tcPr>
            <w:tcW w:w="1417" w:type="dxa"/>
            <w:tcBorders>
              <w:top w:val="nil"/>
              <w:left w:val="nil"/>
              <w:bottom w:val="single" w:sz="4" w:space="0" w:color="auto"/>
              <w:right w:val="nil"/>
            </w:tcBorders>
            <w:shd w:val="clear" w:color="auto" w:fill="auto"/>
            <w:vAlign w:val="center"/>
            <w:hideMark/>
          </w:tcPr>
          <w:p w14:paraId="6C91AC49"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37.273.889</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B8B4FBA"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93.997.720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1A7E58EE"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93.405.768</w:t>
            </w:r>
          </w:p>
        </w:tc>
      </w:tr>
      <w:tr w:rsidR="0060234A" w:rsidRPr="0060234A" w14:paraId="07E94A76" w14:textId="77777777" w:rsidTr="0060234A">
        <w:trPr>
          <w:trHeight w:val="31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68F4A4BE"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011</w:t>
            </w:r>
          </w:p>
        </w:tc>
        <w:tc>
          <w:tcPr>
            <w:tcW w:w="3817" w:type="dxa"/>
            <w:tcBorders>
              <w:top w:val="nil"/>
              <w:left w:val="nil"/>
              <w:bottom w:val="single" w:sz="4" w:space="0" w:color="auto"/>
              <w:right w:val="single" w:sz="4" w:space="0" w:color="auto"/>
            </w:tcBorders>
            <w:shd w:val="clear" w:color="auto" w:fill="auto"/>
            <w:vAlign w:val="center"/>
            <w:hideMark/>
          </w:tcPr>
          <w:p w14:paraId="0C60ED03"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xml:space="preserve">1. </w:t>
            </w:r>
            <w:proofErr w:type="spellStart"/>
            <w:r w:rsidRPr="0060234A">
              <w:rPr>
                <w:rFonts w:ascii="Calibri" w:hAnsi="Calibri" w:cs="Calibri"/>
                <w:b/>
                <w:bCs/>
                <w:color w:val="000000"/>
                <w:sz w:val="18"/>
                <w:szCs w:val="18"/>
                <w:lang w:val="sr-Latn-RS" w:eastAsia="sr-Latn-RS"/>
              </w:rPr>
              <w:t>Произведена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стална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имовина</w:t>
            </w:r>
            <w:proofErr w:type="spellEnd"/>
            <w:r w:rsidRPr="0060234A">
              <w:rPr>
                <w:rFonts w:ascii="Calibri" w:hAnsi="Calibri" w:cs="Calibri"/>
                <w:b/>
                <w:bCs/>
                <w:color w:val="000000"/>
                <w:sz w:val="18"/>
                <w:szCs w:val="18"/>
                <w:lang w:val="sr-Latn-RS" w:eastAsia="sr-Latn-RS"/>
              </w:rPr>
              <w:t xml:space="preserve"> (064 </w:t>
            </w:r>
            <w:proofErr w:type="spellStart"/>
            <w:r w:rsidRPr="0060234A">
              <w:rPr>
                <w:rFonts w:ascii="Calibri" w:hAnsi="Calibri" w:cs="Calibri"/>
                <w:b/>
                <w:bCs/>
                <w:color w:val="000000"/>
                <w:sz w:val="18"/>
                <w:szCs w:val="18"/>
                <w:lang w:val="sr-Latn-RS" w:eastAsia="sr-Latn-RS"/>
              </w:rPr>
              <w:t>до</w:t>
            </w:r>
            <w:proofErr w:type="spellEnd"/>
            <w:r w:rsidRPr="0060234A">
              <w:rPr>
                <w:rFonts w:ascii="Calibri" w:hAnsi="Calibri" w:cs="Calibri"/>
                <w:b/>
                <w:bCs/>
                <w:color w:val="000000"/>
                <w:sz w:val="18"/>
                <w:szCs w:val="18"/>
                <w:lang w:val="sr-Latn-RS" w:eastAsia="sr-Latn-RS"/>
              </w:rPr>
              <w:t xml:space="preserve"> 068)</w:t>
            </w:r>
          </w:p>
        </w:tc>
        <w:tc>
          <w:tcPr>
            <w:tcW w:w="919" w:type="dxa"/>
            <w:tcBorders>
              <w:top w:val="nil"/>
              <w:left w:val="nil"/>
              <w:bottom w:val="single" w:sz="4" w:space="0" w:color="auto"/>
              <w:right w:val="single" w:sz="4" w:space="0" w:color="auto"/>
            </w:tcBorders>
            <w:shd w:val="clear" w:color="auto" w:fill="auto"/>
            <w:vAlign w:val="center"/>
            <w:hideMark/>
          </w:tcPr>
          <w:p w14:paraId="7D713359"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063</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7ACBE46D"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102.098.836</w:t>
            </w:r>
          </w:p>
        </w:tc>
        <w:tc>
          <w:tcPr>
            <w:tcW w:w="1417" w:type="dxa"/>
            <w:tcBorders>
              <w:top w:val="nil"/>
              <w:left w:val="nil"/>
              <w:bottom w:val="single" w:sz="4" w:space="0" w:color="auto"/>
              <w:right w:val="nil"/>
            </w:tcBorders>
            <w:shd w:val="clear" w:color="auto" w:fill="auto"/>
            <w:vAlign w:val="center"/>
            <w:hideMark/>
          </w:tcPr>
          <w:p w14:paraId="7B07169D"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37.273.889</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9FB9053"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64.824.947</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22DCB3C5"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56.192.586</w:t>
            </w:r>
          </w:p>
        </w:tc>
      </w:tr>
      <w:tr w:rsidR="0060234A" w:rsidRPr="0060234A" w14:paraId="0909193E"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1BDA45B2"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lastRenderedPageBreak/>
              <w:t>0111</w:t>
            </w:r>
          </w:p>
        </w:tc>
        <w:tc>
          <w:tcPr>
            <w:tcW w:w="3817" w:type="dxa"/>
            <w:tcBorders>
              <w:top w:val="nil"/>
              <w:left w:val="nil"/>
              <w:bottom w:val="single" w:sz="4" w:space="0" w:color="auto"/>
              <w:right w:val="single" w:sz="4" w:space="0" w:color="auto"/>
            </w:tcBorders>
            <w:shd w:val="clear" w:color="auto" w:fill="auto"/>
            <w:vAlign w:val="center"/>
            <w:hideMark/>
          </w:tcPr>
          <w:p w14:paraId="1FB07351"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а) </w:t>
            </w:r>
            <w:proofErr w:type="spellStart"/>
            <w:r w:rsidRPr="0060234A">
              <w:rPr>
                <w:rFonts w:ascii="Calibri" w:hAnsi="Calibri" w:cs="Calibri"/>
                <w:color w:val="000000"/>
                <w:sz w:val="18"/>
                <w:szCs w:val="18"/>
                <w:lang w:val="sr-Latn-RS" w:eastAsia="sr-Latn-RS"/>
              </w:rPr>
              <w:t>Зграде</w:t>
            </w:r>
            <w:proofErr w:type="spellEnd"/>
            <w:r w:rsidRPr="0060234A">
              <w:rPr>
                <w:rFonts w:ascii="Calibri" w:hAnsi="Calibri" w:cs="Calibri"/>
                <w:color w:val="000000"/>
                <w:sz w:val="18"/>
                <w:szCs w:val="18"/>
                <w:lang w:val="sr-Latn-RS" w:eastAsia="sr-Latn-RS"/>
              </w:rPr>
              <w:t xml:space="preserve"> и </w:t>
            </w:r>
            <w:proofErr w:type="spellStart"/>
            <w:r w:rsidRPr="0060234A">
              <w:rPr>
                <w:rFonts w:ascii="Calibri" w:hAnsi="Calibri" w:cs="Calibri"/>
                <w:color w:val="000000"/>
                <w:sz w:val="18"/>
                <w:szCs w:val="18"/>
                <w:lang w:val="sr-Latn-RS" w:eastAsia="sr-Latn-RS"/>
              </w:rPr>
              <w:t>објекти</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4F44A000"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064</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16BAF4F9"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97.843.952</w:t>
            </w:r>
          </w:p>
        </w:tc>
        <w:tc>
          <w:tcPr>
            <w:tcW w:w="1417" w:type="dxa"/>
            <w:tcBorders>
              <w:top w:val="nil"/>
              <w:left w:val="nil"/>
              <w:bottom w:val="single" w:sz="4" w:space="0" w:color="auto"/>
              <w:right w:val="nil"/>
            </w:tcBorders>
            <w:shd w:val="clear" w:color="auto" w:fill="auto"/>
            <w:vAlign w:val="center"/>
            <w:hideMark/>
          </w:tcPr>
          <w:p w14:paraId="1D54A730"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34.494.969</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39E8ECA"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63.348.982</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04D8B7A0"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55.349.765</w:t>
            </w:r>
          </w:p>
        </w:tc>
      </w:tr>
      <w:tr w:rsidR="0060234A" w:rsidRPr="0060234A" w14:paraId="183538B9"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3D1A2821"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0112</w:t>
            </w:r>
          </w:p>
        </w:tc>
        <w:tc>
          <w:tcPr>
            <w:tcW w:w="3817" w:type="dxa"/>
            <w:tcBorders>
              <w:top w:val="nil"/>
              <w:left w:val="nil"/>
              <w:bottom w:val="single" w:sz="4" w:space="0" w:color="auto"/>
              <w:right w:val="single" w:sz="4" w:space="0" w:color="auto"/>
            </w:tcBorders>
            <w:shd w:val="clear" w:color="auto" w:fill="auto"/>
            <w:vAlign w:val="center"/>
            <w:hideMark/>
          </w:tcPr>
          <w:p w14:paraId="2F825434"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б) </w:t>
            </w:r>
            <w:proofErr w:type="spellStart"/>
            <w:r w:rsidRPr="0060234A">
              <w:rPr>
                <w:rFonts w:ascii="Calibri" w:hAnsi="Calibri" w:cs="Calibri"/>
                <w:color w:val="000000"/>
                <w:sz w:val="18"/>
                <w:szCs w:val="18"/>
                <w:lang w:val="sr-Latn-RS" w:eastAsia="sr-Latn-RS"/>
              </w:rPr>
              <w:t>Постројења</w:t>
            </w:r>
            <w:proofErr w:type="spellEnd"/>
            <w:r w:rsidRPr="0060234A">
              <w:rPr>
                <w:rFonts w:ascii="Calibri" w:hAnsi="Calibri" w:cs="Calibri"/>
                <w:color w:val="000000"/>
                <w:sz w:val="18"/>
                <w:szCs w:val="18"/>
                <w:lang w:val="sr-Latn-RS" w:eastAsia="sr-Latn-RS"/>
              </w:rPr>
              <w:t xml:space="preserve"> и </w:t>
            </w:r>
            <w:proofErr w:type="spellStart"/>
            <w:r w:rsidRPr="0060234A">
              <w:rPr>
                <w:rFonts w:ascii="Calibri" w:hAnsi="Calibri" w:cs="Calibri"/>
                <w:color w:val="000000"/>
                <w:sz w:val="18"/>
                <w:szCs w:val="18"/>
                <w:lang w:val="sr-Latn-RS" w:eastAsia="sr-Latn-RS"/>
              </w:rPr>
              <w:t>опрема</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35E51D0B"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065</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3197F3C8"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4.059.780</w:t>
            </w:r>
          </w:p>
        </w:tc>
        <w:tc>
          <w:tcPr>
            <w:tcW w:w="1417" w:type="dxa"/>
            <w:tcBorders>
              <w:top w:val="nil"/>
              <w:left w:val="nil"/>
              <w:bottom w:val="single" w:sz="4" w:space="0" w:color="auto"/>
              <w:right w:val="nil"/>
            </w:tcBorders>
            <w:shd w:val="clear" w:color="auto" w:fill="auto"/>
            <w:vAlign w:val="center"/>
            <w:hideMark/>
          </w:tcPr>
          <w:p w14:paraId="2D700FC2"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2.735.750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F193F9F"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1.324.030,50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46AA8ECD"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841.944</w:t>
            </w:r>
          </w:p>
        </w:tc>
      </w:tr>
      <w:tr w:rsidR="0060234A" w:rsidRPr="0060234A" w14:paraId="0CC53477"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4CCDDA69"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0113</w:t>
            </w:r>
          </w:p>
        </w:tc>
        <w:tc>
          <w:tcPr>
            <w:tcW w:w="3817" w:type="dxa"/>
            <w:tcBorders>
              <w:top w:val="nil"/>
              <w:left w:val="nil"/>
              <w:bottom w:val="single" w:sz="4" w:space="0" w:color="auto"/>
              <w:right w:val="single" w:sz="4" w:space="0" w:color="auto"/>
            </w:tcBorders>
            <w:shd w:val="clear" w:color="auto" w:fill="auto"/>
            <w:vAlign w:val="center"/>
            <w:hideMark/>
          </w:tcPr>
          <w:p w14:paraId="1040D9BF"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в) </w:t>
            </w:r>
            <w:proofErr w:type="spellStart"/>
            <w:r w:rsidRPr="0060234A">
              <w:rPr>
                <w:rFonts w:ascii="Calibri" w:hAnsi="Calibri" w:cs="Calibri"/>
                <w:color w:val="000000"/>
                <w:sz w:val="18"/>
                <w:szCs w:val="18"/>
                <w:lang w:val="sr-Latn-RS" w:eastAsia="sr-Latn-RS"/>
              </w:rPr>
              <w:t>Биолошка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имовина</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22EE2192"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066</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248AA5D3"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nil"/>
              <w:left w:val="nil"/>
              <w:bottom w:val="single" w:sz="4" w:space="0" w:color="auto"/>
              <w:right w:val="nil"/>
            </w:tcBorders>
            <w:shd w:val="clear" w:color="auto" w:fill="auto"/>
            <w:vAlign w:val="center"/>
            <w:hideMark/>
          </w:tcPr>
          <w:p w14:paraId="76084393"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61559E3"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6C261A20"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3DB8ABDF"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047A7002"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0114</w:t>
            </w:r>
          </w:p>
        </w:tc>
        <w:tc>
          <w:tcPr>
            <w:tcW w:w="3817" w:type="dxa"/>
            <w:tcBorders>
              <w:top w:val="nil"/>
              <w:left w:val="nil"/>
              <w:bottom w:val="single" w:sz="4" w:space="0" w:color="auto"/>
              <w:right w:val="single" w:sz="4" w:space="0" w:color="auto"/>
            </w:tcBorders>
            <w:shd w:val="clear" w:color="auto" w:fill="auto"/>
            <w:vAlign w:val="center"/>
            <w:hideMark/>
          </w:tcPr>
          <w:p w14:paraId="6827A7BC"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г) </w:t>
            </w:r>
            <w:proofErr w:type="spellStart"/>
            <w:r w:rsidRPr="0060234A">
              <w:rPr>
                <w:rFonts w:ascii="Calibri" w:hAnsi="Calibri" w:cs="Calibri"/>
                <w:color w:val="000000"/>
                <w:sz w:val="18"/>
                <w:szCs w:val="18"/>
                <w:lang w:val="sr-Latn-RS" w:eastAsia="sr-Latn-RS"/>
              </w:rPr>
              <w:t>Инвестициона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имовина</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545ABB2D"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067</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37CB8C0F"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188.377</w:t>
            </w:r>
          </w:p>
        </w:tc>
        <w:tc>
          <w:tcPr>
            <w:tcW w:w="1417" w:type="dxa"/>
            <w:tcBorders>
              <w:top w:val="nil"/>
              <w:left w:val="nil"/>
              <w:bottom w:val="single" w:sz="4" w:space="0" w:color="auto"/>
              <w:right w:val="nil"/>
            </w:tcBorders>
            <w:shd w:val="clear" w:color="auto" w:fill="auto"/>
            <w:vAlign w:val="center"/>
            <w:hideMark/>
          </w:tcPr>
          <w:p w14:paraId="16C8E5B5"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36.881</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4210475"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151.495</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71B4BCB7"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4BA098F1"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70A6595C"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0115</w:t>
            </w:r>
          </w:p>
        </w:tc>
        <w:tc>
          <w:tcPr>
            <w:tcW w:w="3817" w:type="dxa"/>
            <w:tcBorders>
              <w:top w:val="nil"/>
              <w:left w:val="nil"/>
              <w:bottom w:val="single" w:sz="4" w:space="0" w:color="auto"/>
              <w:right w:val="single" w:sz="4" w:space="0" w:color="auto"/>
            </w:tcBorders>
            <w:shd w:val="clear" w:color="auto" w:fill="auto"/>
            <w:vAlign w:val="center"/>
            <w:hideMark/>
          </w:tcPr>
          <w:p w14:paraId="38BF05F9"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д) </w:t>
            </w:r>
            <w:proofErr w:type="spellStart"/>
            <w:r w:rsidRPr="0060234A">
              <w:rPr>
                <w:rFonts w:ascii="Calibri" w:hAnsi="Calibri" w:cs="Calibri"/>
                <w:color w:val="000000"/>
                <w:sz w:val="18"/>
                <w:szCs w:val="18"/>
                <w:lang w:val="sr-Latn-RS" w:eastAsia="sr-Latn-RS"/>
              </w:rPr>
              <w:t>Нематеријална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произведена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имовина</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1354FC7F"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068</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3E676236"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6.728</w:t>
            </w:r>
          </w:p>
        </w:tc>
        <w:tc>
          <w:tcPr>
            <w:tcW w:w="1417" w:type="dxa"/>
            <w:tcBorders>
              <w:top w:val="nil"/>
              <w:left w:val="nil"/>
              <w:bottom w:val="single" w:sz="4" w:space="0" w:color="auto"/>
              <w:right w:val="nil"/>
            </w:tcBorders>
            <w:shd w:val="clear" w:color="auto" w:fill="auto"/>
            <w:vAlign w:val="center"/>
            <w:hideMark/>
          </w:tcPr>
          <w:p w14:paraId="1F2F95CC"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6.289</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F928753"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439</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335E81A6"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878</w:t>
            </w:r>
          </w:p>
        </w:tc>
      </w:tr>
      <w:tr w:rsidR="0060234A" w:rsidRPr="0060234A" w14:paraId="1589D8C0"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6B183502"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012</w:t>
            </w:r>
          </w:p>
        </w:tc>
        <w:tc>
          <w:tcPr>
            <w:tcW w:w="3817" w:type="dxa"/>
            <w:tcBorders>
              <w:top w:val="nil"/>
              <w:left w:val="nil"/>
              <w:bottom w:val="single" w:sz="4" w:space="0" w:color="auto"/>
              <w:right w:val="single" w:sz="4" w:space="0" w:color="auto"/>
            </w:tcBorders>
            <w:shd w:val="clear" w:color="auto" w:fill="auto"/>
            <w:vAlign w:val="center"/>
            <w:hideMark/>
          </w:tcPr>
          <w:p w14:paraId="1AB6774E"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xml:space="preserve">2. </w:t>
            </w:r>
            <w:proofErr w:type="spellStart"/>
            <w:r w:rsidRPr="0060234A">
              <w:rPr>
                <w:rFonts w:ascii="Calibri" w:hAnsi="Calibri" w:cs="Calibri"/>
                <w:b/>
                <w:bCs/>
                <w:color w:val="000000"/>
                <w:sz w:val="18"/>
                <w:szCs w:val="18"/>
                <w:lang w:val="sr-Latn-RS" w:eastAsia="sr-Latn-RS"/>
              </w:rPr>
              <w:t>Драгоцјености</w:t>
            </w:r>
            <w:proofErr w:type="spellEnd"/>
            <w:r w:rsidRPr="0060234A">
              <w:rPr>
                <w:rFonts w:ascii="Calibri" w:hAnsi="Calibri" w:cs="Calibri"/>
                <w:b/>
                <w:bCs/>
                <w:color w:val="000000"/>
                <w:sz w:val="18"/>
                <w:szCs w:val="18"/>
                <w:lang w:val="sr-Latn-RS" w:eastAsia="sr-Latn-RS"/>
              </w:rPr>
              <w:t xml:space="preserve"> (070)</w:t>
            </w:r>
          </w:p>
        </w:tc>
        <w:tc>
          <w:tcPr>
            <w:tcW w:w="919" w:type="dxa"/>
            <w:tcBorders>
              <w:top w:val="nil"/>
              <w:left w:val="nil"/>
              <w:bottom w:val="single" w:sz="4" w:space="0" w:color="auto"/>
              <w:right w:val="single" w:sz="4" w:space="0" w:color="auto"/>
            </w:tcBorders>
            <w:shd w:val="clear" w:color="auto" w:fill="auto"/>
            <w:vAlign w:val="center"/>
            <w:hideMark/>
          </w:tcPr>
          <w:p w14:paraId="650B9C43"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069</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0976A7A3"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c>
          <w:tcPr>
            <w:tcW w:w="1417" w:type="dxa"/>
            <w:tcBorders>
              <w:top w:val="nil"/>
              <w:left w:val="nil"/>
              <w:bottom w:val="single" w:sz="4" w:space="0" w:color="auto"/>
              <w:right w:val="nil"/>
            </w:tcBorders>
            <w:shd w:val="clear" w:color="auto" w:fill="auto"/>
            <w:vAlign w:val="center"/>
            <w:hideMark/>
          </w:tcPr>
          <w:p w14:paraId="2809BDE8"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8C72EC5"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2C5A0BF7"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r>
      <w:tr w:rsidR="0060234A" w:rsidRPr="0060234A" w14:paraId="58070C20"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644D054E"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0121</w:t>
            </w:r>
          </w:p>
        </w:tc>
        <w:tc>
          <w:tcPr>
            <w:tcW w:w="3817" w:type="dxa"/>
            <w:tcBorders>
              <w:top w:val="nil"/>
              <w:left w:val="nil"/>
              <w:bottom w:val="single" w:sz="4" w:space="0" w:color="auto"/>
              <w:right w:val="single" w:sz="4" w:space="0" w:color="auto"/>
            </w:tcBorders>
            <w:shd w:val="clear" w:color="auto" w:fill="auto"/>
            <w:vAlign w:val="center"/>
            <w:hideMark/>
          </w:tcPr>
          <w:p w14:paraId="79D16D14"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а) </w:t>
            </w:r>
            <w:proofErr w:type="spellStart"/>
            <w:r w:rsidRPr="0060234A">
              <w:rPr>
                <w:rFonts w:ascii="Calibri" w:hAnsi="Calibri" w:cs="Calibri"/>
                <w:color w:val="000000"/>
                <w:sz w:val="18"/>
                <w:szCs w:val="18"/>
                <w:lang w:val="sr-Latn-RS" w:eastAsia="sr-Latn-RS"/>
              </w:rPr>
              <w:t>Драгоцјености</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7252A01C"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070</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66D53826"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nil"/>
              <w:left w:val="nil"/>
              <w:bottom w:val="single" w:sz="4" w:space="0" w:color="auto"/>
              <w:right w:val="nil"/>
            </w:tcBorders>
            <w:shd w:val="clear" w:color="auto" w:fill="auto"/>
            <w:vAlign w:val="center"/>
            <w:hideMark/>
          </w:tcPr>
          <w:p w14:paraId="1CD7EBE3"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2813464"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51C39A66"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20481A1A" w14:textId="77777777" w:rsidTr="0060234A">
        <w:trPr>
          <w:trHeight w:val="48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216915FF"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013</w:t>
            </w:r>
          </w:p>
        </w:tc>
        <w:tc>
          <w:tcPr>
            <w:tcW w:w="3817" w:type="dxa"/>
            <w:tcBorders>
              <w:top w:val="nil"/>
              <w:left w:val="nil"/>
              <w:bottom w:val="single" w:sz="4" w:space="0" w:color="auto"/>
              <w:right w:val="single" w:sz="4" w:space="0" w:color="auto"/>
            </w:tcBorders>
            <w:shd w:val="clear" w:color="auto" w:fill="auto"/>
            <w:vAlign w:val="center"/>
            <w:hideMark/>
          </w:tcPr>
          <w:p w14:paraId="577DA077"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xml:space="preserve">3. </w:t>
            </w:r>
            <w:proofErr w:type="spellStart"/>
            <w:r w:rsidRPr="0060234A">
              <w:rPr>
                <w:rFonts w:ascii="Calibri" w:hAnsi="Calibri" w:cs="Calibri"/>
                <w:b/>
                <w:bCs/>
                <w:color w:val="000000"/>
                <w:sz w:val="18"/>
                <w:szCs w:val="18"/>
                <w:lang w:val="sr-Latn-RS" w:eastAsia="sr-Latn-RS"/>
              </w:rPr>
              <w:t>Непроизведена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стална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имовина</w:t>
            </w:r>
            <w:proofErr w:type="spellEnd"/>
            <w:r w:rsidRPr="0060234A">
              <w:rPr>
                <w:rFonts w:ascii="Calibri" w:hAnsi="Calibri" w:cs="Calibri"/>
                <w:b/>
                <w:bCs/>
                <w:color w:val="000000"/>
                <w:sz w:val="18"/>
                <w:szCs w:val="18"/>
                <w:lang w:val="sr-Latn-RS" w:eastAsia="sr-Latn-RS"/>
              </w:rPr>
              <w:t xml:space="preserve"> (072 </w:t>
            </w:r>
            <w:proofErr w:type="spellStart"/>
            <w:r w:rsidRPr="0060234A">
              <w:rPr>
                <w:rFonts w:ascii="Calibri" w:hAnsi="Calibri" w:cs="Calibri"/>
                <w:b/>
                <w:bCs/>
                <w:color w:val="000000"/>
                <w:sz w:val="18"/>
                <w:szCs w:val="18"/>
                <w:lang w:val="sr-Latn-RS" w:eastAsia="sr-Latn-RS"/>
              </w:rPr>
              <w:t>до</w:t>
            </w:r>
            <w:proofErr w:type="spellEnd"/>
            <w:r w:rsidRPr="0060234A">
              <w:rPr>
                <w:rFonts w:ascii="Calibri" w:hAnsi="Calibri" w:cs="Calibri"/>
                <w:b/>
                <w:bCs/>
                <w:color w:val="000000"/>
                <w:sz w:val="18"/>
                <w:szCs w:val="18"/>
                <w:lang w:val="sr-Latn-RS" w:eastAsia="sr-Latn-RS"/>
              </w:rPr>
              <w:t xml:space="preserve"> 075)</w:t>
            </w:r>
          </w:p>
        </w:tc>
        <w:tc>
          <w:tcPr>
            <w:tcW w:w="919" w:type="dxa"/>
            <w:tcBorders>
              <w:top w:val="nil"/>
              <w:left w:val="nil"/>
              <w:bottom w:val="single" w:sz="4" w:space="0" w:color="auto"/>
              <w:right w:val="single" w:sz="4" w:space="0" w:color="auto"/>
            </w:tcBorders>
            <w:shd w:val="clear" w:color="auto" w:fill="auto"/>
            <w:vAlign w:val="center"/>
            <w:hideMark/>
          </w:tcPr>
          <w:p w14:paraId="0981E45A"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071</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5722127B"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28.843.394</w:t>
            </w:r>
          </w:p>
        </w:tc>
        <w:tc>
          <w:tcPr>
            <w:tcW w:w="1417" w:type="dxa"/>
            <w:tcBorders>
              <w:top w:val="nil"/>
              <w:left w:val="nil"/>
              <w:bottom w:val="single" w:sz="4" w:space="0" w:color="auto"/>
              <w:right w:val="nil"/>
            </w:tcBorders>
            <w:shd w:val="clear" w:color="auto" w:fill="auto"/>
            <w:vAlign w:val="center"/>
            <w:hideMark/>
          </w:tcPr>
          <w:p w14:paraId="512BE4F4"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BFB508A"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28.843.394</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134D8731"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28.849.153</w:t>
            </w:r>
          </w:p>
        </w:tc>
      </w:tr>
      <w:tr w:rsidR="0060234A" w:rsidRPr="0060234A" w14:paraId="405D76C4"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091E0CDF"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0131</w:t>
            </w:r>
          </w:p>
        </w:tc>
        <w:tc>
          <w:tcPr>
            <w:tcW w:w="3817" w:type="dxa"/>
            <w:tcBorders>
              <w:top w:val="nil"/>
              <w:left w:val="nil"/>
              <w:bottom w:val="single" w:sz="4" w:space="0" w:color="auto"/>
              <w:right w:val="single" w:sz="4" w:space="0" w:color="auto"/>
            </w:tcBorders>
            <w:shd w:val="clear" w:color="auto" w:fill="auto"/>
            <w:vAlign w:val="center"/>
            <w:hideMark/>
          </w:tcPr>
          <w:p w14:paraId="60E08E0B"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а) </w:t>
            </w:r>
            <w:proofErr w:type="spellStart"/>
            <w:r w:rsidRPr="0060234A">
              <w:rPr>
                <w:rFonts w:ascii="Calibri" w:hAnsi="Calibri" w:cs="Calibri"/>
                <w:color w:val="000000"/>
                <w:sz w:val="18"/>
                <w:szCs w:val="18"/>
                <w:lang w:val="sr-Latn-RS" w:eastAsia="sr-Latn-RS"/>
              </w:rPr>
              <w:t>Земљиште</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21B61D55"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072</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628FF77B"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28.843.394</w:t>
            </w:r>
          </w:p>
        </w:tc>
        <w:tc>
          <w:tcPr>
            <w:tcW w:w="1417" w:type="dxa"/>
            <w:tcBorders>
              <w:top w:val="nil"/>
              <w:left w:val="nil"/>
              <w:bottom w:val="single" w:sz="4" w:space="0" w:color="auto"/>
              <w:right w:val="nil"/>
            </w:tcBorders>
            <w:shd w:val="clear" w:color="auto" w:fill="auto"/>
            <w:vAlign w:val="center"/>
            <w:hideMark/>
          </w:tcPr>
          <w:p w14:paraId="48160CF7"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0FC2D0F"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28.843.394</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35595D4F"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28.849.153</w:t>
            </w:r>
          </w:p>
        </w:tc>
      </w:tr>
      <w:tr w:rsidR="0060234A" w:rsidRPr="0060234A" w14:paraId="38ED6DB2"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5CA21997"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0132</w:t>
            </w:r>
          </w:p>
        </w:tc>
        <w:tc>
          <w:tcPr>
            <w:tcW w:w="3817" w:type="dxa"/>
            <w:tcBorders>
              <w:top w:val="nil"/>
              <w:left w:val="nil"/>
              <w:bottom w:val="single" w:sz="4" w:space="0" w:color="auto"/>
              <w:right w:val="single" w:sz="4" w:space="0" w:color="auto"/>
            </w:tcBorders>
            <w:shd w:val="clear" w:color="auto" w:fill="auto"/>
            <w:vAlign w:val="center"/>
            <w:hideMark/>
          </w:tcPr>
          <w:p w14:paraId="51BC8E45"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б) </w:t>
            </w:r>
            <w:proofErr w:type="spellStart"/>
            <w:r w:rsidRPr="0060234A">
              <w:rPr>
                <w:rFonts w:ascii="Calibri" w:hAnsi="Calibri" w:cs="Calibri"/>
                <w:color w:val="000000"/>
                <w:sz w:val="18"/>
                <w:szCs w:val="18"/>
                <w:lang w:val="sr-Latn-RS" w:eastAsia="sr-Latn-RS"/>
              </w:rPr>
              <w:t>Подземна</w:t>
            </w:r>
            <w:proofErr w:type="spellEnd"/>
            <w:r w:rsidRPr="0060234A">
              <w:rPr>
                <w:rFonts w:ascii="Calibri" w:hAnsi="Calibri" w:cs="Calibri"/>
                <w:color w:val="000000"/>
                <w:sz w:val="18"/>
                <w:szCs w:val="18"/>
                <w:lang w:val="sr-Latn-RS" w:eastAsia="sr-Latn-RS"/>
              </w:rPr>
              <w:t xml:space="preserve"> и </w:t>
            </w:r>
            <w:proofErr w:type="spellStart"/>
            <w:r w:rsidRPr="0060234A">
              <w:rPr>
                <w:rFonts w:ascii="Calibri" w:hAnsi="Calibri" w:cs="Calibri"/>
                <w:color w:val="000000"/>
                <w:sz w:val="18"/>
                <w:szCs w:val="18"/>
                <w:lang w:val="sr-Latn-RS" w:eastAsia="sr-Latn-RS"/>
              </w:rPr>
              <w:t>површинска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налазишта</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49AAD3CB"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073</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398BEDB6"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nil"/>
              <w:left w:val="nil"/>
              <w:bottom w:val="single" w:sz="4" w:space="0" w:color="auto"/>
              <w:right w:val="nil"/>
            </w:tcBorders>
            <w:shd w:val="clear" w:color="auto" w:fill="auto"/>
            <w:vAlign w:val="center"/>
            <w:hideMark/>
          </w:tcPr>
          <w:p w14:paraId="482B2639"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A664102"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7FD8BD91"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0D7E5E4B"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07960F9F"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0133</w:t>
            </w:r>
          </w:p>
        </w:tc>
        <w:tc>
          <w:tcPr>
            <w:tcW w:w="3817" w:type="dxa"/>
            <w:tcBorders>
              <w:top w:val="nil"/>
              <w:left w:val="nil"/>
              <w:bottom w:val="single" w:sz="4" w:space="0" w:color="auto"/>
              <w:right w:val="single" w:sz="4" w:space="0" w:color="auto"/>
            </w:tcBorders>
            <w:shd w:val="clear" w:color="auto" w:fill="auto"/>
            <w:vAlign w:val="center"/>
            <w:hideMark/>
          </w:tcPr>
          <w:p w14:paraId="22E204F4"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в) </w:t>
            </w:r>
            <w:proofErr w:type="spellStart"/>
            <w:r w:rsidRPr="0060234A">
              <w:rPr>
                <w:rFonts w:ascii="Calibri" w:hAnsi="Calibri" w:cs="Calibri"/>
                <w:color w:val="000000"/>
                <w:sz w:val="18"/>
                <w:szCs w:val="18"/>
                <w:lang w:val="sr-Latn-RS" w:eastAsia="sr-Latn-RS"/>
              </w:rPr>
              <w:t>Остала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природна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добра</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53E4D556"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074</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0CD93623"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nil"/>
              <w:left w:val="nil"/>
              <w:bottom w:val="single" w:sz="4" w:space="0" w:color="auto"/>
              <w:right w:val="nil"/>
            </w:tcBorders>
            <w:shd w:val="clear" w:color="auto" w:fill="auto"/>
            <w:vAlign w:val="center"/>
            <w:hideMark/>
          </w:tcPr>
          <w:p w14:paraId="03FE93CB"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8787344"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1FEACB1A"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40937CA9"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43F41F6A"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0134</w:t>
            </w:r>
          </w:p>
        </w:tc>
        <w:tc>
          <w:tcPr>
            <w:tcW w:w="3817" w:type="dxa"/>
            <w:tcBorders>
              <w:top w:val="nil"/>
              <w:left w:val="nil"/>
              <w:bottom w:val="single" w:sz="4" w:space="0" w:color="auto"/>
              <w:right w:val="single" w:sz="4" w:space="0" w:color="auto"/>
            </w:tcBorders>
            <w:shd w:val="clear" w:color="auto" w:fill="auto"/>
            <w:vAlign w:val="center"/>
            <w:hideMark/>
          </w:tcPr>
          <w:p w14:paraId="0765F9E1"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г) </w:t>
            </w:r>
            <w:proofErr w:type="spellStart"/>
            <w:r w:rsidRPr="0060234A">
              <w:rPr>
                <w:rFonts w:ascii="Calibri" w:hAnsi="Calibri" w:cs="Calibri"/>
                <w:color w:val="000000"/>
                <w:sz w:val="18"/>
                <w:szCs w:val="18"/>
                <w:lang w:val="sr-Latn-RS" w:eastAsia="sr-Latn-RS"/>
              </w:rPr>
              <w:t>Нематеријална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непроизведена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имовина</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6E2FF471"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075</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40C18CBC"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nil"/>
              <w:left w:val="nil"/>
              <w:bottom w:val="single" w:sz="4" w:space="0" w:color="auto"/>
              <w:right w:val="nil"/>
            </w:tcBorders>
            <w:shd w:val="clear" w:color="auto" w:fill="auto"/>
            <w:vAlign w:val="center"/>
            <w:hideMark/>
          </w:tcPr>
          <w:p w14:paraId="5C40E189"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0192B6C"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20A3A23B"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76508716" w14:textId="77777777" w:rsidTr="0060234A">
        <w:trPr>
          <w:trHeight w:val="48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75224751"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014</w:t>
            </w:r>
          </w:p>
        </w:tc>
        <w:tc>
          <w:tcPr>
            <w:tcW w:w="3817" w:type="dxa"/>
            <w:tcBorders>
              <w:top w:val="nil"/>
              <w:left w:val="nil"/>
              <w:bottom w:val="single" w:sz="4" w:space="0" w:color="auto"/>
              <w:right w:val="single" w:sz="4" w:space="0" w:color="auto"/>
            </w:tcBorders>
            <w:shd w:val="clear" w:color="auto" w:fill="auto"/>
            <w:vAlign w:val="center"/>
            <w:hideMark/>
          </w:tcPr>
          <w:p w14:paraId="3F16EC28"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xml:space="preserve">4. </w:t>
            </w:r>
            <w:proofErr w:type="spellStart"/>
            <w:r w:rsidRPr="0060234A">
              <w:rPr>
                <w:rFonts w:ascii="Calibri" w:hAnsi="Calibri" w:cs="Calibri"/>
                <w:b/>
                <w:bCs/>
                <w:color w:val="000000"/>
                <w:sz w:val="18"/>
                <w:szCs w:val="18"/>
                <w:lang w:val="sr-Latn-RS" w:eastAsia="sr-Latn-RS"/>
              </w:rPr>
              <w:t>Нефинансијска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имовина</w:t>
            </w:r>
            <w:proofErr w:type="spellEnd"/>
            <w:r w:rsidRPr="0060234A">
              <w:rPr>
                <w:rFonts w:ascii="Calibri" w:hAnsi="Calibri" w:cs="Calibri"/>
                <w:b/>
                <w:bCs/>
                <w:color w:val="000000"/>
                <w:sz w:val="18"/>
                <w:szCs w:val="18"/>
                <w:lang w:val="sr-Latn-RS" w:eastAsia="sr-Latn-RS"/>
              </w:rPr>
              <w:t xml:space="preserve"> у </w:t>
            </w:r>
            <w:proofErr w:type="spellStart"/>
            <w:r w:rsidRPr="0060234A">
              <w:rPr>
                <w:rFonts w:ascii="Calibri" w:hAnsi="Calibri" w:cs="Calibri"/>
                <w:b/>
                <w:bCs/>
                <w:color w:val="000000"/>
                <w:sz w:val="18"/>
                <w:szCs w:val="18"/>
                <w:lang w:val="sr-Latn-RS" w:eastAsia="sr-Latn-RS"/>
              </w:rPr>
              <w:t>сталним</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средствима</w:t>
            </w:r>
            <w:proofErr w:type="spellEnd"/>
            <w:r w:rsidRPr="0060234A">
              <w:rPr>
                <w:rFonts w:ascii="Calibri" w:hAnsi="Calibri" w:cs="Calibri"/>
                <w:b/>
                <w:bCs/>
                <w:color w:val="000000"/>
                <w:sz w:val="18"/>
                <w:szCs w:val="18"/>
                <w:lang w:val="sr-Latn-RS" w:eastAsia="sr-Latn-RS"/>
              </w:rPr>
              <w:t xml:space="preserve"> у </w:t>
            </w:r>
            <w:proofErr w:type="spellStart"/>
            <w:r w:rsidRPr="0060234A">
              <w:rPr>
                <w:rFonts w:ascii="Calibri" w:hAnsi="Calibri" w:cs="Calibri"/>
                <w:b/>
                <w:bCs/>
                <w:color w:val="000000"/>
                <w:sz w:val="18"/>
                <w:szCs w:val="18"/>
                <w:lang w:val="sr-Latn-RS" w:eastAsia="sr-Latn-RS"/>
              </w:rPr>
              <w:t>припреми</w:t>
            </w:r>
            <w:proofErr w:type="spellEnd"/>
            <w:r w:rsidRPr="0060234A">
              <w:rPr>
                <w:rFonts w:ascii="Calibri" w:hAnsi="Calibri" w:cs="Calibri"/>
                <w:b/>
                <w:bCs/>
                <w:color w:val="000000"/>
                <w:sz w:val="18"/>
                <w:szCs w:val="18"/>
                <w:lang w:val="sr-Latn-RS" w:eastAsia="sr-Latn-RS"/>
              </w:rPr>
              <w:t xml:space="preserve"> (077)</w:t>
            </w:r>
          </w:p>
        </w:tc>
        <w:tc>
          <w:tcPr>
            <w:tcW w:w="919" w:type="dxa"/>
            <w:tcBorders>
              <w:top w:val="nil"/>
              <w:left w:val="nil"/>
              <w:bottom w:val="single" w:sz="4" w:space="0" w:color="auto"/>
              <w:right w:val="single" w:sz="4" w:space="0" w:color="auto"/>
            </w:tcBorders>
            <w:shd w:val="clear" w:color="auto" w:fill="auto"/>
            <w:vAlign w:val="center"/>
            <w:hideMark/>
          </w:tcPr>
          <w:p w14:paraId="6D6E8C93"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076</w:t>
            </w:r>
          </w:p>
        </w:tc>
        <w:tc>
          <w:tcPr>
            <w:tcW w:w="1325" w:type="dxa"/>
            <w:tcBorders>
              <w:top w:val="single" w:sz="4" w:space="0" w:color="auto"/>
              <w:left w:val="nil"/>
              <w:bottom w:val="single" w:sz="4" w:space="0" w:color="auto"/>
              <w:right w:val="single" w:sz="4" w:space="0" w:color="000000"/>
            </w:tcBorders>
            <w:shd w:val="clear" w:color="000000" w:fill="FFFFFF"/>
            <w:vAlign w:val="center"/>
            <w:hideMark/>
          </w:tcPr>
          <w:p w14:paraId="4513DFA2"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329.378</w:t>
            </w:r>
          </w:p>
        </w:tc>
        <w:tc>
          <w:tcPr>
            <w:tcW w:w="1417" w:type="dxa"/>
            <w:tcBorders>
              <w:top w:val="nil"/>
              <w:left w:val="nil"/>
              <w:bottom w:val="single" w:sz="4" w:space="0" w:color="auto"/>
              <w:right w:val="nil"/>
            </w:tcBorders>
            <w:shd w:val="clear" w:color="000000" w:fill="FFFFFF"/>
            <w:vAlign w:val="center"/>
            <w:hideMark/>
          </w:tcPr>
          <w:p w14:paraId="267729FD"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4492841C"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329.378</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43E2FEAA"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8.364.029</w:t>
            </w:r>
          </w:p>
        </w:tc>
      </w:tr>
      <w:tr w:rsidR="0060234A" w:rsidRPr="0060234A" w14:paraId="4C3D0C59" w14:textId="77777777" w:rsidTr="0060234A">
        <w:trPr>
          <w:trHeight w:val="48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0A5B5433"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0141</w:t>
            </w:r>
          </w:p>
        </w:tc>
        <w:tc>
          <w:tcPr>
            <w:tcW w:w="3817" w:type="dxa"/>
            <w:tcBorders>
              <w:top w:val="nil"/>
              <w:left w:val="nil"/>
              <w:bottom w:val="single" w:sz="4" w:space="0" w:color="auto"/>
              <w:right w:val="single" w:sz="4" w:space="0" w:color="auto"/>
            </w:tcBorders>
            <w:shd w:val="clear" w:color="auto" w:fill="auto"/>
            <w:vAlign w:val="center"/>
            <w:hideMark/>
          </w:tcPr>
          <w:p w14:paraId="6CB9F015"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а) </w:t>
            </w:r>
            <w:proofErr w:type="spellStart"/>
            <w:r w:rsidRPr="0060234A">
              <w:rPr>
                <w:rFonts w:ascii="Calibri" w:hAnsi="Calibri" w:cs="Calibri"/>
                <w:color w:val="000000"/>
                <w:sz w:val="18"/>
                <w:szCs w:val="18"/>
                <w:lang w:val="sr-Latn-RS" w:eastAsia="sr-Latn-RS"/>
              </w:rPr>
              <w:t>Нефинансијска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имовина</w:t>
            </w:r>
            <w:proofErr w:type="spellEnd"/>
            <w:r w:rsidRPr="0060234A">
              <w:rPr>
                <w:rFonts w:ascii="Calibri" w:hAnsi="Calibri" w:cs="Calibri"/>
                <w:color w:val="000000"/>
                <w:sz w:val="18"/>
                <w:szCs w:val="18"/>
                <w:lang w:val="sr-Latn-RS" w:eastAsia="sr-Latn-RS"/>
              </w:rPr>
              <w:t xml:space="preserve"> у </w:t>
            </w:r>
            <w:proofErr w:type="spellStart"/>
            <w:r w:rsidRPr="0060234A">
              <w:rPr>
                <w:rFonts w:ascii="Calibri" w:hAnsi="Calibri" w:cs="Calibri"/>
                <w:color w:val="000000"/>
                <w:sz w:val="18"/>
                <w:szCs w:val="18"/>
                <w:lang w:val="sr-Latn-RS" w:eastAsia="sr-Latn-RS"/>
              </w:rPr>
              <w:t>сталним</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средствима</w:t>
            </w:r>
            <w:proofErr w:type="spellEnd"/>
            <w:r w:rsidRPr="0060234A">
              <w:rPr>
                <w:rFonts w:ascii="Calibri" w:hAnsi="Calibri" w:cs="Calibri"/>
                <w:color w:val="000000"/>
                <w:sz w:val="18"/>
                <w:szCs w:val="18"/>
                <w:lang w:val="sr-Latn-RS" w:eastAsia="sr-Latn-RS"/>
              </w:rPr>
              <w:t xml:space="preserve"> у </w:t>
            </w:r>
            <w:proofErr w:type="spellStart"/>
            <w:r w:rsidRPr="0060234A">
              <w:rPr>
                <w:rFonts w:ascii="Calibri" w:hAnsi="Calibri" w:cs="Calibri"/>
                <w:color w:val="000000"/>
                <w:sz w:val="18"/>
                <w:szCs w:val="18"/>
                <w:lang w:val="sr-Latn-RS" w:eastAsia="sr-Latn-RS"/>
              </w:rPr>
              <w:t>припреми</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343C4160"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077</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06A4E183"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329.378</w:t>
            </w:r>
          </w:p>
        </w:tc>
        <w:tc>
          <w:tcPr>
            <w:tcW w:w="1417" w:type="dxa"/>
            <w:tcBorders>
              <w:top w:val="nil"/>
              <w:left w:val="nil"/>
              <w:bottom w:val="single" w:sz="4" w:space="0" w:color="auto"/>
              <w:right w:val="nil"/>
            </w:tcBorders>
            <w:shd w:val="clear" w:color="auto" w:fill="auto"/>
            <w:vAlign w:val="center"/>
            <w:hideMark/>
          </w:tcPr>
          <w:p w14:paraId="7E6C05B3"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1239D31"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329.378</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1E520957"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8.364.029</w:t>
            </w:r>
          </w:p>
        </w:tc>
      </w:tr>
      <w:tr w:rsidR="0060234A" w:rsidRPr="0060234A" w14:paraId="282EC5F0" w14:textId="77777777" w:rsidTr="0060234A">
        <w:trPr>
          <w:trHeight w:val="48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5D0F7F95"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015</w:t>
            </w:r>
          </w:p>
        </w:tc>
        <w:tc>
          <w:tcPr>
            <w:tcW w:w="3817" w:type="dxa"/>
            <w:tcBorders>
              <w:top w:val="nil"/>
              <w:left w:val="nil"/>
              <w:bottom w:val="single" w:sz="4" w:space="0" w:color="auto"/>
              <w:right w:val="single" w:sz="4" w:space="0" w:color="auto"/>
            </w:tcBorders>
            <w:shd w:val="clear" w:color="auto" w:fill="auto"/>
            <w:vAlign w:val="center"/>
            <w:hideMark/>
          </w:tcPr>
          <w:p w14:paraId="369E5B62"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xml:space="preserve"> 5. </w:t>
            </w:r>
            <w:proofErr w:type="spellStart"/>
            <w:r w:rsidRPr="0060234A">
              <w:rPr>
                <w:rFonts w:ascii="Calibri" w:hAnsi="Calibri" w:cs="Calibri"/>
                <w:b/>
                <w:bCs/>
                <w:color w:val="000000"/>
                <w:sz w:val="18"/>
                <w:szCs w:val="18"/>
                <w:lang w:val="sr-Latn-RS" w:eastAsia="sr-Latn-RS"/>
              </w:rPr>
              <w:t>Улагања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на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туђим</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некретнинама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постројењима</w:t>
            </w:r>
            <w:proofErr w:type="spellEnd"/>
            <w:r w:rsidRPr="0060234A">
              <w:rPr>
                <w:rFonts w:ascii="Calibri" w:hAnsi="Calibri" w:cs="Calibri"/>
                <w:b/>
                <w:bCs/>
                <w:color w:val="000000"/>
                <w:sz w:val="18"/>
                <w:szCs w:val="18"/>
                <w:lang w:val="sr-Latn-RS" w:eastAsia="sr-Latn-RS"/>
              </w:rPr>
              <w:t xml:space="preserve"> и </w:t>
            </w:r>
            <w:proofErr w:type="spellStart"/>
            <w:r w:rsidRPr="0060234A">
              <w:rPr>
                <w:rFonts w:ascii="Calibri" w:hAnsi="Calibri" w:cs="Calibri"/>
                <w:b/>
                <w:bCs/>
                <w:color w:val="000000"/>
                <w:sz w:val="18"/>
                <w:szCs w:val="18"/>
                <w:lang w:val="sr-Latn-RS" w:eastAsia="sr-Latn-RS"/>
              </w:rPr>
              <w:t>опреми</w:t>
            </w:r>
            <w:proofErr w:type="spellEnd"/>
            <w:r w:rsidRPr="0060234A">
              <w:rPr>
                <w:rFonts w:ascii="Calibri" w:hAnsi="Calibri" w:cs="Calibri"/>
                <w:b/>
                <w:bCs/>
                <w:color w:val="000000"/>
                <w:sz w:val="18"/>
                <w:szCs w:val="18"/>
                <w:lang w:val="sr-Latn-RS" w:eastAsia="sr-Latn-RS"/>
              </w:rPr>
              <w:t xml:space="preserve"> (079) </w:t>
            </w:r>
          </w:p>
        </w:tc>
        <w:tc>
          <w:tcPr>
            <w:tcW w:w="919" w:type="dxa"/>
            <w:tcBorders>
              <w:top w:val="nil"/>
              <w:left w:val="nil"/>
              <w:bottom w:val="single" w:sz="4" w:space="0" w:color="auto"/>
              <w:right w:val="single" w:sz="4" w:space="0" w:color="auto"/>
            </w:tcBorders>
            <w:shd w:val="clear" w:color="auto" w:fill="auto"/>
            <w:vAlign w:val="center"/>
            <w:hideMark/>
          </w:tcPr>
          <w:p w14:paraId="742499C9"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078</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3B2CB665"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c>
          <w:tcPr>
            <w:tcW w:w="1417" w:type="dxa"/>
            <w:tcBorders>
              <w:top w:val="nil"/>
              <w:left w:val="nil"/>
              <w:bottom w:val="single" w:sz="4" w:space="0" w:color="auto"/>
              <w:right w:val="nil"/>
            </w:tcBorders>
            <w:shd w:val="clear" w:color="auto" w:fill="auto"/>
            <w:vAlign w:val="center"/>
            <w:hideMark/>
          </w:tcPr>
          <w:p w14:paraId="3D5E1CA1"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E7D2175"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01795E99"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r>
      <w:tr w:rsidR="0060234A" w:rsidRPr="0060234A" w14:paraId="1371E04A" w14:textId="77777777" w:rsidTr="0060234A">
        <w:trPr>
          <w:trHeight w:val="48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256C3E10"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0151</w:t>
            </w:r>
          </w:p>
        </w:tc>
        <w:tc>
          <w:tcPr>
            <w:tcW w:w="3817" w:type="dxa"/>
            <w:tcBorders>
              <w:top w:val="nil"/>
              <w:left w:val="nil"/>
              <w:bottom w:val="single" w:sz="4" w:space="0" w:color="auto"/>
              <w:right w:val="single" w:sz="4" w:space="0" w:color="auto"/>
            </w:tcBorders>
            <w:shd w:val="clear" w:color="auto" w:fill="auto"/>
            <w:vAlign w:val="center"/>
            <w:hideMark/>
          </w:tcPr>
          <w:p w14:paraId="4495C1CB"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Улагања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на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туђим</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некретнинама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постројењима</w:t>
            </w:r>
            <w:proofErr w:type="spellEnd"/>
            <w:r w:rsidRPr="0060234A">
              <w:rPr>
                <w:rFonts w:ascii="Calibri" w:hAnsi="Calibri" w:cs="Calibri"/>
                <w:color w:val="000000"/>
                <w:sz w:val="18"/>
                <w:szCs w:val="18"/>
                <w:lang w:val="sr-Latn-RS" w:eastAsia="sr-Latn-RS"/>
              </w:rPr>
              <w:t xml:space="preserve"> и </w:t>
            </w:r>
            <w:proofErr w:type="spellStart"/>
            <w:r w:rsidRPr="0060234A">
              <w:rPr>
                <w:rFonts w:ascii="Calibri" w:hAnsi="Calibri" w:cs="Calibri"/>
                <w:color w:val="000000"/>
                <w:sz w:val="18"/>
                <w:szCs w:val="18"/>
                <w:lang w:val="sr-Latn-RS" w:eastAsia="sr-Latn-RS"/>
              </w:rPr>
              <w:t>опреми</w:t>
            </w:r>
            <w:proofErr w:type="spellEnd"/>
            <w:r w:rsidRPr="0060234A">
              <w:rPr>
                <w:rFonts w:ascii="Calibri" w:hAnsi="Calibri" w:cs="Calibri"/>
                <w:color w:val="000000"/>
                <w:sz w:val="18"/>
                <w:szCs w:val="18"/>
                <w:lang w:val="sr-Latn-RS" w:eastAsia="sr-Latn-RS"/>
              </w:rPr>
              <w:t xml:space="preserve"> </w:t>
            </w:r>
          </w:p>
        </w:tc>
        <w:tc>
          <w:tcPr>
            <w:tcW w:w="919" w:type="dxa"/>
            <w:tcBorders>
              <w:top w:val="nil"/>
              <w:left w:val="nil"/>
              <w:bottom w:val="single" w:sz="4" w:space="0" w:color="auto"/>
              <w:right w:val="single" w:sz="4" w:space="0" w:color="auto"/>
            </w:tcBorders>
            <w:shd w:val="clear" w:color="auto" w:fill="auto"/>
            <w:vAlign w:val="center"/>
            <w:hideMark/>
          </w:tcPr>
          <w:p w14:paraId="40386000"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079</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4DC7BAAA"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nil"/>
              <w:left w:val="nil"/>
              <w:bottom w:val="single" w:sz="4" w:space="0" w:color="auto"/>
              <w:right w:val="nil"/>
            </w:tcBorders>
            <w:shd w:val="clear" w:color="auto" w:fill="auto"/>
            <w:vAlign w:val="center"/>
            <w:hideMark/>
          </w:tcPr>
          <w:p w14:paraId="0250DD5C"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348BE7A"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48C04708"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416B6B73" w14:textId="77777777" w:rsidTr="0060234A">
        <w:trPr>
          <w:trHeight w:val="375"/>
        </w:trPr>
        <w:tc>
          <w:tcPr>
            <w:tcW w:w="862" w:type="dxa"/>
            <w:tcBorders>
              <w:top w:val="nil"/>
              <w:left w:val="single" w:sz="4" w:space="0" w:color="auto"/>
              <w:bottom w:val="single" w:sz="4" w:space="0" w:color="auto"/>
              <w:right w:val="single" w:sz="4" w:space="0" w:color="auto"/>
            </w:tcBorders>
            <w:shd w:val="clear" w:color="000000" w:fill="F2F2F2"/>
            <w:vAlign w:val="center"/>
            <w:hideMark/>
          </w:tcPr>
          <w:p w14:paraId="12B63D52"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w:t>
            </w:r>
          </w:p>
        </w:tc>
        <w:tc>
          <w:tcPr>
            <w:tcW w:w="3817" w:type="dxa"/>
            <w:tcBorders>
              <w:top w:val="nil"/>
              <w:left w:val="nil"/>
              <w:bottom w:val="single" w:sz="4" w:space="0" w:color="auto"/>
              <w:right w:val="single" w:sz="4" w:space="0" w:color="auto"/>
            </w:tcBorders>
            <w:shd w:val="clear" w:color="000000" w:fill="F2F2F2"/>
            <w:vAlign w:val="center"/>
            <w:hideMark/>
          </w:tcPr>
          <w:p w14:paraId="745B1C5F"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xml:space="preserve">В.   П О С Л О В Н А   </w:t>
            </w:r>
            <w:proofErr w:type="spellStart"/>
            <w:r w:rsidRPr="0060234A">
              <w:rPr>
                <w:rFonts w:ascii="Calibri" w:hAnsi="Calibri" w:cs="Calibri"/>
                <w:b/>
                <w:bCs/>
                <w:color w:val="000000"/>
                <w:sz w:val="18"/>
                <w:szCs w:val="18"/>
                <w:lang w:val="sr-Latn-RS" w:eastAsia="sr-Latn-RS"/>
              </w:rPr>
              <w:t>А</w:t>
            </w:r>
            <w:proofErr w:type="spellEnd"/>
            <w:r w:rsidRPr="0060234A">
              <w:rPr>
                <w:rFonts w:ascii="Calibri" w:hAnsi="Calibri" w:cs="Calibri"/>
                <w:b/>
                <w:bCs/>
                <w:color w:val="000000"/>
                <w:sz w:val="18"/>
                <w:szCs w:val="18"/>
                <w:lang w:val="sr-Latn-RS" w:eastAsia="sr-Latn-RS"/>
              </w:rPr>
              <w:t xml:space="preserve"> К Т И В А   (А + Б)</w:t>
            </w:r>
          </w:p>
        </w:tc>
        <w:tc>
          <w:tcPr>
            <w:tcW w:w="919" w:type="dxa"/>
            <w:tcBorders>
              <w:top w:val="nil"/>
              <w:left w:val="nil"/>
              <w:bottom w:val="single" w:sz="4" w:space="0" w:color="auto"/>
              <w:right w:val="single" w:sz="4" w:space="0" w:color="auto"/>
            </w:tcBorders>
            <w:shd w:val="clear" w:color="000000" w:fill="F2F2F2"/>
            <w:vAlign w:val="center"/>
            <w:hideMark/>
          </w:tcPr>
          <w:p w14:paraId="665C6172"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080</w:t>
            </w:r>
          </w:p>
        </w:tc>
        <w:tc>
          <w:tcPr>
            <w:tcW w:w="1325" w:type="dxa"/>
            <w:tcBorders>
              <w:top w:val="single" w:sz="4" w:space="0" w:color="auto"/>
              <w:left w:val="nil"/>
              <w:bottom w:val="single" w:sz="4" w:space="0" w:color="auto"/>
              <w:right w:val="single" w:sz="4" w:space="0" w:color="000000"/>
            </w:tcBorders>
            <w:shd w:val="clear" w:color="000000" w:fill="F2F2F2"/>
            <w:vAlign w:val="center"/>
            <w:hideMark/>
          </w:tcPr>
          <w:p w14:paraId="011332DA"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143.746.013</w:t>
            </w:r>
          </w:p>
        </w:tc>
        <w:tc>
          <w:tcPr>
            <w:tcW w:w="1417" w:type="dxa"/>
            <w:tcBorders>
              <w:top w:val="nil"/>
              <w:left w:val="nil"/>
              <w:bottom w:val="single" w:sz="4" w:space="0" w:color="auto"/>
              <w:right w:val="nil"/>
            </w:tcBorders>
            <w:shd w:val="clear" w:color="000000" w:fill="F2F2F2"/>
            <w:vAlign w:val="center"/>
            <w:hideMark/>
          </w:tcPr>
          <w:p w14:paraId="58927FE7"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42.350.832</w:t>
            </w:r>
          </w:p>
        </w:tc>
        <w:tc>
          <w:tcPr>
            <w:tcW w:w="1417" w:type="dxa"/>
            <w:tcBorders>
              <w:top w:val="single" w:sz="4" w:space="0" w:color="auto"/>
              <w:left w:val="single" w:sz="4" w:space="0" w:color="auto"/>
              <w:bottom w:val="single" w:sz="4" w:space="0" w:color="auto"/>
              <w:right w:val="single" w:sz="4" w:space="0" w:color="000000"/>
            </w:tcBorders>
            <w:shd w:val="clear" w:color="000000" w:fill="F2F2F2"/>
            <w:vAlign w:val="center"/>
            <w:hideMark/>
          </w:tcPr>
          <w:p w14:paraId="0741AF4B"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101.395.180</w:t>
            </w:r>
          </w:p>
        </w:tc>
        <w:tc>
          <w:tcPr>
            <w:tcW w:w="1276" w:type="dxa"/>
            <w:tcBorders>
              <w:top w:val="single" w:sz="4" w:space="0" w:color="auto"/>
              <w:left w:val="nil"/>
              <w:bottom w:val="single" w:sz="4" w:space="0" w:color="auto"/>
              <w:right w:val="single" w:sz="4" w:space="0" w:color="000000"/>
            </w:tcBorders>
            <w:shd w:val="clear" w:color="000000" w:fill="F2F2F2"/>
            <w:vAlign w:val="center"/>
            <w:hideMark/>
          </w:tcPr>
          <w:p w14:paraId="7DEE7E2C"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97.824.350</w:t>
            </w:r>
          </w:p>
        </w:tc>
      </w:tr>
      <w:tr w:rsidR="0060234A" w:rsidRPr="0060234A" w14:paraId="17953A34" w14:textId="77777777" w:rsidTr="0060234A">
        <w:trPr>
          <w:trHeight w:val="39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5105F238"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391</w:t>
            </w:r>
          </w:p>
        </w:tc>
        <w:tc>
          <w:tcPr>
            <w:tcW w:w="3817" w:type="dxa"/>
            <w:tcBorders>
              <w:top w:val="nil"/>
              <w:left w:val="nil"/>
              <w:bottom w:val="single" w:sz="4" w:space="0" w:color="auto"/>
              <w:right w:val="single" w:sz="4" w:space="0" w:color="auto"/>
            </w:tcBorders>
            <w:shd w:val="clear" w:color="auto" w:fill="auto"/>
            <w:vAlign w:val="center"/>
            <w:hideMark/>
          </w:tcPr>
          <w:p w14:paraId="6C2A2735"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xml:space="preserve">Г.   В А Н Б И Л А Н С Н А   </w:t>
            </w:r>
            <w:proofErr w:type="spellStart"/>
            <w:r w:rsidRPr="0060234A">
              <w:rPr>
                <w:rFonts w:ascii="Calibri" w:hAnsi="Calibri" w:cs="Calibri"/>
                <w:b/>
                <w:bCs/>
                <w:color w:val="000000"/>
                <w:sz w:val="18"/>
                <w:szCs w:val="18"/>
                <w:lang w:val="sr-Latn-RS" w:eastAsia="sr-Latn-RS"/>
              </w:rPr>
              <w:t>А</w:t>
            </w:r>
            <w:proofErr w:type="spellEnd"/>
            <w:r w:rsidRPr="0060234A">
              <w:rPr>
                <w:rFonts w:ascii="Calibri" w:hAnsi="Calibri" w:cs="Calibri"/>
                <w:b/>
                <w:bCs/>
                <w:color w:val="000000"/>
                <w:sz w:val="18"/>
                <w:szCs w:val="18"/>
                <w:lang w:val="sr-Latn-RS" w:eastAsia="sr-Latn-RS"/>
              </w:rPr>
              <w:t xml:space="preserve"> К Т И В А</w:t>
            </w:r>
          </w:p>
        </w:tc>
        <w:tc>
          <w:tcPr>
            <w:tcW w:w="919" w:type="dxa"/>
            <w:tcBorders>
              <w:top w:val="nil"/>
              <w:left w:val="nil"/>
              <w:bottom w:val="single" w:sz="4" w:space="0" w:color="auto"/>
              <w:right w:val="single" w:sz="4" w:space="0" w:color="auto"/>
            </w:tcBorders>
            <w:shd w:val="clear" w:color="auto" w:fill="auto"/>
            <w:vAlign w:val="center"/>
            <w:hideMark/>
          </w:tcPr>
          <w:p w14:paraId="282F066E"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081</w:t>
            </w:r>
          </w:p>
        </w:tc>
        <w:tc>
          <w:tcPr>
            <w:tcW w:w="1325" w:type="dxa"/>
            <w:tcBorders>
              <w:top w:val="single" w:sz="4" w:space="0" w:color="auto"/>
              <w:left w:val="nil"/>
              <w:bottom w:val="single" w:sz="4" w:space="0" w:color="auto"/>
              <w:right w:val="single" w:sz="4" w:space="0" w:color="000000"/>
            </w:tcBorders>
            <w:shd w:val="clear" w:color="auto" w:fill="auto"/>
            <w:vAlign w:val="center"/>
            <w:hideMark/>
          </w:tcPr>
          <w:p w14:paraId="2F166C46"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442.707</w:t>
            </w:r>
          </w:p>
        </w:tc>
        <w:tc>
          <w:tcPr>
            <w:tcW w:w="1417" w:type="dxa"/>
            <w:tcBorders>
              <w:top w:val="nil"/>
              <w:left w:val="nil"/>
              <w:bottom w:val="single" w:sz="4" w:space="0" w:color="auto"/>
              <w:right w:val="nil"/>
            </w:tcBorders>
            <w:shd w:val="clear" w:color="auto" w:fill="auto"/>
            <w:vAlign w:val="center"/>
            <w:hideMark/>
          </w:tcPr>
          <w:p w14:paraId="0A4489C2"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265802B"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442.707</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0AF296F0"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709.012</w:t>
            </w:r>
          </w:p>
        </w:tc>
      </w:tr>
      <w:tr w:rsidR="0060234A" w:rsidRPr="0060234A" w14:paraId="75B9CB0F" w14:textId="77777777" w:rsidTr="0060234A">
        <w:trPr>
          <w:trHeight w:val="435"/>
        </w:trPr>
        <w:tc>
          <w:tcPr>
            <w:tcW w:w="862" w:type="dxa"/>
            <w:tcBorders>
              <w:top w:val="nil"/>
              <w:left w:val="single" w:sz="4" w:space="0" w:color="auto"/>
              <w:bottom w:val="single" w:sz="4" w:space="0" w:color="auto"/>
              <w:right w:val="single" w:sz="4" w:space="0" w:color="auto"/>
            </w:tcBorders>
            <w:shd w:val="clear" w:color="000000" w:fill="F2F2F2"/>
            <w:vAlign w:val="center"/>
            <w:hideMark/>
          </w:tcPr>
          <w:p w14:paraId="52E68C29"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w:t>
            </w:r>
          </w:p>
        </w:tc>
        <w:tc>
          <w:tcPr>
            <w:tcW w:w="3817" w:type="dxa"/>
            <w:tcBorders>
              <w:top w:val="nil"/>
              <w:left w:val="nil"/>
              <w:bottom w:val="single" w:sz="4" w:space="0" w:color="auto"/>
              <w:right w:val="single" w:sz="4" w:space="0" w:color="auto"/>
            </w:tcBorders>
            <w:shd w:val="clear" w:color="000000" w:fill="F2F2F2"/>
            <w:vAlign w:val="center"/>
            <w:hideMark/>
          </w:tcPr>
          <w:p w14:paraId="719BE316"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xml:space="preserve">Д.   У К У П Н А   </w:t>
            </w:r>
            <w:proofErr w:type="spellStart"/>
            <w:r w:rsidRPr="0060234A">
              <w:rPr>
                <w:rFonts w:ascii="Calibri" w:hAnsi="Calibri" w:cs="Calibri"/>
                <w:b/>
                <w:bCs/>
                <w:color w:val="000000"/>
                <w:sz w:val="18"/>
                <w:szCs w:val="18"/>
                <w:lang w:val="sr-Latn-RS" w:eastAsia="sr-Latn-RS"/>
              </w:rPr>
              <w:t>А</w:t>
            </w:r>
            <w:proofErr w:type="spellEnd"/>
            <w:r w:rsidRPr="0060234A">
              <w:rPr>
                <w:rFonts w:ascii="Calibri" w:hAnsi="Calibri" w:cs="Calibri"/>
                <w:b/>
                <w:bCs/>
                <w:color w:val="000000"/>
                <w:sz w:val="18"/>
                <w:szCs w:val="18"/>
                <w:lang w:val="sr-Latn-RS" w:eastAsia="sr-Latn-RS"/>
              </w:rPr>
              <w:t xml:space="preserve"> К Т И В А   (В + Г)</w:t>
            </w:r>
          </w:p>
        </w:tc>
        <w:tc>
          <w:tcPr>
            <w:tcW w:w="919" w:type="dxa"/>
            <w:tcBorders>
              <w:top w:val="nil"/>
              <w:left w:val="nil"/>
              <w:bottom w:val="single" w:sz="4" w:space="0" w:color="auto"/>
              <w:right w:val="single" w:sz="4" w:space="0" w:color="auto"/>
            </w:tcBorders>
            <w:shd w:val="clear" w:color="000000" w:fill="F2F2F2"/>
            <w:vAlign w:val="center"/>
            <w:hideMark/>
          </w:tcPr>
          <w:p w14:paraId="0463B197"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082</w:t>
            </w:r>
          </w:p>
        </w:tc>
        <w:tc>
          <w:tcPr>
            <w:tcW w:w="1325" w:type="dxa"/>
            <w:tcBorders>
              <w:top w:val="single" w:sz="4" w:space="0" w:color="auto"/>
              <w:left w:val="nil"/>
              <w:bottom w:val="single" w:sz="4" w:space="0" w:color="auto"/>
              <w:right w:val="single" w:sz="4" w:space="0" w:color="000000"/>
            </w:tcBorders>
            <w:shd w:val="clear" w:color="000000" w:fill="F2F2F2"/>
            <w:vAlign w:val="center"/>
            <w:hideMark/>
          </w:tcPr>
          <w:p w14:paraId="7FA0A539"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144.188.720</w:t>
            </w:r>
          </w:p>
        </w:tc>
        <w:tc>
          <w:tcPr>
            <w:tcW w:w="1417" w:type="dxa"/>
            <w:tcBorders>
              <w:top w:val="nil"/>
              <w:left w:val="nil"/>
              <w:bottom w:val="single" w:sz="4" w:space="0" w:color="auto"/>
              <w:right w:val="nil"/>
            </w:tcBorders>
            <w:shd w:val="clear" w:color="000000" w:fill="F2F2F2"/>
            <w:vAlign w:val="center"/>
            <w:hideMark/>
          </w:tcPr>
          <w:p w14:paraId="50EF84D3"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42.350.832</w:t>
            </w:r>
          </w:p>
        </w:tc>
        <w:tc>
          <w:tcPr>
            <w:tcW w:w="1417" w:type="dxa"/>
            <w:tcBorders>
              <w:top w:val="single" w:sz="4" w:space="0" w:color="auto"/>
              <w:left w:val="single" w:sz="4" w:space="0" w:color="auto"/>
              <w:bottom w:val="single" w:sz="4" w:space="0" w:color="auto"/>
              <w:right w:val="single" w:sz="4" w:space="0" w:color="000000"/>
            </w:tcBorders>
            <w:shd w:val="clear" w:color="000000" w:fill="F2F2F2"/>
            <w:vAlign w:val="center"/>
            <w:hideMark/>
          </w:tcPr>
          <w:p w14:paraId="0FC77C14"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101.837.887</w:t>
            </w:r>
          </w:p>
        </w:tc>
        <w:tc>
          <w:tcPr>
            <w:tcW w:w="1276" w:type="dxa"/>
            <w:tcBorders>
              <w:top w:val="single" w:sz="4" w:space="0" w:color="auto"/>
              <w:left w:val="nil"/>
              <w:bottom w:val="single" w:sz="4" w:space="0" w:color="auto"/>
              <w:right w:val="single" w:sz="4" w:space="0" w:color="000000"/>
            </w:tcBorders>
            <w:shd w:val="clear" w:color="000000" w:fill="F2F2F2"/>
            <w:vAlign w:val="center"/>
            <w:hideMark/>
          </w:tcPr>
          <w:p w14:paraId="72EFD48B"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98.533.362</w:t>
            </w:r>
          </w:p>
        </w:tc>
      </w:tr>
    </w:tbl>
    <w:p w14:paraId="73AFF44F" w14:textId="77777777" w:rsidR="0060234A" w:rsidRDefault="0060234A" w:rsidP="001327CF">
      <w:pPr>
        <w:ind w:left="0" w:firstLine="0"/>
        <w:jc w:val="center"/>
        <w:rPr>
          <w:b/>
        </w:rPr>
      </w:pPr>
    </w:p>
    <w:p w14:paraId="403C7043" w14:textId="77777777" w:rsidR="008B4BFE" w:rsidRDefault="008B4BFE" w:rsidP="001327CF">
      <w:pPr>
        <w:ind w:left="0" w:firstLine="0"/>
        <w:jc w:val="center"/>
        <w:rPr>
          <w:b/>
        </w:rPr>
      </w:pPr>
    </w:p>
    <w:p w14:paraId="69AB9407" w14:textId="77777777" w:rsidR="008B4BFE" w:rsidRDefault="008B4BFE" w:rsidP="001327CF">
      <w:pPr>
        <w:ind w:left="0" w:firstLine="0"/>
        <w:jc w:val="center"/>
        <w:rPr>
          <w:b/>
        </w:rPr>
      </w:pPr>
    </w:p>
    <w:p w14:paraId="765ABAA3" w14:textId="77777777" w:rsidR="008B4BFE" w:rsidRDefault="008B4BFE" w:rsidP="001327CF">
      <w:pPr>
        <w:ind w:left="0" w:firstLine="0"/>
        <w:jc w:val="center"/>
        <w:rPr>
          <w:b/>
        </w:rPr>
      </w:pPr>
    </w:p>
    <w:p w14:paraId="11B70736" w14:textId="77777777" w:rsidR="008B4BFE" w:rsidRDefault="008B4BFE" w:rsidP="001327CF">
      <w:pPr>
        <w:ind w:left="0" w:firstLine="0"/>
        <w:jc w:val="center"/>
        <w:rPr>
          <w:b/>
        </w:rPr>
      </w:pPr>
    </w:p>
    <w:p w14:paraId="359C702B" w14:textId="77777777" w:rsidR="008B4BFE" w:rsidRDefault="008B4BFE" w:rsidP="001327CF">
      <w:pPr>
        <w:ind w:left="0" w:firstLine="0"/>
        <w:jc w:val="center"/>
        <w:rPr>
          <w:b/>
        </w:rPr>
      </w:pPr>
    </w:p>
    <w:tbl>
      <w:tblPr>
        <w:tblW w:w="11043" w:type="dxa"/>
        <w:tblInd w:w="-743" w:type="dxa"/>
        <w:tblLook w:val="04A0" w:firstRow="1" w:lastRow="0" w:firstColumn="1" w:lastColumn="0" w:noHBand="0" w:noVBand="1"/>
      </w:tblPr>
      <w:tblGrid>
        <w:gridCol w:w="862"/>
        <w:gridCol w:w="5518"/>
        <w:gridCol w:w="919"/>
        <w:gridCol w:w="1901"/>
        <w:gridCol w:w="1843"/>
      </w:tblGrid>
      <w:tr w:rsidR="0060234A" w:rsidRPr="0060234A" w14:paraId="18B82658" w14:textId="77777777" w:rsidTr="0060234A">
        <w:trPr>
          <w:trHeight w:val="240"/>
          <w:tblHeader/>
        </w:trPr>
        <w:tc>
          <w:tcPr>
            <w:tcW w:w="862" w:type="dxa"/>
            <w:tcBorders>
              <w:top w:val="single" w:sz="4" w:space="0" w:color="auto"/>
              <w:left w:val="single" w:sz="4" w:space="0" w:color="auto"/>
              <w:bottom w:val="nil"/>
              <w:right w:val="single" w:sz="4" w:space="0" w:color="auto"/>
            </w:tcBorders>
            <w:shd w:val="clear" w:color="000000" w:fill="F2F2F2"/>
            <w:vAlign w:val="center"/>
            <w:hideMark/>
          </w:tcPr>
          <w:p w14:paraId="4D87FB62"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proofErr w:type="spellStart"/>
            <w:r w:rsidRPr="0060234A">
              <w:rPr>
                <w:rFonts w:ascii="Calibri" w:hAnsi="Calibri" w:cs="Calibri"/>
                <w:b/>
                <w:bCs/>
                <w:color w:val="000000"/>
                <w:sz w:val="18"/>
                <w:szCs w:val="18"/>
                <w:lang w:val="sr-Latn-RS" w:eastAsia="sr-Latn-RS"/>
              </w:rPr>
              <w:t>Економ</w:t>
            </w:r>
            <w:proofErr w:type="spellEnd"/>
            <w:r w:rsidRPr="0060234A">
              <w:rPr>
                <w:rFonts w:ascii="Calibri" w:hAnsi="Calibri" w:cs="Calibri"/>
                <w:b/>
                <w:bCs/>
                <w:color w:val="000000"/>
                <w:sz w:val="18"/>
                <w:szCs w:val="18"/>
                <w:lang w:val="sr-Latn-RS" w:eastAsia="sr-Latn-RS"/>
              </w:rPr>
              <w:t>.</w:t>
            </w:r>
          </w:p>
        </w:tc>
        <w:tc>
          <w:tcPr>
            <w:tcW w:w="5518" w:type="dxa"/>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74C3CFAA"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П О З И Ц И Ј А</w:t>
            </w:r>
          </w:p>
        </w:tc>
        <w:tc>
          <w:tcPr>
            <w:tcW w:w="91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702B0A2"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proofErr w:type="spellStart"/>
            <w:r w:rsidRPr="0060234A">
              <w:rPr>
                <w:rFonts w:ascii="Calibri" w:hAnsi="Calibri" w:cs="Calibri"/>
                <w:b/>
                <w:bCs/>
                <w:color w:val="000000"/>
                <w:sz w:val="18"/>
                <w:szCs w:val="18"/>
                <w:lang w:val="sr-Latn-RS" w:eastAsia="sr-Latn-RS"/>
              </w:rPr>
              <w:t>Ознака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за</w:t>
            </w:r>
            <w:proofErr w:type="spellEnd"/>
            <w:r w:rsidRPr="0060234A">
              <w:rPr>
                <w:rFonts w:ascii="Calibri" w:hAnsi="Calibri" w:cs="Calibri"/>
                <w:b/>
                <w:bCs/>
                <w:color w:val="000000"/>
                <w:sz w:val="18"/>
                <w:szCs w:val="18"/>
                <w:lang w:val="sr-Latn-RS" w:eastAsia="sr-Latn-RS"/>
              </w:rPr>
              <w:t xml:space="preserve"> АОП</w:t>
            </w:r>
          </w:p>
        </w:tc>
        <w:tc>
          <w:tcPr>
            <w:tcW w:w="1901" w:type="dxa"/>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5D3F04B3"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proofErr w:type="spellStart"/>
            <w:r w:rsidRPr="0060234A">
              <w:rPr>
                <w:rFonts w:ascii="Calibri" w:hAnsi="Calibri" w:cs="Calibri"/>
                <w:b/>
                <w:bCs/>
                <w:color w:val="000000"/>
                <w:sz w:val="18"/>
                <w:szCs w:val="18"/>
                <w:lang w:val="sr-Latn-RS" w:eastAsia="sr-Latn-RS"/>
              </w:rPr>
              <w:t>Текућа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година</w:t>
            </w:r>
            <w:proofErr w:type="spellEnd"/>
          </w:p>
        </w:tc>
        <w:tc>
          <w:tcPr>
            <w:tcW w:w="1843" w:type="dxa"/>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55A43CAA"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proofErr w:type="spellStart"/>
            <w:r w:rsidRPr="0060234A">
              <w:rPr>
                <w:rFonts w:ascii="Calibri" w:hAnsi="Calibri" w:cs="Calibri"/>
                <w:b/>
                <w:bCs/>
                <w:color w:val="000000"/>
                <w:sz w:val="18"/>
                <w:szCs w:val="18"/>
                <w:lang w:val="sr-Latn-RS" w:eastAsia="sr-Latn-RS"/>
              </w:rPr>
              <w:t>Претходна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година</w:t>
            </w:r>
            <w:proofErr w:type="spellEnd"/>
          </w:p>
        </w:tc>
      </w:tr>
      <w:tr w:rsidR="0060234A" w:rsidRPr="0060234A" w14:paraId="52016893" w14:textId="77777777" w:rsidTr="0060234A">
        <w:trPr>
          <w:trHeight w:val="240"/>
          <w:tblHeader/>
        </w:trPr>
        <w:tc>
          <w:tcPr>
            <w:tcW w:w="862" w:type="dxa"/>
            <w:tcBorders>
              <w:top w:val="nil"/>
              <w:left w:val="single" w:sz="4" w:space="0" w:color="auto"/>
              <w:bottom w:val="single" w:sz="4" w:space="0" w:color="auto"/>
              <w:right w:val="single" w:sz="4" w:space="0" w:color="auto"/>
            </w:tcBorders>
            <w:shd w:val="clear" w:color="000000" w:fill="F2F2F2"/>
            <w:vAlign w:val="center"/>
            <w:hideMark/>
          </w:tcPr>
          <w:p w14:paraId="6BA3B69D"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proofErr w:type="spellStart"/>
            <w:r w:rsidRPr="0060234A">
              <w:rPr>
                <w:rFonts w:ascii="Calibri" w:hAnsi="Calibri" w:cs="Calibri"/>
                <w:b/>
                <w:bCs/>
                <w:color w:val="000000"/>
                <w:sz w:val="18"/>
                <w:szCs w:val="18"/>
                <w:lang w:val="sr-Latn-RS" w:eastAsia="sr-Latn-RS"/>
              </w:rPr>
              <w:t>код</w:t>
            </w:r>
            <w:proofErr w:type="spellEnd"/>
          </w:p>
        </w:tc>
        <w:tc>
          <w:tcPr>
            <w:tcW w:w="5518" w:type="dxa"/>
            <w:vMerge/>
            <w:tcBorders>
              <w:top w:val="nil"/>
              <w:left w:val="single" w:sz="4" w:space="0" w:color="auto"/>
              <w:bottom w:val="single" w:sz="4" w:space="0" w:color="auto"/>
              <w:right w:val="single" w:sz="4" w:space="0" w:color="auto"/>
            </w:tcBorders>
            <w:vAlign w:val="center"/>
            <w:hideMark/>
          </w:tcPr>
          <w:p w14:paraId="02A18B2B"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14:paraId="0A6493EA"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p>
        </w:tc>
        <w:tc>
          <w:tcPr>
            <w:tcW w:w="1901" w:type="dxa"/>
            <w:vMerge/>
            <w:tcBorders>
              <w:top w:val="single" w:sz="4" w:space="0" w:color="auto"/>
              <w:left w:val="single" w:sz="4" w:space="0" w:color="auto"/>
              <w:bottom w:val="single" w:sz="4" w:space="0" w:color="000000"/>
              <w:right w:val="single" w:sz="4" w:space="0" w:color="000000"/>
            </w:tcBorders>
            <w:vAlign w:val="center"/>
            <w:hideMark/>
          </w:tcPr>
          <w:p w14:paraId="4F8B40B1"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14:paraId="2C3D981D"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p>
        </w:tc>
      </w:tr>
      <w:tr w:rsidR="0060234A" w:rsidRPr="0060234A" w14:paraId="0E5267EB" w14:textId="77777777" w:rsidTr="0060234A">
        <w:trPr>
          <w:trHeight w:val="300"/>
          <w:tblHeader/>
        </w:trPr>
        <w:tc>
          <w:tcPr>
            <w:tcW w:w="862" w:type="dxa"/>
            <w:tcBorders>
              <w:top w:val="nil"/>
              <w:left w:val="single" w:sz="4" w:space="0" w:color="auto"/>
              <w:bottom w:val="single" w:sz="4" w:space="0" w:color="auto"/>
              <w:right w:val="single" w:sz="4" w:space="0" w:color="auto"/>
            </w:tcBorders>
            <w:shd w:val="clear" w:color="000000" w:fill="F2F2F2"/>
            <w:vAlign w:val="center"/>
            <w:hideMark/>
          </w:tcPr>
          <w:p w14:paraId="1B15B9A7"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w:t>
            </w:r>
          </w:p>
        </w:tc>
        <w:tc>
          <w:tcPr>
            <w:tcW w:w="5518" w:type="dxa"/>
            <w:tcBorders>
              <w:top w:val="single" w:sz="4" w:space="0" w:color="auto"/>
              <w:left w:val="nil"/>
              <w:bottom w:val="single" w:sz="4" w:space="0" w:color="auto"/>
              <w:right w:val="single" w:sz="4" w:space="0" w:color="000000"/>
            </w:tcBorders>
            <w:shd w:val="clear" w:color="000000" w:fill="F2F2F2"/>
            <w:vAlign w:val="center"/>
            <w:hideMark/>
          </w:tcPr>
          <w:p w14:paraId="2B8004E0"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2</w:t>
            </w:r>
          </w:p>
        </w:tc>
        <w:tc>
          <w:tcPr>
            <w:tcW w:w="919" w:type="dxa"/>
            <w:tcBorders>
              <w:top w:val="nil"/>
              <w:left w:val="nil"/>
              <w:bottom w:val="single" w:sz="4" w:space="0" w:color="auto"/>
              <w:right w:val="single" w:sz="4" w:space="0" w:color="auto"/>
            </w:tcBorders>
            <w:shd w:val="clear" w:color="000000" w:fill="F2F2F2"/>
            <w:vAlign w:val="center"/>
            <w:hideMark/>
          </w:tcPr>
          <w:p w14:paraId="6947CA9B"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3</w:t>
            </w:r>
          </w:p>
        </w:tc>
        <w:tc>
          <w:tcPr>
            <w:tcW w:w="1901" w:type="dxa"/>
            <w:tcBorders>
              <w:top w:val="single" w:sz="4" w:space="0" w:color="auto"/>
              <w:left w:val="nil"/>
              <w:bottom w:val="single" w:sz="4" w:space="0" w:color="auto"/>
              <w:right w:val="single" w:sz="4" w:space="0" w:color="000000"/>
            </w:tcBorders>
            <w:shd w:val="clear" w:color="000000" w:fill="F2F2F2"/>
            <w:vAlign w:val="center"/>
            <w:hideMark/>
          </w:tcPr>
          <w:p w14:paraId="02349639"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4</w:t>
            </w:r>
          </w:p>
        </w:tc>
        <w:tc>
          <w:tcPr>
            <w:tcW w:w="1843" w:type="dxa"/>
            <w:tcBorders>
              <w:top w:val="single" w:sz="4" w:space="0" w:color="auto"/>
              <w:left w:val="nil"/>
              <w:bottom w:val="single" w:sz="4" w:space="0" w:color="auto"/>
              <w:right w:val="single" w:sz="4" w:space="0" w:color="000000"/>
            </w:tcBorders>
            <w:shd w:val="clear" w:color="000000" w:fill="F2F2F2"/>
            <w:noWrap/>
            <w:vAlign w:val="bottom"/>
            <w:hideMark/>
          </w:tcPr>
          <w:p w14:paraId="3673AA20"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5</w:t>
            </w:r>
          </w:p>
        </w:tc>
      </w:tr>
      <w:tr w:rsidR="0060234A" w:rsidRPr="0060234A" w14:paraId="4FE19012" w14:textId="77777777" w:rsidTr="0060234A">
        <w:trPr>
          <w:trHeight w:val="240"/>
        </w:trPr>
        <w:tc>
          <w:tcPr>
            <w:tcW w:w="862" w:type="dxa"/>
            <w:vMerge w:val="restart"/>
            <w:tcBorders>
              <w:top w:val="nil"/>
              <w:left w:val="single" w:sz="4" w:space="0" w:color="auto"/>
              <w:bottom w:val="single" w:sz="4" w:space="0" w:color="auto"/>
              <w:right w:val="single" w:sz="4" w:space="0" w:color="auto"/>
            </w:tcBorders>
            <w:shd w:val="clear" w:color="000000" w:fill="F2F2F2"/>
            <w:vAlign w:val="center"/>
            <w:hideMark/>
          </w:tcPr>
          <w:p w14:paraId="0A696822"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w:t>
            </w:r>
          </w:p>
        </w:tc>
        <w:tc>
          <w:tcPr>
            <w:tcW w:w="5518" w:type="dxa"/>
            <w:tcBorders>
              <w:top w:val="single" w:sz="4" w:space="0" w:color="auto"/>
              <w:left w:val="nil"/>
              <w:bottom w:val="nil"/>
              <w:right w:val="single" w:sz="4" w:space="0" w:color="000000"/>
            </w:tcBorders>
            <w:shd w:val="clear" w:color="000000" w:fill="F2F2F2"/>
            <w:vAlign w:val="center"/>
            <w:hideMark/>
          </w:tcPr>
          <w:p w14:paraId="08CC97F4" w14:textId="77777777" w:rsidR="0060234A" w:rsidRPr="0060234A" w:rsidRDefault="0060234A" w:rsidP="0060234A">
            <w:pPr>
              <w:ind w:left="0" w:right="0" w:firstLine="0"/>
              <w:jc w:val="left"/>
              <w:rPr>
                <w:rFonts w:ascii="Calibri" w:hAnsi="Calibri" w:cs="Calibri"/>
                <w:b/>
                <w:bCs/>
                <w:i/>
                <w:iCs/>
                <w:color w:val="000000"/>
                <w:sz w:val="18"/>
                <w:szCs w:val="18"/>
                <w:lang w:val="sr-Latn-RS" w:eastAsia="sr-Latn-RS"/>
              </w:rPr>
            </w:pPr>
            <w:r w:rsidRPr="0060234A">
              <w:rPr>
                <w:rFonts w:ascii="Calibri" w:hAnsi="Calibri" w:cs="Calibri"/>
                <w:b/>
                <w:bCs/>
                <w:i/>
                <w:iCs/>
                <w:color w:val="000000"/>
                <w:sz w:val="18"/>
                <w:szCs w:val="18"/>
                <w:lang w:val="sr-Latn-RS" w:eastAsia="sr-Latn-RS"/>
              </w:rPr>
              <w:t>ПАСИВА</w:t>
            </w:r>
          </w:p>
        </w:tc>
        <w:tc>
          <w:tcPr>
            <w:tcW w:w="919" w:type="dxa"/>
            <w:vMerge w:val="restart"/>
            <w:tcBorders>
              <w:top w:val="nil"/>
              <w:left w:val="single" w:sz="4" w:space="0" w:color="auto"/>
              <w:bottom w:val="single" w:sz="4" w:space="0" w:color="auto"/>
              <w:right w:val="single" w:sz="4" w:space="0" w:color="auto"/>
            </w:tcBorders>
            <w:shd w:val="clear" w:color="000000" w:fill="F2F2F2"/>
            <w:vAlign w:val="center"/>
            <w:hideMark/>
          </w:tcPr>
          <w:p w14:paraId="2BEE1693"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101</w:t>
            </w:r>
          </w:p>
        </w:tc>
        <w:tc>
          <w:tcPr>
            <w:tcW w:w="1901" w:type="dxa"/>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67E4E250"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12.225.447</w:t>
            </w:r>
          </w:p>
        </w:tc>
        <w:tc>
          <w:tcPr>
            <w:tcW w:w="1843" w:type="dxa"/>
            <w:vMerge w:val="restart"/>
            <w:tcBorders>
              <w:top w:val="single" w:sz="4" w:space="0" w:color="auto"/>
              <w:left w:val="single" w:sz="4" w:space="0" w:color="auto"/>
              <w:bottom w:val="single" w:sz="4" w:space="0" w:color="000000"/>
              <w:right w:val="single" w:sz="4" w:space="0" w:color="000000"/>
            </w:tcBorders>
            <w:shd w:val="clear" w:color="000000" w:fill="F2F2F2"/>
            <w:noWrap/>
            <w:vAlign w:val="center"/>
            <w:hideMark/>
          </w:tcPr>
          <w:p w14:paraId="52CAF9E4"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10.636.102</w:t>
            </w:r>
          </w:p>
        </w:tc>
      </w:tr>
      <w:tr w:rsidR="0060234A" w:rsidRPr="0060234A" w14:paraId="550CB204" w14:textId="77777777" w:rsidTr="0060234A">
        <w:trPr>
          <w:trHeight w:val="240"/>
        </w:trPr>
        <w:tc>
          <w:tcPr>
            <w:tcW w:w="862" w:type="dxa"/>
            <w:vMerge/>
            <w:tcBorders>
              <w:top w:val="nil"/>
              <w:left w:val="single" w:sz="4" w:space="0" w:color="auto"/>
              <w:bottom w:val="single" w:sz="4" w:space="0" w:color="auto"/>
              <w:right w:val="single" w:sz="4" w:space="0" w:color="auto"/>
            </w:tcBorders>
            <w:vAlign w:val="center"/>
            <w:hideMark/>
          </w:tcPr>
          <w:p w14:paraId="1B60E021"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p>
        </w:tc>
        <w:tc>
          <w:tcPr>
            <w:tcW w:w="5518" w:type="dxa"/>
            <w:tcBorders>
              <w:top w:val="nil"/>
              <w:left w:val="nil"/>
              <w:bottom w:val="single" w:sz="4" w:space="0" w:color="auto"/>
              <w:right w:val="single" w:sz="4" w:space="0" w:color="000000"/>
            </w:tcBorders>
            <w:shd w:val="clear" w:color="000000" w:fill="F2F2F2"/>
            <w:vAlign w:val="center"/>
            <w:hideMark/>
          </w:tcPr>
          <w:p w14:paraId="6E830071"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А.   О Б А В Е З Е   И   Р А З Г Р А Н И Ч Е Њ А   (102 + 135)</w:t>
            </w:r>
          </w:p>
        </w:tc>
        <w:tc>
          <w:tcPr>
            <w:tcW w:w="919" w:type="dxa"/>
            <w:vMerge/>
            <w:tcBorders>
              <w:top w:val="nil"/>
              <w:left w:val="single" w:sz="4" w:space="0" w:color="auto"/>
              <w:bottom w:val="single" w:sz="4" w:space="0" w:color="auto"/>
              <w:right w:val="single" w:sz="4" w:space="0" w:color="auto"/>
            </w:tcBorders>
            <w:vAlign w:val="center"/>
            <w:hideMark/>
          </w:tcPr>
          <w:p w14:paraId="32B4E091"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p>
        </w:tc>
        <w:tc>
          <w:tcPr>
            <w:tcW w:w="1901" w:type="dxa"/>
            <w:vMerge/>
            <w:tcBorders>
              <w:top w:val="single" w:sz="4" w:space="0" w:color="auto"/>
              <w:left w:val="single" w:sz="4" w:space="0" w:color="auto"/>
              <w:bottom w:val="single" w:sz="4" w:space="0" w:color="000000"/>
              <w:right w:val="single" w:sz="4" w:space="0" w:color="000000"/>
            </w:tcBorders>
            <w:vAlign w:val="center"/>
            <w:hideMark/>
          </w:tcPr>
          <w:p w14:paraId="6017FBB5"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14:paraId="13203136"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p>
        </w:tc>
      </w:tr>
      <w:tr w:rsidR="0060234A" w:rsidRPr="0060234A" w14:paraId="34251808" w14:textId="77777777" w:rsidTr="0060234A">
        <w:trPr>
          <w:trHeight w:val="48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631635A4"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22</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6614CDE3"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I КРАТКОРОЧНЕ ОБАВЕЗЕ И РАЗГРАНИЧЕЊА (103 + 109 + 112 + 115 + 120 + 125 + 130 + 132)</w:t>
            </w:r>
          </w:p>
        </w:tc>
        <w:tc>
          <w:tcPr>
            <w:tcW w:w="919" w:type="dxa"/>
            <w:tcBorders>
              <w:top w:val="nil"/>
              <w:left w:val="nil"/>
              <w:bottom w:val="single" w:sz="4" w:space="0" w:color="auto"/>
              <w:right w:val="single" w:sz="4" w:space="0" w:color="auto"/>
            </w:tcBorders>
            <w:shd w:val="clear" w:color="auto" w:fill="auto"/>
            <w:vAlign w:val="center"/>
            <w:hideMark/>
          </w:tcPr>
          <w:p w14:paraId="472B5A3A"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102</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653137F6"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5.093.717</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2C3CD0DA"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2.471.650</w:t>
            </w:r>
          </w:p>
        </w:tc>
      </w:tr>
      <w:tr w:rsidR="0060234A" w:rsidRPr="0060234A" w14:paraId="39746C4E"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0E17C6C6"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221</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41314191"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xml:space="preserve">1. </w:t>
            </w:r>
            <w:proofErr w:type="spellStart"/>
            <w:r w:rsidRPr="0060234A">
              <w:rPr>
                <w:rFonts w:ascii="Calibri" w:hAnsi="Calibri" w:cs="Calibri"/>
                <w:b/>
                <w:bCs/>
                <w:color w:val="000000"/>
                <w:sz w:val="18"/>
                <w:szCs w:val="18"/>
                <w:lang w:val="sr-Latn-RS" w:eastAsia="sr-Latn-RS"/>
              </w:rPr>
              <w:t>Краткорочне</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финансијске</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обавезе</w:t>
            </w:r>
            <w:proofErr w:type="spellEnd"/>
            <w:r w:rsidRPr="0060234A">
              <w:rPr>
                <w:rFonts w:ascii="Calibri" w:hAnsi="Calibri" w:cs="Calibri"/>
                <w:b/>
                <w:bCs/>
                <w:color w:val="000000"/>
                <w:sz w:val="18"/>
                <w:szCs w:val="18"/>
                <w:lang w:val="sr-Latn-RS" w:eastAsia="sr-Latn-RS"/>
              </w:rPr>
              <w:t xml:space="preserve"> (104 </w:t>
            </w:r>
            <w:proofErr w:type="spellStart"/>
            <w:r w:rsidRPr="0060234A">
              <w:rPr>
                <w:rFonts w:ascii="Calibri" w:hAnsi="Calibri" w:cs="Calibri"/>
                <w:b/>
                <w:bCs/>
                <w:color w:val="000000"/>
                <w:sz w:val="18"/>
                <w:szCs w:val="18"/>
                <w:lang w:val="sr-Latn-RS" w:eastAsia="sr-Latn-RS"/>
              </w:rPr>
              <w:t>до</w:t>
            </w:r>
            <w:proofErr w:type="spellEnd"/>
            <w:r w:rsidRPr="0060234A">
              <w:rPr>
                <w:rFonts w:ascii="Calibri" w:hAnsi="Calibri" w:cs="Calibri"/>
                <w:b/>
                <w:bCs/>
                <w:color w:val="000000"/>
                <w:sz w:val="18"/>
                <w:szCs w:val="18"/>
                <w:lang w:val="sr-Latn-RS" w:eastAsia="sr-Latn-RS"/>
              </w:rPr>
              <w:t xml:space="preserve"> 108)</w:t>
            </w:r>
          </w:p>
        </w:tc>
        <w:tc>
          <w:tcPr>
            <w:tcW w:w="919" w:type="dxa"/>
            <w:tcBorders>
              <w:top w:val="nil"/>
              <w:left w:val="nil"/>
              <w:bottom w:val="single" w:sz="4" w:space="0" w:color="auto"/>
              <w:right w:val="single" w:sz="4" w:space="0" w:color="auto"/>
            </w:tcBorders>
            <w:shd w:val="clear" w:color="auto" w:fill="auto"/>
            <w:vAlign w:val="center"/>
            <w:hideMark/>
          </w:tcPr>
          <w:p w14:paraId="19AD34E4"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103</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24D2C0CF"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855.998</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443B7E98"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823.536</w:t>
            </w:r>
          </w:p>
        </w:tc>
      </w:tr>
      <w:tr w:rsidR="0060234A" w:rsidRPr="0060234A" w14:paraId="0267B379"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426BB312"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2211</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38C17F00"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а) </w:t>
            </w:r>
            <w:proofErr w:type="spellStart"/>
            <w:r w:rsidRPr="0060234A">
              <w:rPr>
                <w:rFonts w:ascii="Calibri" w:hAnsi="Calibri" w:cs="Calibri"/>
                <w:color w:val="000000"/>
                <w:sz w:val="18"/>
                <w:szCs w:val="18"/>
                <w:lang w:val="sr-Latn-RS" w:eastAsia="sr-Latn-RS"/>
              </w:rPr>
              <w:t>Краткорочне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обавезе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по</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основу</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готовинских</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еквивалената</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7231E516"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104</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7F2E5EC5"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30F6AD6B"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4F9FDA47"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5F5CD503"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2212</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0764CCCE"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б) </w:t>
            </w:r>
            <w:proofErr w:type="spellStart"/>
            <w:r w:rsidRPr="0060234A">
              <w:rPr>
                <w:rFonts w:ascii="Calibri" w:hAnsi="Calibri" w:cs="Calibri"/>
                <w:color w:val="000000"/>
                <w:sz w:val="18"/>
                <w:szCs w:val="18"/>
                <w:lang w:val="sr-Latn-RS" w:eastAsia="sr-Latn-RS"/>
              </w:rPr>
              <w:t>Краткорочне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обавезе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по</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основу</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хартија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од</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вриједности</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4111B6DB"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105</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5FA0B5FD"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3372A139"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749116ED"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4285B613"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2213</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1EA6E067"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в) </w:t>
            </w:r>
            <w:proofErr w:type="spellStart"/>
            <w:r w:rsidRPr="0060234A">
              <w:rPr>
                <w:rFonts w:ascii="Calibri" w:hAnsi="Calibri" w:cs="Calibri"/>
                <w:color w:val="000000"/>
                <w:sz w:val="18"/>
                <w:szCs w:val="18"/>
                <w:lang w:val="sr-Latn-RS" w:eastAsia="sr-Latn-RS"/>
              </w:rPr>
              <w:t>Краткорочне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обавезе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за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финансијске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деривате</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02FB9FAC"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106</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0A292B35"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686B39B1"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6AD66A4C"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7D2978A1"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2214</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3B05C67A"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г) </w:t>
            </w:r>
            <w:proofErr w:type="spellStart"/>
            <w:r w:rsidRPr="0060234A">
              <w:rPr>
                <w:rFonts w:ascii="Calibri" w:hAnsi="Calibri" w:cs="Calibri"/>
                <w:color w:val="000000"/>
                <w:sz w:val="18"/>
                <w:szCs w:val="18"/>
                <w:lang w:val="sr-Latn-RS" w:eastAsia="sr-Latn-RS"/>
              </w:rPr>
              <w:t>Обавезе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по</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краткорочним</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зајмовима</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679C1840"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107</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6A5B3899"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48972E42"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07C8AB6A" w14:textId="77777777" w:rsidTr="0060234A">
        <w:trPr>
          <w:trHeight w:val="48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3EB8DB06"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2215</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54B740EE"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д) </w:t>
            </w:r>
            <w:proofErr w:type="spellStart"/>
            <w:r w:rsidRPr="0060234A">
              <w:rPr>
                <w:rFonts w:ascii="Calibri" w:hAnsi="Calibri" w:cs="Calibri"/>
                <w:color w:val="000000"/>
                <w:sz w:val="18"/>
                <w:szCs w:val="18"/>
                <w:lang w:val="sr-Latn-RS" w:eastAsia="sr-Latn-RS"/>
              </w:rPr>
              <w:t>Обавезе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по</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дугорочним</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зајмовима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који</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доспијевају</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на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наплату</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до</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годину</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дана</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1542DCCE"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108</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411D855B"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855.998</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2491C894"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823.536</w:t>
            </w:r>
          </w:p>
        </w:tc>
      </w:tr>
      <w:tr w:rsidR="0060234A" w:rsidRPr="0060234A" w14:paraId="501715BB" w14:textId="77777777" w:rsidTr="0060234A">
        <w:trPr>
          <w:trHeight w:val="300"/>
        </w:trPr>
        <w:tc>
          <w:tcPr>
            <w:tcW w:w="862" w:type="dxa"/>
            <w:tcBorders>
              <w:top w:val="nil"/>
              <w:left w:val="single" w:sz="4" w:space="0" w:color="auto"/>
              <w:bottom w:val="single" w:sz="4" w:space="0" w:color="auto"/>
              <w:right w:val="single" w:sz="4" w:space="0" w:color="auto"/>
            </w:tcBorders>
            <w:shd w:val="clear" w:color="000000" w:fill="FFFFFF"/>
            <w:vAlign w:val="center"/>
            <w:hideMark/>
          </w:tcPr>
          <w:p w14:paraId="3864A639"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lastRenderedPageBreak/>
              <w:t>222</w:t>
            </w:r>
          </w:p>
        </w:tc>
        <w:tc>
          <w:tcPr>
            <w:tcW w:w="5518" w:type="dxa"/>
            <w:tcBorders>
              <w:top w:val="single" w:sz="4" w:space="0" w:color="auto"/>
              <w:left w:val="nil"/>
              <w:bottom w:val="single" w:sz="4" w:space="0" w:color="auto"/>
              <w:right w:val="single" w:sz="4" w:space="0" w:color="000000"/>
            </w:tcBorders>
            <w:shd w:val="clear" w:color="000000" w:fill="FFFFFF"/>
            <w:vAlign w:val="center"/>
            <w:hideMark/>
          </w:tcPr>
          <w:p w14:paraId="0849B2B3"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xml:space="preserve">2. </w:t>
            </w:r>
            <w:proofErr w:type="spellStart"/>
            <w:r w:rsidRPr="0060234A">
              <w:rPr>
                <w:rFonts w:ascii="Calibri" w:hAnsi="Calibri" w:cs="Calibri"/>
                <w:b/>
                <w:bCs/>
                <w:color w:val="000000"/>
                <w:sz w:val="18"/>
                <w:szCs w:val="18"/>
                <w:lang w:val="sr-Latn-RS" w:eastAsia="sr-Latn-RS"/>
              </w:rPr>
              <w:t>Обавезе</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за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лична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примања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запослених</w:t>
            </w:r>
            <w:proofErr w:type="spellEnd"/>
            <w:r w:rsidRPr="0060234A">
              <w:rPr>
                <w:rFonts w:ascii="Calibri" w:hAnsi="Calibri" w:cs="Calibri"/>
                <w:b/>
                <w:bCs/>
                <w:color w:val="000000"/>
                <w:sz w:val="18"/>
                <w:szCs w:val="18"/>
                <w:lang w:val="sr-Latn-RS" w:eastAsia="sr-Latn-RS"/>
              </w:rPr>
              <w:t xml:space="preserve"> (110 + 111)</w:t>
            </w:r>
          </w:p>
        </w:tc>
        <w:tc>
          <w:tcPr>
            <w:tcW w:w="919" w:type="dxa"/>
            <w:tcBorders>
              <w:top w:val="nil"/>
              <w:left w:val="nil"/>
              <w:bottom w:val="single" w:sz="4" w:space="0" w:color="auto"/>
              <w:right w:val="single" w:sz="4" w:space="0" w:color="auto"/>
            </w:tcBorders>
            <w:shd w:val="clear" w:color="auto" w:fill="auto"/>
            <w:vAlign w:val="center"/>
            <w:hideMark/>
          </w:tcPr>
          <w:p w14:paraId="0E593647"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109</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0F83EC95"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405.458</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5317B8BD"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371.860</w:t>
            </w:r>
          </w:p>
        </w:tc>
      </w:tr>
      <w:tr w:rsidR="0060234A" w:rsidRPr="0060234A" w14:paraId="1CDF1C46"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20A9966E"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2221</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24FCB83A"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а) </w:t>
            </w:r>
            <w:proofErr w:type="spellStart"/>
            <w:r w:rsidRPr="0060234A">
              <w:rPr>
                <w:rFonts w:ascii="Calibri" w:hAnsi="Calibri" w:cs="Calibri"/>
                <w:color w:val="000000"/>
                <w:sz w:val="18"/>
                <w:szCs w:val="18"/>
                <w:lang w:val="sr-Latn-RS" w:eastAsia="sr-Latn-RS"/>
              </w:rPr>
              <w:t>Обавезе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за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бруто</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плате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запослених</w:t>
            </w:r>
            <w:proofErr w:type="spellEnd"/>
            <w:r w:rsidRPr="0060234A">
              <w:rPr>
                <w:rFonts w:ascii="Calibri" w:hAnsi="Calibri" w:cs="Calibri"/>
                <w:color w:val="000000"/>
                <w:sz w:val="18"/>
                <w:szCs w:val="18"/>
                <w:lang w:val="sr-Latn-RS" w:eastAsia="sr-Latn-RS"/>
              </w:rPr>
              <w:t xml:space="preserve"> и </w:t>
            </w:r>
            <w:proofErr w:type="spellStart"/>
            <w:r w:rsidRPr="0060234A">
              <w:rPr>
                <w:rFonts w:ascii="Calibri" w:hAnsi="Calibri" w:cs="Calibri"/>
                <w:color w:val="000000"/>
                <w:sz w:val="18"/>
                <w:szCs w:val="18"/>
                <w:lang w:val="sr-Latn-RS" w:eastAsia="sr-Latn-RS"/>
              </w:rPr>
              <w:t>бруто</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накнаде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плата</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0E3460BD"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110</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0A6FFA12"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322.665</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04D93BFD"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290.182</w:t>
            </w:r>
          </w:p>
        </w:tc>
      </w:tr>
      <w:tr w:rsidR="0060234A" w:rsidRPr="0060234A" w14:paraId="7849CECE" w14:textId="77777777" w:rsidTr="00CC5EF1">
        <w:trPr>
          <w:trHeight w:val="49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364C6838"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2222</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2C470E6D"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б) </w:t>
            </w:r>
            <w:proofErr w:type="spellStart"/>
            <w:r w:rsidRPr="0060234A">
              <w:rPr>
                <w:rFonts w:ascii="Calibri" w:hAnsi="Calibri" w:cs="Calibri"/>
                <w:color w:val="000000"/>
                <w:sz w:val="18"/>
                <w:szCs w:val="18"/>
                <w:lang w:val="sr-Latn-RS" w:eastAsia="sr-Latn-RS"/>
              </w:rPr>
              <w:t>Обавезе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за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бруто</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накнаде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трошкова</w:t>
            </w:r>
            <w:proofErr w:type="spellEnd"/>
            <w:r w:rsidRPr="0060234A">
              <w:rPr>
                <w:rFonts w:ascii="Calibri" w:hAnsi="Calibri" w:cs="Calibri"/>
                <w:color w:val="000000"/>
                <w:sz w:val="18"/>
                <w:szCs w:val="18"/>
                <w:lang w:val="sr-Latn-RS" w:eastAsia="sr-Latn-RS"/>
              </w:rPr>
              <w:t xml:space="preserve"> и </w:t>
            </w:r>
            <w:proofErr w:type="spellStart"/>
            <w:r w:rsidRPr="0060234A">
              <w:rPr>
                <w:rFonts w:ascii="Calibri" w:hAnsi="Calibri" w:cs="Calibri"/>
                <w:color w:val="000000"/>
                <w:sz w:val="18"/>
                <w:szCs w:val="18"/>
                <w:lang w:val="sr-Latn-RS" w:eastAsia="sr-Latn-RS"/>
              </w:rPr>
              <w:t>осталих</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личних</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примања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запослених</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по</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основу</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рада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отпремнина</w:t>
            </w:r>
            <w:proofErr w:type="spellEnd"/>
            <w:r w:rsidRPr="0060234A">
              <w:rPr>
                <w:rFonts w:ascii="Calibri" w:hAnsi="Calibri" w:cs="Calibri"/>
                <w:color w:val="000000"/>
                <w:sz w:val="18"/>
                <w:szCs w:val="18"/>
                <w:lang w:val="sr-Latn-RS" w:eastAsia="sr-Latn-RS"/>
              </w:rPr>
              <w:t xml:space="preserve"> и </w:t>
            </w:r>
            <w:proofErr w:type="spellStart"/>
            <w:r w:rsidRPr="0060234A">
              <w:rPr>
                <w:rFonts w:ascii="Calibri" w:hAnsi="Calibri" w:cs="Calibri"/>
                <w:color w:val="000000"/>
                <w:sz w:val="18"/>
                <w:szCs w:val="18"/>
                <w:lang w:val="sr-Latn-RS" w:eastAsia="sr-Latn-RS"/>
              </w:rPr>
              <w:t>једнократних</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помоћи</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3D013C85"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111</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737B9ABF"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82.793</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67EC88D2"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81.678</w:t>
            </w:r>
          </w:p>
        </w:tc>
      </w:tr>
      <w:tr w:rsidR="0060234A" w:rsidRPr="0060234A" w14:paraId="1106DED7"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428FB1F7"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223</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1DAB37C2"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xml:space="preserve">3. </w:t>
            </w:r>
            <w:proofErr w:type="spellStart"/>
            <w:r w:rsidRPr="0060234A">
              <w:rPr>
                <w:rFonts w:ascii="Calibri" w:hAnsi="Calibri" w:cs="Calibri"/>
                <w:b/>
                <w:bCs/>
                <w:color w:val="000000"/>
                <w:sz w:val="18"/>
                <w:szCs w:val="18"/>
                <w:lang w:val="sr-Latn-RS" w:eastAsia="sr-Latn-RS"/>
              </w:rPr>
              <w:t>Обавезе</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из</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пословања</w:t>
            </w:r>
            <w:proofErr w:type="spellEnd"/>
            <w:r w:rsidRPr="0060234A">
              <w:rPr>
                <w:rFonts w:ascii="Calibri" w:hAnsi="Calibri" w:cs="Calibri"/>
                <w:b/>
                <w:bCs/>
                <w:color w:val="000000"/>
                <w:sz w:val="18"/>
                <w:szCs w:val="18"/>
                <w:lang w:val="sr-Latn-RS" w:eastAsia="sr-Latn-RS"/>
              </w:rPr>
              <w:t xml:space="preserve"> (113 + 114)</w:t>
            </w:r>
          </w:p>
        </w:tc>
        <w:tc>
          <w:tcPr>
            <w:tcW w:w="919" w:type="dxa"/>
            <w:tcBorders>
              <w:top w:val="nil"/>
              <w:left w:val="nil"/>
              <w:bottom w:val="single" w:sz="4" w:space="0" w:color="auto"/>
              <w:right w:val="single" w:sz="4" w:space="0" w:color="auto"/>
            </w:tcBorders>
            <w:shd w:val="clear" w:color="auto" w:fill="auto"/>
            <w:vAlign w:val="center"/>
            <w:hideMark/>
          </w:tcPr>
          <w:p w14:paraId="4C86DDF3"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112</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6CFD9043"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1.939.021</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56944423"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728.427</w:t>
            </w:r>
          </w:p>
        </w:tc>
      </w:tr>
      <w:tr w:rsidR="0060234A" w:rsidRPr="0060234A" w14:paraId="193D87CE"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4F9F95B4"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2231</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383EEBB0"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а) </w:t>
            </w:r>
            <w:proofErr w:type="spellStart"/>
            <w:r w:rsidRPr="0060234A">
              <w:rPr>
                <w:rFonts w:ascii="Calibri" w:hAnsi="Calibri" w:cs="Calibri"/>
                <w:color w:val="000000"/>
                <w:sz w:val="18"/>
                <w:szCs w:val="18"/>
                <w:lang w:val="sr-Latn-RS" w:eastAsia="sr-Latn-RS"/>
              </w:rPr>
              <w:t>Обавезе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из</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пословања</w:t>
            </w:r>
            <w:proofErr w:type="spellEnd"/>
            <w:r w:rsidRPr="0060234A">
              <w:rPr>
                <w:rFonts w:ascii="Calibri" w:hAnsi="Calibri" w:cs="Calibri"/>
                <w:color w:val="000000"/>
                <w:sz w:val="18"/>
                <w:szCs w:val="18"/>
                <w:lang w:val="sr-Latn-RS" w:eastAsia="sr-Latn-RS"/>
              </w:rPr>
              <w:t xml:space="preserve"> у </w:t>
            </w:r>
            <w:proofErr w:type="spellStart"/>
            <w:r w:rsidRPr="0060234A">
              <w:rPr>
                <w:rFonts w:ascii="Calibri" w:hAnsi="Calibri" w:cs="Calibri"/>
                <w:color w:val="000000"/>
                <w:sz w:val="18"/>
                <w:szCs w:val="18"/>
                <w:lang w:val="sr-Latn-RS" w:eastAsia="sr-Latn-RS"/>
              </w:rPr>
              <w:t>земљи</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60E49BD9"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113</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3D3BB6AA"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1.939.021</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36DB61A3"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728.427</w:t>
            </w:r>
          </w:p>
        </w:tc>
      </w:tr>
      <w:tr w:rsidR="0060234A" w:rsidRPr="0060234A" w14:paraId="6B73D555"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688F984A"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2232</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67D24066"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б) </w:t>
            </w:r>
            <w:proofErr w:type="spellStart"/>
            <w:r w:rsidRPr="0060234A">
              <w:rPr>
                <w:rFonts w:ascii="Calibri" w:hAnsi="Calibri" w:cs="Calibri"/>
                <w:color w:val="000000"/>
                <w:sz w:val="18"/>
                <w:szCs w:val="18"/>
                <w:lang w:val="sr-Latn-RS" w:eastAsia="sr-Latn-RS"/>
              </w:rPr>
              <w:t>Обавезе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из</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пословања</w:t>
            </w:r>
            <w:proofErr w:type="spellEnd"/>
            <w:r w:rsidRPr="0060234A">
              <w:rPr>
                <w:rFonts w:ascii="Calibri" w:hAnsi="Calibri" w:cs="Calibri"/>
                <w:color w:val="000000"/>
                <w:sz w:val="18"/>
                <w:szCs w:val="18"/>
                <w:lang w:val="sr-Latn-RS" w:eastAsia="sr-Latn-RS"/>
              </w:rPr>
              <w:t xml:space="preserve"> у </w:t>
            </w:r>
            <w:proofErr w:type="spellStart"/>
            <w:r w:rsidRPr="0060234A">
              <w:rPr>
                <w:rFonts w:ascii="Calibri" w:hAnsi="Calibri" w:cs="Calibri"/>
                <w:color w:val="000000"/>
                <w:sz w:val="18"/>
                <w:szCs w:val="18"/>
                <w:lang w:val="sr-Latn-RS" w:eastAsia="sr-Latn-RS"/>
              </w:rPr>
              <w:t>иностранству</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07FD6A04"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114</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1FD8D094"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5BC68F49"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4BF92665" w14:textId="77777777" w:rsidTr="0060234A">
        <w:trPr>
          <w:trHeight w:val="48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55CC1AB5"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224</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12298346"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xml:space="preserve">4. </w:t>
            </w:r>
            <w:proofErr w:type="spellStart"/>
            <w:r w:rsidRPr="0060234A">
              <w:rPr>
                <w:rFonts w:ascii="Calibri" w:hAnsi="Calibri" w:cs="Calibri"/>
                <w:b/>
                <w:bCs/>
                <w:color w:val="000000"/>
                <w:sz w:val="18"/>
                <w:szCs w:val="18"/>
                <w:lang w:val="sr-Latn-RS" w:eastAsia="sr-Latn-RS"/>
              </w:rPr>
              <w:t>Обавезе</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за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расходе</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финансирања</w:t>
            </w:r>
            <w:proofErr w:type="spellEnd"/>
            <w:r w:rsidRPr="0060234A">
              <w:rPr>
                <w:rFonts w:ascii="Calibri" w:hAnsi="Calibri" w:cs="Calibri"/>
                <w:b/>
                <w:bCs/>
                <w:color w:val="000000"/>
                <w:sz w:val="18"/>
                <w:szCs w:val="18"/>
                <w:lang w:val="sr-Latn-RS" w:eastAsia="sr-Latn-RS"/>
              </w:rPr>
              <w:t xml:space="preserve"> и </w:t>
            </w:r>
            <w:proofErr w:type="spellStart"/>
            <w:r w:rsidRPr="0060234A">
              <w:rPr>
                <w:rFonts w:ascii="Calibri" w:hAnsi="Calibri" w:cs="Calibri"/>
                <w:b/>
                <w:bCs/>
                <w:color w:val="000000"/>
                <w:sz w:val="18"/>
                <w:szCs w:val="18"/>
                <w:lang w:val="sr-Latn-RS" w:eastAsia="sr-Latn-RS"/>
              </w:rPr>
              <w:t>друге</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финансијске</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трошкове</w:t>
            </w:r>
            <w:proofErr w:type="spellEnd"/>
            <w:r w:rsidRPr="0060234A">
              <w:rPr>
                <w:rFonts w:ascii="Calibri" w:hAnsi="Calibri" w:cs="Calibri"/>
                <w:b/>
                <w:bCs/>
                <w:color w:val="000000"/>
                <w:sz w:val="18"/>
                <w:szCs w:val="18"/>
                <w:lang w:val="sr-Latn-RS" w:eastAsia="sr-Latn-RS"/>
              </w:rPr>
              <w:t xml:space="preserve"> (116 </w:t>
            </w:r>
            <w:proofErr w:type="spellStart"/>
            <w:r w:rsidRPr="0060234A">
              <w:rPr>
                <w:rFonts w:ascii="Calibri" w:hAnsi="Calibri" w:cs="Calibri"/>
                <w:b/>
                <w:bCs/>
                <w:color w:val="000000"/>
                <w:sz w:val="18"/>
                <w:szCs w:val="18"/>
                <w:lang w:val="sr-Latn-RS" w:eastAsia="sr-Latn-RS"/>
              </w:rPr>
              <w:t>до</w:t>
            </w:r>
            <w:proofErr w:type="spellEnd"/>
            <w:r w:rsidRPr="0060234A">
              <w:rPr>
                <w:rFonts w:ascii="Calibri" w:hAnsi="Calibri" w:cs="Calibri"/>
                <w:b/>
                <w:bCs/>
                <w:color w:val="000000"/>
                <w:sz w:val="18"/>
                <w:szCs w:val="18"/>
                <w:lang w:val="sr-Latn-RS" w:eastAsia="sr-Latn-RS"/>
              </w:rPr>
              <w:t xml:space="preserve"> 119)</w:t>
            </w:r>
          </w:p>
        </w:tc>
        <w:tc>
          <w:tcPr>
            <w:tcW w:w="919" w:type="dxa"/>
            <w:tcBorders>
              <w:top w:val="nil"/>
              <w:left w:val="nil"/>
              <w:bottom w:val="single" w:sz="4" w:space="0" w:color="auto"/>
              <w:right w:val="single" w:sz="4" w:space="0" w:color="auto"/>
            </w:tcBorders>
            <w:shd w:val="clear" w:color="auto" w:fill="auto"/>
            <w:vAlign w:val="center"/>
            <w:hideMark/>
          </w:tcPr>
          <w:p w14:paraId="5D9DCF06"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115</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0A1BF4AC"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6D8615A4"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r>
      <w:tr w:rsidR="0060234A" w:rsidRPr="0060234A" w14:paraId="56C9D507"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3042C73C"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2241</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0CE21AC6"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а) </w:t>
            </w:r>
            <w:proofErr w:type="spellStart"/>
            <w:r w:rsidRPr="0060234A">
              <w:rPr>
                <w:rFonts w:ascii="Calibri" w:hAnsi="Calibri" w:cs="Calibri"/>
                <w:color w:val="000000"/>
                <w:sz w:val="18"/>
                <w:szCs w:val="18"/>
                <w:lang w:val="sr-Latn-RS" w:eastAsia="sr-Latn-RS"/>
              </w:rPr>
              <w:t>Обавезе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за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камате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на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хартије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од</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вриједности</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5929C677"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116</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32AFA756"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17B35B7F"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4DFCB70C" w14:textId="77777777" w:rsidTr="0060234A">
        <w:trPr>
          <w:trHeight w:val="48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17FE48BC"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2242</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113909F3"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б) </w:t>
            </w:r>
            <w:proofErr w:type="spellStart"/>
            <w:r w:rsidRPr="0060234A">
              <w:rPr>
                <w:rFonts w:ascii="Calibri" w:hAnsi="Calibri" w:cs="Calibri"/>
                <w:color w:val="000000"/>
                <w:sz w:val="18"/>
                <w:szCs w:val="18"/>
                <w:lang w:val="sr-Latn-RS" w:eastAsia="sr-Latn-RS"/>
              </w:rPr>
              <w:t>Обавезе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за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расходе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финансирања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по</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основу</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финансијских</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деривата</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543F64DA"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117</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1F0CD42B"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4A342859"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1CAB6C65"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73072398"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2243</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73ED6F0F"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в) </w:t>
            </w:r>
            <w:proofErr w:type="spellStart"/>
            <w:r w:rsidRPr="0060234A">
              <w:rPr>
                <w:rFonts w:ascii="Calibri" w:hAnsi="Calibri" w:cs="Calibri"/>
                <w:color w:val="000000"/>
                <w:sz w:val="18"/>
                <w:szCs w:val="18"/>
                <w:lang w:val="sr-Latn-RS" w:eastAsia="sr-Latn-RS"/>
              </w:rPr>
              <w:t>Обавезе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за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камате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по</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зајмовима</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76CA8191"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118</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51D97FE6"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200C8DDF"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63328E8B"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776A23FF"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2249</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3DF3EE84"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г) </w:t>
            </w:r>
            <w:proofErr w:type="spellStart"/>
            <w:r w:rsidRPr="0060234A">
              <w:rPr>
                <w:rFonts w:ascii="Calibri" w:hAnsi="Calibri" w:cs="Calibri"/>
                <w:color w:val="000000"/>
                <w:sz w:val="18"/>
                <w:szCs w:val="18"/>
                <w:lang w:val="sr-Latn-RS" w:eastAsia="sr-Latn-RS"/>
              </w:rPr>
              <w:t>Обавезе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по</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основу</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осталих</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трошкова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финансирања</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5212019D"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119</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17D4BEB3"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57A4AAA0"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19E90E14" w14:textId="77777777" w:rsidTr="0060234A">
        <w:trPr>
          <w:trHeight w:val="48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25936335"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225</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2251B3A2"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xml:space="preserve">5. </w:t>
            </w:r>
            <w:proofErr w:type="spellStart"/>
            <w:r w:rsidRPr="0060234A">
              <w:rPr>
                <w:rFonts w:ascii="Calibri" w:hAnsi="Calibri" w:cs="Calibri"/>
                <w:b/>
                <w:bCs/>
                <w:color w:val="000000"/>
                <w:sz w:val="18"/>
                <w:szCs w:val="18"/>
                <w:lang w:val="sr-Latn-RS" w:eastAsia="sr-Latn-RS"/>
              </w:rPr>
              <w:t>Обавезе</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за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субвенције</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грантове</w:t>
            </w:r>
            <w:proofErr w:type="spellEnd"/>
            <w:r w:rsidRPr="0060234A">
              <w:rPr>
                <w:rFonts w:ascii="Calibri" w:hAnsi="Calibri" w:cs="Calibri"/>
                <w:b/>
                <w:bCs/>
                <w:color w:val="000000"/>
                <w:sz w:val="18"/>
                <w:szCs w:val="18"/>
                <w:lang w:val="sr-Latn-RS" w:eastAsia="sr-Latn-RS"/>
              </w:rPr>
              <w:t xml:space="preserve"> и </w:t>
            </w:r>
            <w:proofErr w:type="spellStart"/>
            <w:r w:rsidRPr="0060234A">
              <w:rPr>
                <w:rFonts w:ascii="Calibri" w:hAnsi="Calibri" w:cs="Calibri"/>
                <w:b/>
                <w:bCs/>
                <w:color w:val="000000"/>
                <w:sz w:val="18"/>
                <w:szCs w:val="18"/>
                <w:lang w:val="sr-Latn-RS" w:eastAsia="sr-Latn-RS"/>
              </w:rPr>
              <w:t>дознаке</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на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име</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социјалне</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заштите</w:t>
            </w:r>
            <w:proofErr w:type="spellEnd"/>
            <w:r w:rsidRPr="0060234A">
              <w:rPr>
                <w:rFonts w:ascii="Calibri" w:hAnsi="Calibri" w:cs="Calibri"/>
                <w:b/>
                <w:bCs/>
                <w:color w:val="000000"/>
                <w:sz w:val="18"/>
                <w:szCs w:val="18"/>
                <w:lang w:val="sr-Latn-RS" w:eastAsia="sr-Latn-RS"/>
              </w:rPr>
              <w:t xml:space="preserve"> (121 </w:t>
            </w:r>
            <w:proofErr w:type="spellStart"/>
            <w:r w:rsidRPr="0060234A">
              <w:rPr>
                <w:rFonts w:ascii="Calibri" w:hAnsi="Calibri" w:cs="Calibri"/>
                <w:b/>
                <w:bCs/>
                <w:color w:val="000000"/>
                <w:sz w:val="18"/>
                <w:szCs w:val="18"/>
                <w:lang w:val="sr-Latn-RS" w:eastAsia="sr-Latn-RS"/>
              </w:rPr>
              <w:t>до</w:t>
            </w:r>
            <w:proofErr w:type="spellEnd"/>
            <w:r w:rsidRPr="0060234A">
              <w:rPr>
                <w:rFonts w:ascii="Calibri" w:hAnsi="Calibri" w:cs="Calibri"/>
                <w:b/>
                <w:bCs/>
                <w:color w:val="000000"/>
                <w:sz w:val="18"/>
                <w:szCs w:val="18"/>
                <w:lang w:val="sr-Latn-RS" w:eastAsia="sr-Latn-RS"/>
              </w:rPr>
              <w:t xml:space="preserve"> 124)</w:t>
            </w:r>
          </w:p>
        </w:tc>
        <w:tc>
          <w:tcPr>
            <w:tcW w:w="919" w:type="dxa"/>
            <w:tcBorders>
              <w:top w:val="nil"/>
              <w:left w:val="nil"/>
              <w:bottom w:val="single" w:sz="4" w:space="0" w:color="auto"/>
              <w:right w:val="single" w:sz="4" w:space="0" w:color="auto"/>
            </w:tcBorders>
            <w:shd w:val="clear" w:color="auto" w:fill="auto"/>
            <w:vAlign w:val="center"/>
            <w:hideMark/>
          </w:tcPr>
          <w:p w14:paraId="33651D5A"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120</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4923D4D2"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476.992</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7EA84EEE"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329.233</w:t>
            </w:r>
          </w:p>
        </w:tc>
      </w:tr>
      <w:tr w:rsidR="0060234A" w:rsidRPr="0060234A" w14:paraId="74BF1A4E"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1CCDD46F"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2251</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1F5B5E86"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а) </w:t>
            </w:r>
            <w:proofErr w:type="spellStart"/>
            <w:r w:rsidRPr="0060234A">
              <w:rPr>
                <w:rFonts w:ascii="Calibri" w:hAnsi="Calibri" w:cs="Calibri"/>
                <w:color w:val="000000"/>
                <w:sz w:val="18"/>
                <w:szCs w:val="18"/>
                <w:lang w:val="sr-Latn-RS" w:eastAsia="sr-Latn-RS"/>
              </w:rPr>
              <w:t>Обавезе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за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субвенције</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0F45F700"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121</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0A2176F2"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53.264</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40DCE161"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15.658</w:t>
            </w:r>
          </w:p>
        </w:tc>
      </w:tr>
      <w:tr w:rsidR="0060234A" w:rsidRPr="0060234A" w14:paraId="785475AC"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62611AE5"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2252</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4251A712"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б) </w:t>
            </w:r>
            <w:proofErr w:type="spellStart"/>
            <w:r w:rsidRPr="0060234A">
              <w:rPr>
                <w:rFonts w:ascii="Calibri" w:hAnsi="Calibri" w:cs="Calibri"/>
                <w:color w:val="000000"/>
                <w:sz w:val="18"/>
                <w:szCs w:val="18"/>
                <w:lang w:val="sr-Latn-RS" w:eastAsia="sr-Latn-RS"/>
              </w:rPr>
              <w:t>Обавезе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за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грантове</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51833C3F"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122</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32AB2D81"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212.409</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6BFD87ED"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129.367</w:t>
            </w:r>
          </w:p>
        </w:tc>
      </w:tr>
      <w:tr w:rsidR="0060234A" w:rsidRPr="0060234A" w14:paraId="50D5DC16" w14:textId="77777777" w:rsidTr="0060234A">
        <w:trPr>
          <w:trHeight w:val="48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5B333AF3"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2253</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576952AB"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в) </w:t>
            </w:r>
            <w:proofErr w:type="spellStart"/>
            <w:r w:rsidRPr="0060234A">
              <w:rPr>
                <w:rFonts w:ascii="Calibri" w:hAnsi="Calibri" w:cs="Calibri"/>
                <w:color w:val="000000"/>
                <w:sz w:val="18"/>
                <w:szCs w:val="18"/>
                <w:lang w:val="sr-Latn-RS" w:eastAsia="sr-Latn-RS"/>
              </w:rPr>
              <w:t>Обавезе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за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дознаке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на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име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социјалне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заштите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које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се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исплаћују</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из</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буџета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Републике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општина</w:t>
            </w:r>
            <w:proofErr w:type="spellEnd"/>
            <w:r w:rsidRPr="0060234A">
              <w:rPr>
                <w:rFonts w:ascii="Calibri" w:hAnsi="Calibri" w:cs="Calibri"/>
                <w:color w:val="000000"/>
                <w:sz w:val="18"/>
                <w:szCs w:val="18"/>
                <w:lang w:val="sr-Latn-RS" w:eastAsia="sr-Latn-RS"/>
              </w:rPr>
              <w:t xml:space="preserve"> и </w:t>
            </w:r>
            <w:proofErr w:type="spellStart"/>
            <w:r w:rsidRPr="0060234A">
              <w:rPr>
                <w:rFonts w:ascii="Calibri" w:hAnsi="Calibri" w:cs="Calibri"/>
                <w:color w:val="000000"/>
                <w:sz w:val="18"/>
                <w:szCs w:val="18"/>
                <w:lang w:val="sr-Latn-RS" w:eastAsia="sr-Latn-RS"/>
              </w:rPr>
              <w:t>градова</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7E955484"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123</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41D84975"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211.319</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2186F0F0"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184.207</w:t>
            </w:r>
          </w:p>
        </w:tc>
      </w:tr>
      <w:tr w:rsidR="0060234A" w:rsidRPr="0060234A" w14:paraId="07418587" w14:textId="77777777" w:rsidTr="0060234A">
        <w:trPr>
          <w:trHeight w:val="48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37691AF9"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2254</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563C9A46"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г) </w:t>
            </w:r>
            <w:proofErr w:type="spellStart"/>
            <w:r w:rsidRPr="0060234A">
              <w:rPr>
                <w:rFonts w:ascii="Calibri" w:hAnsi="Calibri" w:cs="Calibri"/>
                <w:color w:val="000000"/>
                <w:sz w:val="18"/>
                <w:szCs w:val="18"/>
                <w:lang w:val="sr-Latn-RS" w:eastAsia="sr-Latn-RS"/>
              </w:rPr>
              <w:t>Обавезе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за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дознаке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на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име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социјалне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заштите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које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исплаћују</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институције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обавезног</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социјалног</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осигурања</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6DF744C5"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124</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4216357F"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690F33C2"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58B080B0"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77AC3CAB"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227</w:t>
            </w:r>
          </w:p>
        </w:tc>
        <w:tc>
          <w:tcPr>
            <w:tcW w:w="5518" w:type="dxa"/>
            <w:tcBorders>
              <w:top w:val="single" w:sz="4" w:space="0" w:color="auto"/>
              <w:left w:val="nil"/>
              <w:bottom w:val="nil"/>
              <w:right w:val="single" w:sz="4" w:space="0" w:color="000000"/>
            </w:tcBorders>
            <w:shd w:val="clear" w:color="auto" w:fill="auto"/>
            <w:vAlign w:val="center"/>
            <w:hideMark/>
          </w:tcPr>
          <w:p w14:paraId="25A067E8"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xml:space="preserve">6. </w:t>
            </w:r>
            <w:proofErr w:type="spellStart"/>
            <w:r w:rsidRPr="0060234A">
              <w:rPr>
                <w:rFonts w:ascii="Calibri" w:hAnsi="Calibri" w:cs="Calibri"/>
                <w:b/>
                <w:bCs/>
                <w:color w:val="000000"/>
                <w:sz w:val="18"/>
                <w:szCs w:val="18"/>
                <w:lang w:val="sr-Latn-RS" w:eastAsia="sr-Latn-RS"/>
              </w:rPr>
              <w:t>Краткорочна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резервисања</w:t>
            </w:r>
            <w:proofErr w:type="spellEnd"/>
            <w:r w:rsidRPr="0060234A">
              <w:rPr>
                <w:rFonts w:ascii="Calibri" w:hAnsi="Calibri" w:cs="Calibri"/>
                <w:b/>
                <w:bCs/>
                <w:color w:val="000000"/>
                <w:sz w:val="18"/>
                <w:szCs w:val="18"/>
                <w:lang w:val="sr-Latn-RS" w:eastAsia="sr-Latn-RS"/>
              </w:rPr>
              <w:t xml:space="preserve"> и </w:t>
            </w:r>
            <w:proofErr w:type="spellStart"/>
            <w:r w:rsidRPr="0060234A">
              <w:rPr>
                <w:rFonts w:ascii="Calibri" w:hAnsi="Calibri" w:cs="Calibri"/>
                <w:b/>
                <w:bCs/>
                <w:color w:val="000000"/>
                <w:sz w:val="18"/>
                <w:szCs w:val="18"/>
                <w:lang w:val="sr-Latn-RS" w:eastAsia="sr-Latn-RS"/>
              </w:rPr>
              <w:t>разграничења</w:t>
            </w:r>
            <w:proofErr w:type="spellEnd"/>
            <w:r w:rsidRPr="0060234A">
              <w:rPr>
                <w:rFonts w:ascii="Calibri" w:hAnsi="Calibri" w:cs="Calibri"/>
                <w:b/>
                <w:bCs/>
                <w:color w:val="000000"/>
                <w:sz w:val="18"/>
                <w:szCs w:val="18"/>
                <w:lang w:val="sr-Latn-RS" w:eastAsia="sr-Latn-RS"/>
              </w:rPr>
              <w:t xml:space="preserve"> (126 </w:t>
            </w:r>
            <w:proofErr w:type="spellStart"/>
            <w:r w:rsidRPr="0060234A">
              <w:rPr>
                <w:rFonts w:ascii="Calibri" w:hAnsi="Calibri" w:cs="Calibri"/>
                <w:b/>
                <w:bCs/>
                <w:color w:val="000000"/>
                <w:sz w:val="18"/>
                <w:szCs w:val="18"/>
                <w:lang w:val="sr-Latn-RS" w:eastAsia="sr-Latn-RS"/>
              </w:rPr>
              <w:t>до</w:t>
            </w:r>
            <w:proofErr w:type="spellEnd"/>
            <w:r w:rsidRPr="0060234A">
              <w:rPr>
                <w:rFonts w:ascii="Calibri" w:hAnsi="Calibri" w:cs="Calibri"/>
                <w:b/>
                <w:bCs/>
                <w:color w:val="000000"/>
                <w:sz w:val="18"/>
                <w:szCs w:val="18"/>
                <w:lang w:val="sr-Latn-RS" w:eastAsia="sr-Latn-RS"/>
              </w:rPr>
              <w:t xml:space="preserve"> 129)</w:t>
            </w:r>
          </w:p>
        </w:tc>
        <w:tc>
          <w:tcPr>
            <w:tcW w:w="919" w:type="dxa"/>
            <w:tcBorders>
              <w:top w:val="nil"/>
              <w:left w:val="nil"/>
              <w:bottom w:val="single" w:sz="4" w:space="0" w:color="auto"/>
              <w:right w:val="single" w:sz="4" w:space="0" w:color="auto"/>
            </w:tcBorders>
            <w:shd w:val="clear" w:color="auto" w:fill="auto"/>
            <w:vAlign w:val="center"/>
            <w:hideMark/>
          </w:tcPr>
          <w:p w14:paraId="15BEE575"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125</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5775797E"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1.203.519</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50C2B542"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r>
      <w:tr w:rsidR="0060234A" w:rsidRPr="0060234A" w14:paraId="2FB4FE85"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0645C65E"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2271</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3DD7C33D"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а) </w:t>
            </w:r>
            <w:proofErr w:type="spellStart"/>
            <w:r w:rsidRPr="0060234A">
              <w:rPr>
                <w:rFonts w:ascii="Calibri" w:hAnsi="Calibri" w:cs="Calibri"/>
                <w:color w:val="000000"/>
                <w:sz w:val="18"/>
                <w:szCs w:val="18"/>
                <w:lang w:val="sr-Latn-RS" w:eastAsia="sr-Latn-RS"/>
              </w:rPr>
              <w:t>Краткорочно</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разграничени</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расходи</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1969D2C1"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126</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0BC6F68E"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6AED6127"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314DE53A"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4D94F6C7"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2272</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66CC0E8D"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б) </w:t>
            </w:r>
            <w:proofErr w:type="spellStart"/>
            <w:r w:rsidRPr="0060234A">
              <w:rPr>
                <w:rFonts w:ascii="Calibri" w:hAnsi="Calibri" w:cs="Calibri"/>
                <w:color w:val="000000"/>
                <w:sz w:val="18"/>
                <w:szCs w:val="18"/>
                <w:lang w:val="sr-Latn-RS" w:eastAsia="sr-Latn-RS"/>
              </w:rPr>
              <w:t>Краткорочно</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разграничени</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приходи</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3D572465"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127</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531C031E"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74B07A39"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1FC3C1F6"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145FBA1D"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2273</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3773AE6C"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в) </w:t>
            </w:r>
            <w:proofErr w:type="spellStart"/>
            <w:r w:rsidRPr="0060234A">
              <w:rPr>
                <w:rFonts w:ascii="Calibri" w:hAnsi="Calibri" w:cs="Calibri"/>
                <w:color w:val="000000"/>
                <w:sz w:val="18"/>
                <w:szCs w:val="18"/>
                <w:lang w:val="sr-Latn-RS" w:eastAsia="sr-Latn-RS"/>
              </w:rPr>
              <w:t>Краткорочна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резервисања</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6BF72E70"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128</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04BD6A4A"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1.200.000</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71A34610"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6A8D9D39"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33F4AE72"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2279</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4CD5081B"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г) </w:t>
            </w:r>
            <w:proofErr w:type="spellStart"/>
            <w:r w:rsidRPr="0060234A">
              <w:rPr>
                <w:rFonts w:ascii="Calibri" w:hAnsi="Calibri" w:cs="Calibri"/>
                <w:color w:val="000000"/>
                <w:sz w:val="18"/>
                <w:szCs w:val="18"/>
                <w:lang w:val="sr-Latn-RS" w:eastAsia="sr-Latn-RS"/>
              </w:rPr>
              <w:t>Остала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краткорочна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разграничења</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23A4D298"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129</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052FE272"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3.519</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190EDEFF"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25447000"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55D58393"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228</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7B257F82"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xml:space="preserve">7. </w:t>
            </w:r>
            <w:proofErr w:type="spellStart"/>
            <w:r w:rsidRPr="0060234A">
              <w:rPr>
                <w:rFonts w:ascii="Calibri" w:hAnsi="Calibri" w:cs="Calibri"/>
                <w:b/>
                <w:bCs/>
                <w:color w:val="000000"/>
                <w:sz w:val="18"/>
                <w:szCs w:val="18"/>
                <w:lang w:val="sr-Latn-RS" w:eastAsia="sr-Latn-RS"/>
              </w:rPr>
              <w:t>Остале</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краткорочне</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обавезе</w:t>
            </w:r>
            <w:proofErr w:type="spellEnd"/>
            <w:r w:rsidRPr="0060234A">
              <w:rPr>
                <w:rFonts w:ascii="Calibri" w:hAnsi="Calibri" w:cs="Calibri"/>
                <w:b/>
                <w:bCs/>
                <w:color w:val="000000"/>
                <w:sz w:val="18"/>
                <w:szCs w:val="18"/>
                <w:lang w:val="sr-Latn-RS" w:eastAsia="sr-Latn-RS"/>
              </w:rPr>
              <w:t xml:space="preserve"> (131)</w:t>
            </w:r>
          </w:p>
        </w:tc>
        <w:tc>
          <w:tcPr>
            <w:tcW w:w="919" w:type="dxa"/>
            <w:tcBorders>
              <w:top w:val="nil"/>
              <w:left w:val="nil"/>
              <w:bottom w:val="single" w:sz="4" w:space="0" w:color="auto"/>
              <w:right w:val="single" w:sz="4" w:space="0" w:color="auto"/>
            </w:tcBorders>
            <w:shd w:val="clear" w:color="auto" w:fill="auto"/>
            <w:vAlign w:val="center"/>
            <w:hideMark/>
          </w:tcPr>
          <w:p w14:paraId="689987A6"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130</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64F5DB05"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25.351</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46E0485A"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25.701</w:t>
            </w:r>
          </w:p>
        </w:tc>
      </w:tr>
      <w:tr w:rsidR="0060234A" w:rsidRPr="0060234A" w14:paraId="19C615AA"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4D897888"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2281</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2DE1CCA7"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а) </w:t>
            </w:r>
            <w:proofErr w:type="spellStart"/>
            <w:r w:rsidRPr="0060234A">
              <w:rPr>
                <w:rFonts w:ascii="Calibri" w:hAnsi="Calibri" w:cs="Calibri"/>
                <w:color w:val="000000"/>
                <w:sz w:val="18"/>
                <w:szCs w:val="18"/>
                <w:lang w:val="sr-Latn-RS" w:eastAsia="sr-Latn-RS"/>
              </w:rPr>
              <w:t>Остале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краткорочне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обавезе</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4A74F4F0"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131</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03E585F7"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25.351</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175101FD"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25.701</w:t>
            </w:r>
          </w:p>
        </w:tc>
      </w:tr>
      <w:tr w:rsidR="0060234A" w:rsidRPr="0060234A" w14:paraId="06892424" w14:textId="77777777" w:rsidTr="0060234A">
        <w:trPr>
          <w:trHeight w:val="48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5F39CA8F"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229</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471CCBCE"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xml:space="preserve">8. </w:t>
            </w:r>
            <w:proofErr w:type="spellStart"/>
            <w:r w:rsidRPr="0060234A">
              <w:rPr>
                <w:rFonts w:ascii="Calibri" w:hAnsi="Calibri" w:cs="Calibri"/>
                <w:b/>
                <w:bCs/>
                <w:color w:val="000000"/>
                <w:sz w:val="18"/>
                <w:szCs w:val="18"/>
                <w:lang w:val="sr-Latn-RS" w:eastAsia="sr-Latn-RS"/>
              </w:rPr>
              <w:t>Краткорочне</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обавезе</w:t>
            </w:r>
            <w:proofErr w:type="spellEnd"/>
            <w:r w:rsidRPr="0060234A">
              <w:rPr>
                <w:rFonts w:ascii="Calibri" w:hAnsi="Calibri" w:cs="Calibri"/>
                <w:b/>
                <w:bCs/>
                <w:color w:val="000000"/>
                <w:sz w:val="18"/>
                <w:szCs w:val="18"/>
                <w:lang w:val="sr-Latn-RS" w:eastAsia="sr-Latn-RS"/>
              </w:rPr>
              <w:t xml:space="preserve"> и </w:t>
            </w:r>
            <w:proofErr w:type="spellStart"/>
            <w:r w:rsidRPr="0060234A">
              <w:rPr>
                <w:rFonts w:ascii="Calibri" w:hAnsi="Calibri" w:cs="Calibri"/>
                <w:b/>
                <w:bCs/>
                <w:color w:val="000000"/>
                <w:sz w:val="18"/>
                <w:szCs w:val="18"/>
                <w:lang w:val="sr-Latn-RS" w:eastAsia="sr-Latn-RS"/>
              </w:rPr>
              <w:t>разграничења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из</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трансакција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између</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или</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унутар</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јединица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власти</w:t>
            </w:r>
            <w:proofErr w:type="spellEnd"/>
            <w:r w:rsidRPr="0060234A">
              <w:rPr>
                <w:rFonts w:ascii="Calibri" w:hAnsi="Calibri" w:cs="Calibri"/>
                <w:b/>
                <w:bCs/>
                <w:color w:val="000000"/>
                <w:sz w:val="18"/>
                <w:szCs w:val="18"/>
                <w:lang w:val="sr-Latn-RS" w:eastAsia="sr-Latn-RS"/>
              </w:rPr>
              <w:t xml:space="preserve"> (133 + 134)</w:t>
            </w:r>
          </w:p>
        </w:tc>
        <w:tc>
          <w:tcPr>
            <w:tcW w:w="919" w:type="dxa"/>
            <w:tcBorders>
              <w:top w:val="nil"/>
              <w:left w:val="nil"/>
              <w:bottom w:val="single" w:sz="4" w:space="0" w:color="auto"/>
              <w:right w:val="single" w:sz="4" w:space="0" w:color="auto"/>
            </w:tcBorders>
            <w:shd w:val="clear" w:color="auto" w:fill="auto"/>
            <w:vAlign w:val="center"/>
            <w:hideMark/>
          </w:tcPr>
          <w:p w14:paraId="36C38157"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132</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0545C8D7"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187.379</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6136989A"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192.893</w:t>
            </w:r>
          </w:p>
        </w:tc>
      </w:tr>
      <w:tr w:rsidR="0060234A" w:rsidRPr="0060234A" w14:paraId="778F8579" w14:textId="77777777" w:rsidTr="0060234A">
        <w:trPr>
          <w:trHeight w:val="48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563C2489"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2297</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5C528318"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а) </w:t>
            </w:r>
            <w:proofErr w:type="spellStart"/>
            <w:r w:rsidRPr="0060234A">
              <w:rPr>
                <w:rFonts w:ascii="Calibri" w:hAnsi="Calibri" w:cs="Calibri"/>
                <w:color w:val="000000"/>
                <w:sz w:val="18"/>
                <w:szCs w:val="18"/>
                <w:lang w:val="sr-Latn-RS" w:eastAsia="sr-Latn-RS"/>
              </w:rPr>
              <w:t>Краткорочне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обавезе</w:t>
            </w:r>
            <w:proofErr w:type="spellEnd"/>
            <w:r w:rsidRPr="0060234A">
              <w:rPr>
                <w:rFonts w:ascii="Calibri" w:hAnsi="Calibri" w:cs="Calibri"/>
                <w:color w:val="000000"/>
                <w:sz w:val="18"/>
                <w:szCs w:val="18"/>
                <w:lang w:val="sr-Latn-RS" w:eastAsia="sr-Latn-RS"/>
              </w:rPr>
              <w:t xml:space="preserve"> и </w:t>
            </w:r>
            <w:proofErr w:type="spellStart"/>
            <w:r w:rsidRPr="0060234A">
              <w:rPr>
                <w:rFonts w:ascii="Calibri" w:hAnsi="Calibri" w:cs="Calibri"/>
                <w:color w:val="000000"/>
                <w:sz w:val="18"/>
                <w:szCs w:val="18"/>
                <w:lang w:val="sr-Latn-RS" w:eastAsia="sr-Latn-RS"/>
              </w:rPr>
              <w:t>разграничења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из</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трансакција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са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другим</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јединицама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власти</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647C1C10"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133</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084D84AE"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187.379</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20E7CC26"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192.893</w:t>
            </w:r>
          </w:p>
        </w:tc>
      </w:tr>
      <w:tr w:rsidR="0060234A" w:rsidRPr="0060234A" w14:paraId="7617BF88" w14:textId="77777777" w:rsidTr="0060234A">
        <w:trPr>
          <w:trHeight w:val="48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58007196"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2298</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2412606F"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б) </w:t>
            </w:r>
            <w:proofErr w:type="spellStart"/>
            <w:r w:rsidRPr="0060234A">
              <w:rPr>
                <w:rFonts w:ascii="Calibri" w:hAnsi="Calibri" w:cs="Calibri"/>
                <w:color w:val="000000"/>
                <w:sz w:val="18"/>
                <w:szCs w:val="18"/>
                <w:lang w:val="sr-Latn-RS" w:eastAsia="sr-Latn-RS"/>
              </w:rPr>
              <w:t>Краткорочне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обавезе</w:t>
            </w:r>
            <w:proofErr w:type="spellEnd"/>
            <w:r w:rsidRPr="0060234A">
              <w:rPr>
                <w:rFonts w:ascii="Calibri" w:hAnsi="Calibri" w:cs="Calibri"/>
                <w:color w:val="000000"/>
                <w:sz w:val="18"/>
                <w:szCs w:val="18"/>
                <w:lang w:val="sr-Latn-RS" w:eastAsia="sr-Latn-RS"/>
              </w:rPr>
              <w:t xml:space="preserve"> и </w:t>
            </w:r>
            <w:proofErr w:type="spellStart"/>
            <w:r w:rsidRPr="0060234A">
              <w:rPr>
                <w:rFonts w:ascii="Calibri" w:hAnsi="Calibri" w:cs="Calibri"/>
                <w:color w:val="000000"/>
                <w:sz w:val="18"/>
                <w:szCs w:val="18"/>
                <w:lang w:val="sr-Latn-RS" w:eastAsia="sr-Latn-RS"/>
              </w:rPr>
              <w:t>разграничења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из</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трансакција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унутар</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исте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јединице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власти</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700A4D1A"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134</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563CC2EC"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740EC7E6"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23513DEC"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081BC3B7"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21</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2C2FE7F9"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II ДУГОРОЧНЕ ОБАВЕЗЕ И РАЗГРАНИЧЕЊА (136 + 140 + 142 + 144)</w:t>
            </w:r>
          </w:p>
        </w:tc>
        <w:tc>
          <w:tcPr>
            <w:tcW w:w="919" w:type="dxa"/>
            <w:tcBorders>
              <w:top w:val="nil"/>
              <w:left w:val="nil"/>
              <w:bottom w:val="single" w:sz="4" w:space="0" w:color="auto"/>
              <w:right w:val="single" w:sz="4" w:space="0" w:color="auto"/>
            </w:tcBorders>
            <w:shd w:val="clear" w:color="auto" w:fill="auto"/>
            <w:vAlign w:val="center"/>
            <w:hideMark/>
          </w:tcPr>
          <w:p w14:paraId="44E3008A"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135</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53989A1B"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7.131.729</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205CCDD6"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8.164.452</w:t>
            </w:r>
          </w:p>
        </w:tc>
      </w:tr>
      <w:tr w:rsidR="0060234A" w:rsidRPr="0060234A" w14:paraId="2B60EB4D"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7EC13C88"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211</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563C1747"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xml:space="preserve">1. </w:t>
            </w:r>
            <w:proofErr w:type="spellStart"/>
            <w:r w:rsidRPr="0060234A">
              <w:rPr>
                <w:rFonts w:ascii="Calibri" w:hAnsi="Calibri" w:cs="Calibri"/>
                <w:b/>
                <w:bCs/>
                <w:color w:val="000000"/>
                <w:sz w:val="18"/>
                <w:szCs w:val="18"/>
                <w:lang w:val="sr-Latn-RS" w:eastAsia="sr-Latn-RS"/>
              </w:rPr>
              <w:t>Дугорочне</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финансијске</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обавезе</w:t>
            </w:r>
            <w:proofErr w:type="spellEnd"/>
            <w:r w:rsidRPr="0060234A">
              <w:rPr>
                <w:rFonts w:ascii="Calibri" w:hAnsi="Calibri" w:cs="Calibri"/>
                <w:b/>
                <w:bCs/>
                <w:color w:val="000000"/>
                <w:sz w:val="18"/>
                <w:szCs w:val="18"/>
                <w:lang w:val="sr-Latn-RS" w:eastAsia="sr-Latn-RS"/>
              </w:rPr>
              <w:t xml:space="preserve"> (137 </w:t>
            </w:r>
            <w:proofErr w:type="spellStart"/>
            <w:r w:rsidRPr="0060234A">
              <w:rPr>
                <w:rFonts w:ascii="Calibri" w:hAnsi="Calibri" w:cs="Calibri"/>
                <w:b/>
                <w:bCs/>
                <w:color w:val="000000"/>
                <w:sz w:val="18"/>
                <w:szCs w:val="18"/>
                <w:lang w:val="sr-Latn-RS" w:eastAsia="sr-Latn-RS"/>
              </w:rPr>
              <w:t>до</w:t>
            </w:r>
            <w:proofErr w:type="spellEnd"/>
            <w:r w:rsidRPr="0060234A">
              <w:rPr>
                <w:rFonts w:ascii="Calibri" w:hAnsi="Calibri" w:cs="Calibri"/>
                <w:b/>
                <w:bCs/>
                <w:color w:val="000000"/>
                <w:sz w:val="18"/>
                <w:szCs w:val="18"/>
                <w:lang w:val="sr-Latn-RS" w:eastAsia="sr-Latn-RS"/>
              </w:rPr>
              <w:t xml:space="preserve"> 139)</w:t>
            </w:r>
          </w:p>
        </w:tc>
        <w:tc>
          <w:tcPr>
            <w:tcW w:w="919" w:type="dxa"/>
            <w:tcBorders>
              <w:top w:val="nil"/>
              <w:left w:val="nil"/>
              <w:bottom w:val="single" w:sz="4" w:space="0" w:color="auto"/>
              <w:right w:val="single" w:sz="4" w:space="0" w:color="auto"/>
            </w:tcBorders>
            <w:shd w:val="clear" w:color="auto" w:fill="auto"/>
            <w:vAlign w:val="center"/>
            <w:hideMark/>
          </w:tcPr>
          <w:p w14:paraId="5A55F1F5"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136</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2E3024D0"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3.950.682</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08010D1E"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4.806.680</w:t>
            </w:r>
          </w:p>
        </w:tc>
      </w:tr>
      <w:tr w:rsidR="0060234A" w:rsidRPr="0060234A" w14:paraId="770B10AD"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402FB3AD"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2111</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010CD15D"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а) </w:t>
            </w:r>
            <w:proofErr w:type="spellStart"/>
            <w:r w:rsidRPr="0060234A">
              <w:rPr>
                <w:rFonts w:ascii="Calibri" w:hAnsi="Calibri" w:cs="Calibri"/>
                <w:color w:val="000000"/>
                <w:sz w:val="18"/>
                <w:szCs w:val="18"/>
                <w:lang w:val="sr-Latn-RS" w:eastAsia="sr-Latn-RS"/>
              </w:rPr>
              <w:t>Дугорочне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обавезе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по</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основу</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хартија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од</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вриједности</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63C88445"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137</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1E8740B5"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45CA2570"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43206AC3"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7E8BB8A0"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2112</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5136D506"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б) </w:t>
            </w:r>
            <w:proofErr w:type="spellStart"/>
            <w:r w:rsidRPr="0060234A">
              <w:rPr>
                <w:rFonts w:ascii="Calibri" w:hAnsi="Calibri" w:cs="Calibri"/>
                <w:color w:val="000000"/>
                <w:sz w:val="18"/>
                <w:szCs w:val="18"/>
                <w:lang w:val="sr-Latn-RS" w:eastAsia="sr-Latn-RS"/>
              </w:rPr>
              <w:t>Дугорочне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обавезе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за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финансијске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деривате</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3F972D9B"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138</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25BD78C3"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70CEA86E"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390005E1"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4DAC9CC5"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2113</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72071AEA"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в) </w:t>
            </w:r>
            <w:proofErr w:type="spellStart"/>
            <w:r w:rsidRPr="0060234A">
              <w:rPr>
                <w:rFonts w:ascii="Calibri" w:hAnsi="Calibri" w:cs="Calibri"/>
                <w:color w:val="000000"/>
                <w:sz w:val="18"/>
                <w:szCs w:val="18"/>
                <w:lang w:val="sr-Latn-RS" w:eastAsia="sr-Latn-RS"/>
              </w:rPr>
              <w:t>Дугорочне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обавезе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по</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зајмовима</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15A06BB0"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139</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464FE8F9"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3.950.682</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02A96E7B"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4.806.680</w:t>
            </w:r>
          </w:p>
        </w:tc>
      </w:tr>
      <w:tr w:rsidR="0060234A" w:rsidRPr="0060234A" w14:paraId="2CDED4D8"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50EE4E20"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217</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6137F3BF"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xml:space="preserve">2. </w:t>
            </w:r>
            <w:proofErr w:type="spellStart"/>
            <w:r w:rsidRPr="0060234A">
              <w:rPr>
                <w:rFonts w:ascii="Calibri" w:hAnsi="Calibri" w:cs="Calibri"/>
                <w:b/>
                <w:bCs/>
                <w:color w:val="000000"/>
                <w:sz w:val="18"/>
                <w:szCs w:val="18"/>
                <w:lang w:val="sr-Latn-RS" w:eastAsia="sr-Latn-RS"/>
              </w:rPr>
              <w:t>Дугорочна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резервисања</w:t>
            </w:r>
            <w:proofErr w:type="spellEnd"/>
            <w:r w:rsidRPr="0060234A">
              <w:rPr>
                <w:rFonts w:ascii="Calibri" w:hAnsi="Calibri" w:cs="Calibri"/>
                <w:b/>
                <w:bCs/>
                <w:color w:val="000000"/>
                <w:sz w:val="18"/>
                <w:szCs w:val="18"/>
                <w:lang w:val="sr-Latn-RS" w:eastAsia="sr-Latn-RS"/>
              </w:rPr>
              <w:t xml:space="preserve"> и </w:t>
            </w:r>
            <w:proofErr w:type="spellStart"/>
            <w:r w:rsidRPr="0060234A">
              <w:rPr>
                <w:rFonts w:ascii="Calibri" w:hAnsi="Calibri" w:cs="Calibri"/>
                <w:b/>
                <w:bCs/>
                <w:color w:val="000000"/>
                <w:sz w:val="18"/>
                <w:szCs w:val="18"/>
                <w:lang w:val="sr-Latn-RS" w:eastAsia="sr-Latn-RS"/>
              </w:rPr>
              <w:t>разграничења</w:t>
            </w:r>
            <w:proofErr w:type="spellEnd"/>
            <w:r w:rsidRPr="0060234A">
              <w:rPr>
                <w:rFonts w:ascii="Calibri" w:hAnsi="Calibri" w:cs="Calibri"/>
                <w:b/>
                <w:bCs/>
                <w:color w:val="000000"/>
                <w:sz w:val="18"/>
                <w:szCs w:val="18"/>
                <w:lang w:val="sr-Latn-RS" w:eastAsia="sr-Latn-RS"/>
              </w:rPr>
              <w:t xml:space="preserve"> (141)</w:t>
            </w:r>
          </w:p>
        </w:tc>
        <w:tc>
          <w:tcPr>
            <w:tcW w:w="919" w:type="dxa"/>
            <w:tcBorders>
              <w:top w:val="nil"/>
              <w:left w:val="nil"/>
              <w:bottom w:val="single" w:sz="4" w:space="0" w:color="auto"/>
              <w:right w:val="single" w:sz="4" w:space="0" w:color="auto"/>
            </w:tcBorders>
            <w:shd w:val="clear" w:color="auto" w:fill="auto"/>
            <w:vAlign w:val="center"/>
            <w:hideMark/>
          </w:tcPr>
          <w:p w14:paraId="3A8EC339"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140</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11E43D92"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7C1AD809"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r>
      <w:tr w:rsidR="0060234A" w:rsidRPr="0060234A" w14:paraId="00E3346C"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7B983ACE"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2171</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1A14F6F6"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а) </w:t>
            </w:r>
            <w:proofErr w:type="spellStart"/>
            <w:r w:rsidRPr="0060234A">
              <w:rPr>
                <w:rFonts w:ascii="Calibri" w:hAnsi="Calibri" w:cs="Calibri"/>
                <w:color w:val="000000"/>
                <w:sz w:val="18"/>
                <w:szCs w:val="18"/>
                <w:lang w:val="sr-Latn-RS" w:eastAsia="sr-Latn-RS"/>
              </w:rPr>
              <w:t>Дугорочна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резервисања</w:t>
            </w:r>
            <w:proofErr w:type="spellEnd"/>
            <w:r w:rsidRPr="0060234A">
              <w:rPr>
                <w:rFonts w:ascii="Calibri" w:hAnsi="Calibri" w:cs="Calibri"/>
                <w:color w:val="000000"/>
                <w:sz w:val="18"/>
                <w:szCs w:val="18"/>
                <w:lang w:val="sr-Latn-RS" w:eastAsia="sr-Latn-RS"/>
              </w:rPr>
              <w:t xml:space="preserve"> и </w:t>
            </w:r>
            <w:proofErr w:type="spellStart"/>
            <w:r w:rsidRPr="0060234A">
              <w:rPr>
                <w:rFonts w:ascii="Calibri" w:hAnsi="Calibri" w:cs="Calibri"/>
                <w:color w:val="000000"/>
                <w:sz w:val="18"/>
                <w:szCs w:val="18"/>
                <w:lang w:val="sr-Latn-RS" w:eastAsia="sr-Latn-RS"/>
              </w:rPr>
              <w:t>разграничења</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3152F43D"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141</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56709CD4"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393D5499"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74326C55"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275EC79C"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218</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7A1C843C"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xml:space="preserve">3. </w:t>
            </w:r>
            <w:proofErr w:type="spellStart"/>
            <w:r w:rsidRPr="0060234A">
              <w:rPr>
                <w:rFonts w:ascii="Calibri" w:hAnsi="Calibri" w:cs="Calibri"/>
                <w:b/>
                <w:bCs/>
                <w:color w:val="000000"/>
                <w:sz w:val="18"/>
                <w:szCs w:val="18"/>
                <w:lang w:val="sr-Latn-RS" w:eastAsia="sr-Latn-RS"/>
              </w:rPr>
              <w:t>Остале</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дугорочне</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обавезе</w:t>
            </w:r>
            <w:proofErr w:type="spellEnd"/>
            <w:r w:rsidRPr="0060234A">
              <w:rPr>
                <w:rFonts w:ascii="Calibri" w:hAnsi="Calibri" w:cs="Calibri"/>
                <w:b/>
                <w:bCs/>
                <w:color w:val="000000"/>
                <w:sz w:val="18"/>
                <w:szCs w:val="18"/>
                <w:lang w:val="sr-Latn-RS" w:eastAsia="sr-Latn-RS"/>
              </w:rPr>
              <w:t xml:space="preserve"> (143)</w:t>
            </w:r>
          </w:p>
        </w:tc>
        <w:tc>
          <w:tcPr>
            <w:tcW w:w="919" w:type="dxa"/>
            <w:tcBorders>
              <w:top w:val="nil"/>
              <w:left w:val="nil"/>
              <w:bottom w:val="single" w:sz="4" w:space="0" w:color="auto"/>
              <w:right w:val="single" w:sz="4" w:space="0" w:color="auto"/>
            </w:tcBorders>
            <w:shd w:val="clear" w:color="auto" w:fill="auto"/>
            <w:vAlign w:val="center"/>
            <w:hideMark/>
          </w:tcPr>
          <w:p w14:paraId="3309F1F6"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142</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1F944BDA"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172EA9BD"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r>
      <w:tr w:rsidR="0060234A" w:rsidRPr="0060234A" w14:paraId="47889FDF"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4D72ED51"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2181</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4D0720C1"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а) </w:t>
            </w:r>
            <w:proofErr w:type="spellStart"/>
            <w:r w:rsidRPr="0060234A">
              <w:rPr>
                <w:rFonts w:ascii="Calibri" w:hAnsi="Calibri" w:cs="Calibri"/>
                <w:color w:val="000000"/>
                <w:sz w:val="18"/>
                <w:szCs w:val="18"/>
                <w:lang w:val="sr-Latn-RS" w:eastAsia="sr-Latn-RS"/>
              </w:rPr>
              <w:t>Остале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дугорочне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обавезе</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25806E45"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143</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4B1324F5"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387DA751"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73258574" w14:textId="77777777" w:rsidTr="0060234A">
        <w:trPr>
          <w:trHeight w:val="48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5F6A18DC"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lastRenderedPageBreak/>
              <w:t>219</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04488A84"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xml:space="preserve">4. </w:t>
            </w:r>
            <w:proofErr w:type="spellStart"/>
            <w:r w:rsidRPr="0060234A">
              <w:rPr>
                <w:rFonts w:ascii="Calibri" w:hAnsi="Calibri" w:cs="Calibri"/>
                <w:b/>
                <w:bCs/>
                <w:color w:val="000000"/>
                <w:sz w:val="18"/>
                <w:szCs w:val="18"/>
                <w:lang w:val="sr-Latn-RS" w:eastAsia="sr-Latn-RS"/>
              </w:rPr>
              <w:t>Дугорочне</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обавезе</w:t>
            </w:r>
            <w:proofErr w:type="spellEnd"/>
            <w:r w:rsidRPr="0060234A">
              <w:rPr>
                <w:rFonts w:ascii="Calibri" w:hAnsi="Calibri" w:cs="Calibri"/>
                <w:b/>
                <w:bCs/>
                <w:color w:val="000000"/>
                <w:sz w:val="18"/>
                <w:szCs w:val="18"/>
                <w:lang w:val="sr-Latn-RS" w:eastAsia="sr-Latn-RS"/>
              </w:rPr>
              <w:t xml:space="preserve"> и </w:t>
            </w:r>
            <w:proofErr w:type="spellStart"/>
            <w:r w:rsidRPr="0060234A">
              <w:rPr>
                <w:rFonts w:ascii="Calibri" w:hAnsi="Calibri" w:cs="Calibri"/>
                <w:b/>
                <w:bCs/>
                <w:color w:val="000000"/>
                <w:sz w:val="18"/>
                <w:szCs w:val="18"/>
                <w:lang w:val="sr-Latn-RS" w:eastAsia="sr-Latn-RS"/>
              </w:rPr>
              <w:t>разграничења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из</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трансакција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између</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или</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унутар</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јединица</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власти</w:t>
            </w:r>
            <w:proofErr w:type="spellEnd"/>
            <w:r w:rsidRPr="0060234A">
              <w:rPr>
                <w:rFonts w:ascii="Calibri" w:hAnsi="Calibri" w:cs="Calibri"/>
                <w:b/>
                <w:bCs/>
                <w:color w:val="000000"/>
                <w:sz w:val="18"/>
                <w:szCs w:val="18"/>
                <w:lang w:val="sr-Latn-RS" w:eastAsia="sr-Latn-RS"/>
              </w:rPr>
              <w:t xml:space="preserve"> (145 + 146)</w:t>
            </w:r>
          </w:p>
        </w:tc>
        <w:tc>
          <w:tcPr>
            <w:tcW w:w="919" w:type="dxa"/>
            <w:tcBorders>
              <w:top w:val="nil"/>
              <w:left w:val="nil"/>
              <w:bottom w:val="single" w:sz="4" w:space="0" w:color="auto"/>
              <w:right w:val="single" w:sz="4" w:space="0" w:color="auto"/>
            </w:tcBorders>
            <w:shd w:val="clear" w:color="auto" w:fill="auto"/>
            <w:vAlign w:val="center"/>
            <w:hideMark/>
          </w:tcPr>
          <w:p w14:paraId="6DF68E37"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144</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26BAD0E3"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3.181.047</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67EC6682"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3.357.772</w:t>
            </w:r>
          </w:p>
        </w:tc>
      </w:tr>
      <w:tr w:rsidR="0060234A" w:rsidRPr="0060234A" w14:paraId="6BB72C84" w14:textId="77777777" w:rsidTr="0060234A">
        <w:trPr>
          <w:trHeight w:val="49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017DB97E"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2191</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4F41BE1C"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а) </w:t>
            </w:r>
            <w:proofErr w:type="spellStart"/>
            <w:r w:rsidRPr="0060234A">
              <w:rPr>
                <w:rFonts w:ascii="Calibri" w:hAnsi="Calibri" w:cs="Calibri"/>
                <w:color w:val="000000"/>
                <w:sz w:val="18"/>
                <w:szCs w:val="18"/>
                <w:lang w:val="sr-Latn-RS" w:eastAsia="sr-Latn-RS"/>
              </w:rPr>
              <w:t>Дугорочне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обавезе</w:t>
            </w:r>
            <w:proofErr w:type="spellEnd"/>
            <w:r w:rsidRPr="0060234A">
              <w:rPr>
                <w:rFonts w:ascii="Calibri" w:hAnsi="Calibri" w:cs="Calibri"/>
                <w:color w:val="000000"/>
                <w:sz w:val="18"/>
                <w:szCs w:val="18"/>
                <w:lang w:val="sr-Latn-RS" w:eastAsia="sr-Latn-RS"/>
              </w:rPr>
              <w:t xml:space="preserve"> и </w:t>
            </w:r>
            <w:proofErr w:type="spellStart"/>
            <w:r w:rsidRPr="0060234A">
              <w:rPr>
                <w:rFonts w:ascii="Calibri" w:hAnsi="Calibri" w:cs="Calibri"/>
                <w:color w:val="000000"/>
                <w:sz w:val="18"/>
                <w:szCs w:val="18"/>
                <w:lang w:val="sr-Latn-RS" w:eastAsia="sr-Latn-RS"/>
              </w:rPr>
              <w:t>разграничења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из</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трансакција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са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другим</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јединицама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власти</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28271FE0"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145</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7FFEA24C"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3.181.047</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66A53A37"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3.357.772</w:t>
            </w:r>
          </w:p>
        </w:tc>
      </w:tr>
      <w:tr w:rsidR="0060234A" w:rsidRPr="0060234A" w14:paraId="628A2C25" w14:textId="77777777" w:rsidTr="0060234A">
        <w:trPr>
          <w:trHeight w:val="49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6D33AA4E"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2192</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721950F8"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б) </w:t>
            </w:r>
            <w:proofErr w:type="spellStart"/>
            <w:r w:rsidRPr="0060234A">
              <w:rPr>
                <w:rFonts w:ascii="Calibri" w:hAnsi="Calibri" w:cs="Calibri"/>
                <w:color w:val="000000"/>
                <w:sz w:val="18"/>
                <w:szCs w:val="18"/>
                <w:lang w:val="sr-Latn-RS" w:eastAsia="sr-Latn-RS"/>
              </w:rPr>
              <w:t>Дугорочне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обавезе</w:t>
            </w:r>
            <w:proofErr w:type="spellEnd"/>
            <w:r w:rsidRPr="0060234A">
              <w:rPr>
                <w:rFonts w:ascii="Calibri" w:hAnsi="Calibri" w:cs="Calibri"/>
                <w:color w:val="000000"/>
                <w:sz w:val="18"/>
                <w:szCs w:val="18"/>
                <w:lang w:val="sr-Latn-RS" w:eastAsia="sr-Latn-RS"/>
              </w:rPr>
              <w:t xml:space="preserve"> и </w:t>
            </w:r>
            <w:proofErr w:type="spellStart"/>
            <w:r w:rsidRPr="0060234A">
              <w:rPr>
                <w:rFonts w:ascii="Calibri" w:hAnsi="Calibri" w:cs="Calibri"/>
                <w:color w:val="000000"/>
                <w:sz w:val="18"/>
                <w:szCs w:val="18"/>
                <w:lang w:val="sr-Latn-RS" w:eastAsia="sr-Latn-RS"/>
              </w:rPr>
              <w:t>разграничења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из</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трансакција</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унутар</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исте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јединице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власти</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504423D1"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146</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611EEE27"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7AA33737"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637F75DD" w14:textId="77777777" w:rsidTr="0060234A">
        <w:trPr>
          <w:trHeight w:val="315"/>
        </w:trPr>
        <w:tc>
          <w:tcPr>
            <w:tcW w:w="862" w:type="dxa"/>
            <w:tcBorders>
              <w:top w:val="nil"/>
              <w:left w:val="single" w:sz="4" w:space="0" w:color="auto"/>
              <w:bottom w:val="single" w:sz="4" w:space="0" w:color="auto"/>
              <w:right w:val="single" w:sz="4" w:space="0" w:color="auto"/>
            </w:tcBorders>
            <w:shd w:val="clear" w:color="000000" w:fill="F2F2F2"/>
            <w:vAlign w:val="center"/>
            <w:hideMark/>
          </w:tcPr>
          <w:p w14:paraId="69CC6852"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w:t>
            </w:r>
          </w:p>
        </w:tc>
        <w:tc>
          <w:tcPr>
            <w:tcW w:w="5518" w:type="dxa"/>
            <w:tcBorders>
              <w:top w:val="single" w:sz="4" w:space="0" w:color="auto"/>
              <w:left w:val="nil"/>
              <w:bottom w:val="single" w:sz="4" w:space="0" w:color="auto"/>
              <w:right w:val="single" w:sz="4" w:space="0" w:color="000000"/>
            </w:tcBorders>
            <w:shd w:val="clear" w:color="000000" w:fill="F2F2F2"/>
            <w:vAlign w:val="center"/>
            <w:hideMark/>
          </w:tcPr>
          <w:p w14:paraId="61CB0CAB"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xml:space="preserve">Б.   В Л А С Т И Т И   </w:t>
            </w:r>
            <w:proofErr w:type="spellStart"/>
            <w:r w:rsidRPr="0060234A">
              <w:rPr>
                <w:rFonts w:ascii="Calibri" w:hAnsi="Calibri" w:cs="Calibri"/>
                <w:b/>
                <w:bCs/>
                <w:color w:val="000000"/>
                <w:sz w:val="18"/>
                <w:szCs w:val="18"/>
                <w:lang w:val="sr-Latn-RS" w:eastAsia="sr-Latn-RS"/>
              </w:rPr>
              <w:t>И</w:t>
            </w:r>
            <w:proofErr w:type="spellEnd"/>
            <w:r w:rsidRPr="0060234A">
              <w:rPr>
                <w:rFonts w:ascii="Calibri" w:hAnsi="Calibri" w:cs="Calibri"/>
                <w:b/>
                <w:bCs/>
                <w:color w:val="000000"/>
                <w:sz w:val="18"/>
                <w:szCs w:val="18"/>
                <w:lang w:val="sr-Latn-RS" w:eastAsia="sr-Latn-RS"/>
              </w:rPr>
              <w:t xml:space="preserve"> З В О Р И   (148 + 151 + 154)</w:t>
            </w:r>
          </w:p>
        </w:tc>
        <w:tc>
          <w:tcPr>
            <w:tcW w:w="919" w:type="dxa"/>
            <w:tcBorders>
              <w:top w:val="nil"/>
              <w:left w:val="nil"/>
              <w:bottom w:val="single" w:sz="4" w:space="0" w:color="auto"/>
              <w:right w:val="single" w:sz="4" w:space="0" w:color="auto"/>
            </w:tcBorders>
            <w:shd w:val="clear" w:color="000000" w:fill="F2F2F2"/>
            <w:vAlign w:val="center"/>
            <w:hideMark/>
          </w:tcPr>
          <w:p w14:paraId="45B1F821"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147</w:t>
            </w:r>
          </w:p>
        </w:tc>
        <w:tc>
          <w:tcPr>
            <w:tcW w:w="1901" w:type="dxa"/>
            <w:tcBorders>
              <w:top w:val="single" w:sz="4" w:space="0" w:color="auto"/>
              <w:left w:val="nil"/>
              <w:bottom w:val="single" w:sz="4" w:space="0" w:color="auto"/>
              <w:right w:val="single" w:sz="4" w:space="0" w:color="000000"/>
            </w:tcBorders>
            <w:shd w:val="clear" w:color="000000" w:fill="F2F2F2"/>
            <w:vAlign w:val="center"/>
            <w:hideMark/>
          </w:tcPr>
          <w:p w14:paraId="5788D511"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89.169.734</w:t>
            </w:r>
          </w:p>
        </w:tc>
        <w:tc>
          <w:tcPr>
            <w:tcW w:w="1843" w:type="dxa"/>
            <w:tcBorders>
              <w:top w:val="single" w:sz="4" w:space="0" w:color="auto"/>
              <w:left w:val="nil"/>
              <w:bottom w:val="single" w:sz="4" w:space="0" w:color="auto"/>
              <w:right w:val="single" w:sz="4" w:space="0" w:color="000000"/>
            </w:tcBorders>
            <w:shd w:val="clear" w:color="000000" w:fill="F2F2F2"/>
            <w:noWrap/>
            <w:vAlign w:val="center"/>
            <w:hideMark/>
          </w:tcPr>
          <w:p w14:paraId="3762C72A"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87.188.248</w:t>
            </w:r>
          </w:p>
        </w:tc>
      </w:tr>
      <w:tr w:rsidR="0060234A" w:rsidRPr="0060234A" w14:paraId="1C941695" w14:textId="77777777" w:rsidTr="0060234A">
        <w:trPr>
          <w:trHeight w:val="315"/>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2BD996CC"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31</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557ADF15"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xml:space="preserve">I ТРАЈНИ ИЗВОРИ СРЕДСТАВА (149) </w:t>
            </w:r>
          </w:p>
        </w:tc>
        <w:tc>
          <w:tcPr>
            <w:tcW w:w="919" w:type="dxa"/>
            <w:tcBorders>
              <w:top w:val="nil"/>
              <w:left w:val="nil"/>
              <w:bottom w:val="single" w:sz="4" w:space="0" w:color="auto"/>
              <w:right w:val="single" w:sz="4" w:space="0" w:color="auto"/>
            </w:tcBorders>
            <w:shd w:val="clear" w:color="auto" w:fill="auto"/>
            <w:vAlign w:val="center"/>
            <w:hideMark/>
          </w:tcPr>
          <w:p w14:paraId="65CD13B3"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148</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0779A986"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18.696.499</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616937F2"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15.743.937</w:t>
            </w:r>
          </w:p>
        </w:tc>
      </w:tr>
      <w:tr w:rsidR="0060234A" w:rsidRPr="0060234A" w14:paraId="01517E9E"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78331988"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311</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5B677A94"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xml:space="preserve">1. </w:t>
            </w:r>
            <w:proofErr w:type="spellStart"/>
            <w:r w:rsidRPr="0060234A">
              <w:rPr>
                <w:rFonts w:ascii="Calibri" w:hAnsi="Calibri" w:cs="Calibri"/>
                <w:b/>
                <w:bCs/>
                <w:color w:val="000000"/>
                <w:sz w:val="18"/>
                <w:szCs w:val="18"/>
                <w:lang w:val="sr-Latn-RS" w:eastAsia="sr-Latn-RS"/>
              </w:rPr>
              <w:t>Трајни</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извори</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средстава</w:t>
            </w:r>
            <w:proofErr w:type="spellEnd"/>
            <w:r w:rsidRPr="0060234A">
              <w:rPr>
                <w:rFonts w:ascii="Calibri" w:hAnsi="Calibri" w:cs="Calibri"/>
                <w:b/>
                <w:bCs/>
                <w:color w:val="000000"/>
                <w:sz w:val="18"/>
                <w:szCs w:val="18"/>
                <w:lang w:val="sr-Latn-RS" w:eastAsia="sr-Latn-RS"/>
              </w:rPr>
              <w:t xml:space="preserve"> (150)</w:t>
            </w:r>
          </w:p>
        </w:tc>
        <w:tc>
          <w:tcPr>
            <w:tcW w:w="919" w:type="dxa"/>
            <w:tcBorders>
              <w:top w:val="nil"/>
              <w:left w:val="nil"/>
              <w:bottom w:val="single" w:sz="4" w:space="0" w:color="auto"/>
              <w:right w:val="single" w:sz="4" w:space="0" w:color="auto"/>
            </w:tcBorders>
            <w:shd w:val="clear" w:color="auto" w:fill="auto"/>
            <w:vAlign w:val="center"/>
            <w:hideMark/>
          </w:tcPr>
          <w:p w14:paraId="2BD6697E"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149</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5B99C590"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18.696.499</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353D0765"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15.743.937</w:t>
            </w:r>
          </w:p>
        </w:tc>
      </w:tr>
      <w:tr w:rsidR="0060234A" w:rsidRPr="0060234A" w14:paraId="582C894F"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2E732D78"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3111</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13A425AC"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a) </w:t>
            </w:r>
            <w:proofErr w:type="spellStart"/>
            <w:r w:rsidRPr="0060234A">
              <w:rPr>
                <w:rFonts w:ascii="Calibri" w:hAnsi="Calibri" w:cs="Calibri"/>
                <w:color w:val="000000"/>
                <w:sz w:val="18"/>
                <w:szCs w:val="18"/>
                <w:lang w:val="sr-Latn-RS" w:eastAsia="sr-Latn-RS"/>
              </w:rPr>
              <w:t>Трајни</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извори</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средстава</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1B45E4A2"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150</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6360CBF7"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18.696.499</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137DB244"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15.743.937</w:t>
            </w:r>
          </w:p>
        </w:tc>
      </w:tr>
      <w:tr w:rsidR="0060234A" w:rsidRPr="0060234A" w14:paraId="2F99EA97"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3F9C74CA"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32</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70394218"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II РЕЗЕРВЕ (152)</w:t>
            </w:r>
          </w:p>
        </w:tc>
        <w:tc>
          <w:tcPr>
            <w:tcW w:w="919" w:type="dxa"/>
            <w:tcBorders>
              <w:top w:val="nil"/>
              <w:left w:val="nil"/>
              <w:bottom w:val="single" w:sz="4" w:space="0" w:color="auto"/>
              <w:right w:val="single" w:sz="4" w:space="0" w:color="auto"/>
            </w:tcBorders>
            <w:shd w:val="clear" w:color="auto" w:fill="auto"/>
            <w:vAlign w:val="center"/>
            <w:hideMark/>
          </w:tcPr>
          <w:p w14:paraId="5FA99551"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151</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07D23559"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37.432</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2655408B"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r>
      <w:tr w:rsidR="0060234A" w:rsidRPr="0060234A" w14:paraId="3421A6EC"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3EC97161"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321</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510F7DDD"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xml:space="preserve">1. </w:t>
            </w:r>
            <w:proofErr w:type="spellStart"/>
            <w:r w:rsidRPr="0060234A">
              <w:rPr>
                <w:rFonts w:ascii="Calibri" w:hAnsi="Calibri" w:cs="Calibri"/>
                <w:b/>
                <w:bCs/>
                <w:color w:val="000000"/>
                <w:sz w:val="18"/>
                <w:szCs w:val="18"/>
                <w:lang w:val="sr-Latn-RS" w:eastAsia="sr-Latn-RS"/>
              </w:rPr>
              <w:t>Резерве</w:t>
            </w:r>
            <w:proofErr w:type="spellEnd"/>
            <w:r w:rsidRPr="0060234A">
              <w:rPr>
                <w:rFonts w:ascii="Calibri" w:hAnsi="Calibri" w:cs="Calibri"/>
                <w:b/>
                <w:bCs/>
                <w:color w:val="000000"/>
                <w:sz w:val="18"/>
                <w:szCs w:val="18"/>
                <w:lang w:val="sr-Latn-RS" w:eastAsia="sr-Latn-RS"/>
              </w:rPr>
              <w:t xml:space="preserve"> (153) </w:t>
            </w:r>
          </w:p>
        </w:tc>
        <w:tc>
          <w:tcPr>
            <w:tcW w:w="919" w:type="dxa"/>
            <w:tcBorders>
              <w:top w:val="nil"/>
              <w:left w:val="nil"/>
              <w:bottom w:val="single" w:sz="4" w:space="0" w:color="auto"/>
              <w:right w:val="single" w:sz="4" w:space="0" w:color="auto"/>
            </w:tcBorders>
            <w:shd w:val="clear" w:color="auto" w:fill="auto"/>
            <w:vAlign w:val="center"/>
            <w:hideMark/>
          </w:tcPr>
          <w:p w14:paraId="5A5C6924"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152</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263A6C76"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37.432</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2A5FB14D"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0</w:t>
            </w:r>
          </w:p>
        </w:tc>
      </w:tr>
      <w:tr w:rsidR="0060234A" w:rsidRPr="0060234A" w14:paraId="4826180A"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0A0D7E4F"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3211</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42B3569E"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a) </w:t>
            </w:r>
            <w:proofErr w:type="spellStart"/>
            <w:r w:rsidRPr="0060234A">
              <w:rPr>
                <w:rFonts w:ascii="Calibri" w:hAnsi="Calibri" w:cs="Calibri"/>
                <w:color w:val="000000"/>
                <w:sz w:val="18"/>
                <w:szCs w:val="18"/>
                <w:lang w:val="sr-Latn-RS" w:eastAsia="sr-Latn-RS"/>
              </w:rPr>
              <w:t>Резерве</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750ED4E5"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153</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550A4BCD"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37.432</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070AE5FF"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0</w:t>
            </w:r>
          </w:p>
        </w:tc>
      </w:tr>
      <w:tr w:rsidR="0060234A" w:rsidRPr="0060234A" w14:paraId="295177D2"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78751E82"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33</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40204A20"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III ФИНАНСИЈСКИ РЕЗУЛТАТ (155)</w:t>
            </w:r>
          </w:p>
        </w:tc>
        <w:tc>
          <w:tcPr>
            <w:tcW w:w="919" w:type="dxa"/>
            <w:tcBorders>
              <w:top w:val="nil"/>
              <w:left w:val="nil"/>
              <w:bottom w:val="single" w:sz="4" w:space="0" w:color="auto"/>
              <w:right w:val="single" w:sz="4" w:space="0" w:color="auto"/>
            </w:tcBorders>
            <w:shd w:val="clear" w:color="auto" w:fill="auto"/>
            <w:vAlign w:val="center"/>
            <w:hideMark/>
          </w:tcPr>
          <w:p w14:paraId="31C892DB"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154</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76B69E3E"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70.435.803</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56E1A3B0"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71.444.311</w:t>
            </w:r>
          </w:p>
        </w:tc>
      </w:tr>
      <w:tr w:rsidR="0060234A" w:rsidRPr="0060234A" w14:paraId="19F71DFB"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356E87CF"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331</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6C5CE5D7"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xml:space="preserve">1. </w:t>
            </w:r>
            <w:proofErr w:type="spellStart"/>
            <w:r w:rsidRPr="0060234A">
              <w:rPr>
                <w:rFonts w:ascii="Calibri" w:hAnsi="Calibri" w:cs="Calibri"/>
                <w:b/>
                <w:bCs/>
                <w:color w:val="000000"/>
                <w:sz w:val="18"/>
                <w:szCs w:val="18"/>
                <w:lang w:val="sr-Latn-RS" w:eastAsia="sr-Latn-RS"/>
              </w:rPr>
              <w:t>Финансијски</w:t>
            </w:r>
            <w:proofErr w:type="spellEnd"/>
            <w:r w:rsidRPr="0060234A">
              <w:rPr>
                <w:rFonts w:ascii="Calibri" w:hAnsi="Calibri" w:cs="Calibri"/>
                <w:b/>
                <w:bCs/>
                <w:color w:val="000000"/>
                <w:sz w:val="18"/>
                <w:szCs w:val="18"/>
                <w:lang w:val="sr-Latn-RS" w:eastAsia="sr-Latn-RS"/>
              </w:rPr>
              <w:t xml:space="preserve"> </w:t>
            </w:r>
            <w:proofErr w:type="spellStart"/>
            <w:r w:rsidRPr="0060234A">
              <w:rPr>
                <w:rFonts w:ascii="Calibri" w:hAnsi="Calibri" w:cs="Calibri"/>
                <w:b/>
                <w:bCs/>
                <w:color w:val="000000"/>
                <w:sz w:val="18"/>
                <w:szCs w:val="18"/>
                <w:lang w:val="sr-Latn-RS" w:eastAsia="sr-Latn-RS"/>
              </w:rPr>
              <w:t>резултат</w:t>
            </w:r>
            <w:proofErr w:type="spellEnd"/>
            <w:r w:rsidRPr="0060234A">
              <w:rPr>
                <w:rFonts w:ascii="Calibri" w:hAnsi="Calibri" w:cs="Calibri"/>
                <w:b/>
                <w:bCs/>
                <w:color w:val="000000"/>
                <w:sz w:val="18"/>
                <w:szCs w:val="18"/>
                <w:lang w:val="sr-Latn-RS" w:eastAsia="sr-Latn-RS"/>
              </w:rPr>
              <w:t xml:space="preserve"> (156 + 157)</w:t>
            </w:r>
          </w:p>
        </w:tc>
        <w:tc>
          <w:tcPr>
            <w:tcW w:w="919" w:type="dxa"/>
            <w:tcBorders>
              <w:top w:val="nil"/>
              <w:left w:val="nil"/>
              <w:bottom w:val="single" w:sz="4" w:space="0" w:color="auto"/>
              <w:right w:val="single" w:sz="4" w:space="0" w:color="auto"/>
            </w:tcBorders>
            <w:shd w:val="clear" w:color="auto" w:fill="auto"/>
            <w:vAlign w:val="center"/>
            <w:hideMark/>
          </w:tcPr>
          <w:p w14:paraId="42EA5A8C"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155</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33A08700"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70.435.803</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3067D22F"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71.444.311</w:t>
            </w:r>
          </w:p>
        </w:tc>
      </w:tr>
      <w:tr w:rsidR="0060234A" w:rsidRPr="0060234A" w14:paraId="16E1EDF9"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3845F5E8"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3311</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6EF7A94F"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a) </w:t>
            </w:r>
            <w:proofErr w:type="spellStart"/>
            <w:r w:rsidRPr="0060234A">
              <w:rPr>
                <w:rFonts w:ascii="Calibri" w:hAnsi="Calibri" w:cs="Calibri"/>
                <w:color w:val="000000"/>
                <w:sz w:val="18"/>
                <w:szCs w:val="18"/>
                <w:lang w:val="sr-Latn-RS" w:eastAsia="sr-Latn-RS"/>
              </w:rPr>
              <w:t>Финансијски</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резултат</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ранијих</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година</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2E272859"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156</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2F43A07F"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71.441.611</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5070EA86"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70.658.132</w:t>
            </w:r>
          </w:p>
        </w:tc>
      </w:tr>
      <w:tr w:rsidR="0060234A" w:rsidRPr="0060234A" w14:paraId="1A65D87C" w14:textId="77777777" w:rsidTr="0060234A">
        <w:trPr>
          <w:trHeight w:val="30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74733462"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3312</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02AD8605" w14:textId="77777777" w:rsidR="0060234A" w:rsidRPr="0060234A" w:rsidRDefault="0060234A" w:rsidP="0060234A">
            <w:pPr>
              <w:ind w:left="0" w:right="0" w:firstLine="0"/>
              <w:jc w:val="lef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 xml:space="preserve">б) </w:t>
            </w:r>
            <w:proofErr w:type="spellStart"/>
            <w:r w:rsidRPr="0060234A">
              <w:rPr>
                <w:rFonts w:ascii="Calibri" w:hAnsi="Calibri" w:cs="Calibri"/>
                <w:color w:val="000000"/>
                <w:sz w:val="18"/>
                <w:szCs w:val="18"/>
                <w:lang w:val="sr-Latn-RS" w:eastAsia="sr-Latn-RS"/>
              </w:rPr>
              <w:t>Финансијски</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резултат</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текуће</w:t>
            </w:r>
            <w:proofErr w:type="spellEnd"/>
            <w:r w:rsidRPr="0060234A">
              <w:rPr>
                <w:rFonts w:ascii="Calibri" w:hAnsi="Calibri" w:cs="Calibri"/>
                <w:color w:val="000000"/>
                <w:sz w:val="18"/>
                <w:szCs w:val="18"/>
                <w:lang w:val="sr-Latn-RS" w:eastAsia="sr-Latn-RS"/>
              </w:rPr>
              <w:t xml:space="preserve"> </w:t>
            </w:r>
            <w:proofErr w:type="spellStart"/>
            <w:r w:rsidRPr="0060234A">
              <w:rPr>
                <w:rFonts w:ascii="Calibri" w:hAnsi="Calibri" w:cs="Calibri"/>
                <w:color w:val="000000"/>
                <w:sz w:val="18"/>
                <w:szCs w:val="18"/>
                <w:lang w:val="sr-Latn-RS" w:eastAsia="sr-Latn-RS"/>
              </w:rPr>
              <w:t>године</w:t>
            </w:r>
            <w:proofErr w:type="spellEnd"/>
          </w:p>
        </w:tc>
        <w:tc>
          <w:tcPr>
            <w:tcW w:w="919" w:type="dxa"/>
            <w:tcBorders>
              <w:top w:val="nil"/>
              <w:left w:val="nil"/>
              <w:bottom w:val="single" w:sz="4" w:space="0" w:color="auto"/>
              <w:right w:val="single" w:sz="4" w:space="0" w:color="auto"/>
            </w:tcBorders>
            <w:shd w:val="clear" w:color="auto" w:fill="auto"/>
            <w:vAlign w:val="center"/>
            <w:hideMark/>
          </w:tcPr>
          <w:p w14:paraId="55FB2F61" w14:textId="77777777" w:rsidR="0060234A" w:rsidRPr="0060234A" w:rsidRDefault="0060234A" w:rsidP="0060234A">
            <w:pPr>
              <w:ind w:left="0" w:right="0" w:firstLine="0"/>
              <w:jc w:val="center"/>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157</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2055739C"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-1.005.808</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0940EA36" w14:textId="77777777" w:rsidR="0060234A" w:rsidRPr="0060234A" w:rsidRDefault="0060234A" w:rsidP="0060234A">
            <w:pPr>
              <w:ind w:left="0" w:right="0" w:firstLine="0"/>
              <w:jc w:val="right"/>
              <w:rPr>
                <w:rFonts w:ascii="Calibri" w:hAnsi="Calibri" w:cs="Calibri"/>
                <w:color w:val="000000"/>
                <w:sz w:val="18"/>
                <w:szCs w:val="18"/>
                <w:lang w:val="sr-Latn-RS" w:eastAsia="sr-Latn-RS"/>
              </w:rPr>
            </w:pPr>
            <w:r w:rsidRPr="0060234A">
              <w:rPr>
                <w:rFonts w:ascii="Calibri" w:hAnsi="Calibri" w:cs="Calibri"/>
                <w:color w:val="000000"/>
                <w:sz w:val="18"/>
                <w:szCs w:val="18"/>
                <w:lang w:val="sr-Latn-RS" w:eastAsia="sr-Latn-RS"/>
              </w:rPr>
              <w:t>786.179</w:t>
            </w:r>
          </w:p>
        </w:tc>
      </w:tr>
      <w:tr w:rsidR="0060234A" w:rsidRPr="0060234A" w14:paraId="3831BE11" w14:textId="77777777" w:rsidTr="0060234A">
        <w:trPr>
          <w:trHeight w:val="375"/>
        </w:trPr>
        <w:tc>
          <w:tcPr>
            <w:tcW w:w="862" w:type="dxa"/>
            <w:tcBorders>
              <w:top w:val="nil"/>
              <w:left w:val="single" w:sz="4" w:space="0" w:color="auto"/>
              <w:bottom w:val="single" w:sz="4" w:space="0" w:color="auto"/>
              <w:right w:val="single" w:sz="4" w:space="0" w:color="auto"/>
            </w:tcBorders>
            <w:shd w:val="clear" w:color="000000" w:fill="F2F2F2"/>
            <w:vAlign w:val="center"/>
            <w:hideMark/>
          </w:tcPr>
          <w:p w14:paraId="502ECFBB"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w:t>
            </w:r>
          </w:p>
        </w:tc>
        <w:tc>
          <w:tcPr>
            <w:tcW w:w="5518" w:type="dxa"/>
            <w:tcBorders>
              <w:top w:val="nil"/>
              <w:left w:val="nil"/>
              <w:bottom w:val="single" w:sz="4" w:space="0" w:color="auto"/>
              <w:right w:val="single" w:sz="4" w:space="0" w:color="000000"/>
            </w:tcBorders>
            <w:shd w:val="clear" w:color="000000" w:fill="F2F2F2"/>
            <w:vAlign w:val="center"/>
            <w:hideMark/>
          </w:tcPr>
          <w:p w14:paraId="2EE42C1A"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В.   П О С Л О В Н А   П А С И В А   (А + Б)</w:t>
            </w:r>
          </w:p>
        </w:tc>
        <w:tc>
          <w:tcPr>
            <w:tcW w:w="919" w:type="dxa"/>
            <w:tcBorders>
              <w:top w:val="nil"/>
              <w:left w:val="nil"/>
              <w:bottom w:val="single" w:sz="4" w:space="0" w:color="auto"/>
              <w:right w:val="single" w:sz="4" w:space="0" w:color="auto"/>
            </w:tcBorders>
            <w:shd w:val="clear" w:color="000000" w:fill="F2F2F2"/>
            <w:vAlign w:val="center"/>
            <w:hideMark/>
          </w:tcPr>
          <w:p w14:paraId="027C9BE5"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158</w:t>
            </w:r>
          </w:p>
        </w:tc>
        <w:tc>
          <w:tcPr>
            <w:tcW w:w="1901" w:type="dxa"/>
            <w:tcBorders>
              <w:top w:val="single" w:sz="4" w:space="0" w:color="auto"/>
              <w:left w:val="nil"/>
              <w:bottom w:val="single" w:sz="4" w:space="0" w:color="auto"/>
              <w:right w:val="single" w:sz="4" w:space="0" w:color="000000"/>
            </w:tcBorders>
            <w:shd w:val="clear" w:color="000000" w:fill="F2F2F2"/>
            <w:vAlign w:val="center"/>
            <w:hideMark/>
          </w:tcPr>
          <w:p w14:paraId="01754762"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101.395.180</w:t>
            </w:r>
          </w:p>
        </w:tc>
        <w:tc>
          <w:tcPr>
            <w:tcW w:w="1843" w:type="dxa"/>
            <w:tcBorders>
              <w:top w:val="single" w:sz="4" w:space="0" w:color="auto"/>
              <w:left w:val="nil"/>
              <w:bottom w:val="single" w:sz="4" w:space="0" w:color="auto"/>
              <w:right w:val="single" w:sz="4" w:space="0" w:color="000000"/>
            </w:tcBorders>
            <w:shd w:val="clear" w:color="000000" w:fill="F2F2F2"/>
            <w:noWrap/>
            <w:vAlign w:val="center"/>
            <w:hideMark/>
          </w:tcPr>
          <w:p w14:paraId="0B402E02"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97.824.350</w:t>
            </w:r>
          </w:p>
        </w:tc>
      </w:tr>
      <w:tr w:rsidR="0060234A" w:rsidRPr="0060234A" w14:paraId="266B136B" w14:textId="77777777" w:rsidTr="0060234A">
        <w:trPr>
          <w:trHeight w:val="360"/>
        </w:trPr>
        <w:tc>
          <w:tcPr>
            <w:tcW w:w="862" w:type="dxa"/>
            <w:tcBorders>
              <w:top w:val="nil"/>
              <w:left w:val="single" w:sz="4" w:space="0" w:color="auto"/>
              <w:bottom w:val="single" w:sz="4" w:space="0" w:color="auto"/>
              <w:right w:val="single" w:sz="4" w:space="0" w:color="auto"/>
            </w:tcBorders>
            <w:shd w:val="clear" w:color="auto" w:fill="auto"/>
            <w:vAlign w:val="center"/>
            <w:hideMark/>
          </w:tcPr>
          <w:p w14:paraId="6755537E"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392</w:t>
            </w:r>
          </w:p>
        </w:tc>
        <w:tc>
          <w:tcPr>
            <w:tcW w:w="5518" w:type="dxa"/>
            <w:tcBorders>
              <w:top w:val="single" w:sz="4" w:space="0" w:color="auto"/>
              <w:left w:val="nil"/>
              <w:bottom w:val="single" w:sz="4" w:space="0" w:color="auto"/>
              <w:right w:val="single" w:sz="4" w:space="0" w:color="000000"/>
            </w:tcBorders>
            <w:shd w:val="clear" w:color="auto" w:fill="auto"/>
            <w:vAlign w:val="center"/>
            <w:hideMark/>
          </w:tcPr>
          <w:p w14:paraId="4F70F977"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Г.   В А Н Б И Л А Н С Н А   П А С И В А</w:t>
            </w:r>
          </w:p>
        </w:tc>
        <w:tc>
          <w:tcPr>
            <w:tcW w:w="919" w:type="dxa"/>
            <w:tcBorders>
              <w:top w:val="nil"/>
              <w:left w:val="nil"/>
              <w:bottom w:val="single" w:sz="4" w:space="0" w:color="auto"/>
              <w:right w:val="single" w:sz="4" w:space="0" w:color="auto"/>
            </w:tcBorders>
            <w:shd w:val="clear" w:color="auto" w:fill="auto"/>
            <w:vAlign w:val="center"/>
            <w:hideMark/>
          </w:tcPr>
          <w:p w14:paraId="3C1F2B43"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159</w:t>
            </w:r>
          </w:p>
        </w:tc>
        <w:tc>
          <w:tcPr>
            <w:tcW w:w="1901" w:type="dxa"/>
            <w:tcBorders>
              <w:top w:val="single" w:sz="4" w:space="0" w:color="auto"/>
              <w:left w:val="nil"/>
              <w:bottom w:val="single" w:sz="4" w:space="0" w:color="auto"/>
              <w:right w:val="single" w:sz="4" w:space="0" w:color="000000"/>
            </w:tcBorders>
            <w:shd w:val="clear" w:color="auto" w:fill="auto"/>
            <w:vAlign w:val="center"/>
            <w:hideMark/>
          </w:tcPr>
          <w:p w14:paraId="12CB8BCC"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442.707</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25BEDE83"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709.012</w:t>
            </w:r>
          </w:p>
        </w:tc>
      </w:tr>
      <w:tr w:rsidR="0060234A" w:rsidRPr="0060234A" w14:paraId="1C08EF96" w14:textId="77777777" w:rsidTr="0060234A">
        <w:trPr>
          <w:trHeight w:val="405"/>
        </w:trPr>
        <w:tc>
          <w:tcPr>
            <w:tcW w:w="862" w:type="dxa"/>
            <w:tcBorders>
              <w:top w:val="nil"/>
              <w:left w:val="single" w:sz="4" w:space="0" w:color="auto"/>
              <w:bottom w:val="single" w:sz="4" w:space="0" w:color="auto"/>
              <w:right w:val="single" w:sz="4" w:space="0" w:color="auto"/>
            </w:tcBorders>
            <w:shd w:val="clear" w:color="000000" w:fill="F2F2F2"/>
            <w:vAlign w:val="center"/>
            <w:hideMark/>
          </w:tcPr>
          <w:p w14:paraId="74D4C2D0"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 </w:t>
            </w:r>
          </w:p>
        </w:tc>
        <w:tc>
          <w:tcPr>
            <w:tcW w:w="5518" w:type="dxa"/>
            <w:tcBorders>
              <w:top w:val="single" w:sz="4" w:space="0" w:color="auto"/>
              <w:left w:val="nil"/>
              <w:bottom w:val="single" w:sz="4" w:space="0" w:color="auto"/>
              <w:right w:val="single" w:sz="4" w:space="0" w:color="000000"/>
            </w:tcBorders>
            <w:shd w:val="clear" w:color="000000" w:fill="F2F2F2"/>
            <w:vAlign w:val="center"/>
            <w:hideMark/>
          </w:tcPr>
          <w:p w14:paraId="2142A8B0" w14:textId="77777777" w:rsidR="0060234A" w:rsidRPr="0060234A" w:rsidRDefault="0060234A" w:rsidP="0060234A">
            <w:pPr>
              <w:ind w:left="0" w:right="0" w:firstLine="0"/>
              <w:jc w:val="lef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Д.   У К У П Н А   П А С И В А   (В + Г)</w:t>
            </w:r>
          </w:p>
        </w:tc>
        <w:tc>
          <w:tcPr>
            <w:tcW w:w="919" w:type="dxa"/>
            <w:tcBorders>
              <w:top w:val="nil"/>
              <w:left w:val="nil"/>
              <w:bottom w:val="single" w:sz="4" w:space="0" w:color="auto"/>
              <w:right w:val="single" w:sz="4" w:space="0" w:color="auto"/>
            </w:tcBorders>
            <w:shd w:val="clear" w:color="000000" w:fill="F2F2F2"/>
            <w:vAlign w:val="center"/>
            <w:hideMark/>
          </w:tcPr>
          <w:p w14:paraId="154E3CFC" w14:textId="77777777" w:rsidR="0060234A" w:rsidRPr="0060234A" w:rsidRDefault="0060234A" w:rsidP="0060234A">
            <w:pPr>
              <w:ind w:left="0" w:right="0" w:firstLine="0"/>
              <w:jc w:val="center"/>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160</w:t>
            </w:r>
          </w:p>
        </w:tc>
        <w:tc>
          <w:tcPr>
            <w:tcW w:w="1901" w:type="dxa"/>
            <w:tcBorders>
              <w:top w:val="single" w:sz="4" w:space="0" w:color="auto"/>
              <w:left w:val="nil"/>
              <w:bottom w:val="single" w:sz="4" w:space="0" w:color="auto"/>
              <w:right w:val="single" w:sz="4" w:space="0" w:color="000000"/>
            </w:tcBorders>
            <w:shd w:val="clear" w:color="000000" w:fill="F2F2F2"/>
            <w:vAlign w:val="center"/>
            <w:hideMark/>
          </w:tcPr>
          <w:p w14:paraId="7586493D"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101.837.887</w:t>
            </w:r>
          </w:p>
        </w:tc>
        <w:tc>
          <w:tcPr>
            <w:tcW w:w="1843" w:type="dxa"/>
            <w:tcBorders>
              <w:top w:val="single" w:sz="4" w:space="0" w:color="auto"/>
              <w:left w:val="nil"/>
              <w:bottom w:val="single" w:sz="4" w:space="0" w:color="auto"/>
              <w:right w:val="single" w:sz="4" w:space="0" w:color="000000"/>
            </w:tcBorders>
            <w:shd w:val="clear" w:color="000000" w:fill="F2F2F2"/>
            <w:noWrap/>
            <w:vAlign w:val="center"/>
            <w:hideMark/>
          </w:tcPr>
          <w:p w14:paraId="3BB4A41E" w14:textId="77777777" w:rsidR="0060234A" w:rsidRPr="0060234A" w:rsidRDefault="0060234A" w:rsidP="0060234A">
            <w:pPr>
              <w:ind w:left="0" w:right="0" w:firstLine="0"/>
              <w:jc w:val="right"/>
              <w:rPr>
                <w:rFonts w:ascii="Calibri" w:hAnsi="Calibri" w:cs="Calibri"/>
                <w:b/>
                <w:bCs/>
                <w:color w:val="000000"/>
                <w:sz w:val="18"/>
                <w:szCs w:val="18"/>
                <w:lang w:val="sr-Latn-RS" w:eastAsia="sr-Latn-RS"/>
              </w:rPr>
            </w:pPr>
            <w:r w:rsidRPr="0060234A">
              <w:rPr>
                <w:rFonts w:ascii="Calibri" w:hAnsi="Calibri" w:cs="Calibri"/>
                <w:b/>
                <w:bCs/>
                <w:color w:val="000000"/>
                <w:sz w:val="18"/>
                <w:szCs w:val="18"/>
                <w:lang w:val="sr-Latn-RS" w:eastAsia="sr-Latn-RS"/>
              </w:rPr>
              <w:t>98.533.362</w:t>
            </w:r>
          </w:p>
        </w:tc>
      </w:tr>
    </w:tbl>
    <w:p w14:paraId="1DDC1B6C" w14:textId="77777777" w:rsidR="0060234A" w:rsidRPr="0060234A" w:rsidRDefault="0060234A" w:rsidP="001327CF">
      <w:pPr>
        <w:ind w:left="0" w:firstLine="0"/>
        <w:jc w:val="center"/>
      </w:pPr>
    </w:p>
    <w:p w14:paraId="2014AE1E" w14:textId="77777777" w:rsidR="00D602DD" w:rsidRDefault="00D602DD" w:rsidP="00C3532F">
      <w:pPr>
        <w:ind w:left="0" w:firstLine="0"/>
      </w:pPr>
    </w:p>
    <w:p w14:paraId="54686AFF" w14:textId="77777777" w:rsidR="00AC145A" w:rsidRPr="001D1ECD" w:rsidRDefault="00AC145A" w:rsidP="00AC145A">
      <w:pPr>
        <w:ind w:left="0" w:firstLine="0"/>
        <w:rPr>
          <w:lang w:val="sr-Cyrl-BA"/>
        </w:rPr>
      </w:pPr>
      <w:r w:rsidRPr="001D1ECD">
        <w:rPr>
          <w:rFonts w:eastAsia="Calibri"/>
        </w:rPr>
        <w:t xml:space="preserve">У наставку </w:t>
      </w:r>
      <w:proofErr w:type="spellStart"/>
      <w:r w:rsidRPr="001D1ECD">
        <w:rPr>
          <w:rFonts w:eastAsia="Calibri"/>
        </w:rPr>
        <w:t>извјештаја</w:t>
      </w:r>
      <w:proofErr w:type="spellEnd"/>
      <w:r w:rsidRPr="001D1ECD">
        <w:rPr>
          <w:rFonts w:eastAsia="Calibri"/>
        </w:rPr>
        <w:t xml:space="preserve"> </w:t>
      </w:r>
      <w:r w:rsidRPr="001D1ECD">
        <w:rPr>
          <w:rFonts w:eastAsia="Calibri"/>
          <w:lang w:val="sr-Cyrl-BA"/>
        </w:rPr>
        <w:t>је</w:t>
      </w:r>
      <w:r w:rsidRPr="001D1ECD">
        <w:rPr>
          <w:rFonts w:eastAsia="Calibri"/>
        </w:rPr>
        <w:t xml:space="preserve"> </w:t>
      </w:r>
      <w:r w:rsidRPr="001D1ECD">
        <w:rPr>
          <w:rFonts w:eastAsia="Calibri"/>
          <w:lang w:val="sr-Cyrl-BA"/>
        </w:rPr>
        <w:t>наведена</w:t>
      </w:r>
      <w:r w:rsidRPr="001D1ECD">
        <w:rPr>
          <w:lang w:val="sr-Cyrl-BA"/>
        </w:rPr>
        <w:t xml:space="preserve"> структура одређених билансних позиција. </w:t>
      </w:r>
    </w:p>
    <w:p w14:paraId="44DD9805" w14:textId="77777777" w:rsidR="00AC145A" w:rsidRPr="001D1ECD" w:rsidRDefault="00AC145A" w:rsidP="00AC145A">
      <w:pPr>
        <w:ind w:left="0" w:firstLine="0"/>
        <w:rPr>
          <w:lang w:val="sr-Cyrl-BA"/>
        </w:rPr>
      </w:pPr>
    </w:p>
    <w:p w14:paraId="041DDA6D" w14:textId="77777777" w:rsidR="00AC145A" w:rsidRPr="001D1ECD" w:rsidRDefault="00AC145A" w:rsidP="00AC145A">
      <w:pPr>
        <w:tabs>
          <w:tab w:val="right" w:leader="dot" w:pos="9360"/>
        </w:tabs>
        <w:spacing w:before="120"/>
        <w:ind w:left="-431" w:right="-992" w:firstLine="431"/>
        <w:rPr>
          <w:b/>
          <w:i/>
          <w:u w:val="single"/>
        </w:rPr>
      </w:pPr>
      <w:r w:rsidRPr="001D1ECD">
        <w:rPr>
          <w:b/>
          <w:i/>
          <w:u w:val="single"/>
        </w:rPr>
        <w:t>А К Т И В А</w:t>
      </w:r>
    </w:p>
    <w:p w14:paraId="08513C93" w14:textId="77777777" w:rsidR="00AC145A" w:rsidRPr="001D1ECD" w:rsidRDefault="00AC145A" w:rsidP="00AC145A">
      <w:pPr>
        <w:tabs>
          <w:tab w:val="right" w:leader="dot" w:pos="9360"/>
        </w:tabs>
        <w:ind w:right="-990"/>
        <w:rPr>
          <w:b/>
          <w:i/>
          <w:u w:val="single"/>
        </w:rPr>
      </w:pPr>
    </w:p>
    <w:p w14:paraId="2F8D96FD" w14:textId="77777777" w:rsidR="00AC145A" w:rsidRPr="001D1ECD" w:rsidRDefault="00AC145A" w:rsidP="00AC145A">
      <w:pPr>
        <w:ind w:left="0" w:firstLine="0"/>
      </w:pPr>
      <w:r w:rsidRPr="001D1ECD">
        <w:t>АОП003, колона 4  К-БС</w:t>
      </w:r>
    </w:p>
    <w:p w14:paraId="65E63B9A" w14:textId="77777777" w:rsidR="00AC145A" w:rsidRPr="001D1ECD" w:rsidRDefault="00AC145A" w:rsidP="00AC145A">
      <w:pPr>
        <w:ind w:left="0" w:firstLine="0"/>
      </w:pPr>
      <w:r w:rsidRPr="001D1ECD">
        <w:rPr>
          <w:b/>
          <w:i/>
        </w:rPr>
        <w:sym w:font="Wingdings" w:char="F077"/>
      </w:r>
      <w:r w:rsidRPr="001D1ECD">
        <w:rPr>
          <w:b/>
          <w:i/>
        </w:rPr>
        <w:t xml:space="preserve"> Готовина и готовински еквиваленти</w:t>
      </w:r>
      <w:r w:rsidRPr="001D1ECD">
        <w:t xml:space="preserve"> износе </w:t>
      </w:r>
      <w:r w:rsidR="00F453E5">
        <w:rPr>
          <w:lang w:val="sr-Latn-RS"/>
        </w:rPr>
        <w:t>565.314</w:t>
      </w:r>
      <w:r w:rsidRPr="001D1ECD">
        <w:t xml:space="preserve"> КМ и односе се на:</w:t>
      </w:r>
    </w:p>
    <w:p w14:paraId="4C897F07" w14:textId="77777777" w:rsidR="00AC145A" w:rsidRPr="001D1ECD" w:rsidRDefault="00AC145A" w:rsidP="00AC145A">
      <w:pPr>
        <w:tabs>
          <w:tab w:val="right" w:leader="dot" w:pos="9214"/>
        </w:tabs>
        <w:ind w:left="-357" w:firstLine="720"/>
        <w:rPr>
          <w:lang w:val="sr-Latn-CS"/>
        </w:rPr>
      </w:pPr>
      <w:r w:rsidRPr="001D1ECD">
        <w:t xml:space="preserve">- </w:t>
      </w:r>
      <w:proofErr w:type="spellStart"/>
      <w:r w:rsidRPr="001D1ECD">
        <w:rPr>
          <w:lang w:val="sr-Latn-CS"/>
        </w:rPr>
        <w:t>Стање</w:t>
      </w:r>
      <w:proofErr w:type="spellEnd"/>
      <w:r w:rsidRPr="001D1ECD">
        <w:rPr>
          <w:lang w:val="sr-Latn-CS"/>
        </w:rPr>
        <w:t xml:space="preserve"> </w:t>
      </w:r>
      <w:proofErr w:type="spellStart"/>
      <w:r w:rsidRPr="001D1ECD">
        <w:rPr>
          <w:lang w:val="sr-Latn-CS"/>
        </w:rPr>
        <w:t>новчаних</w:t>
      </w:r>
      <w:proofErr w:type="spellEnd"/>
      <w:r w:rsidRPr="001D1ECD">
        <w:rPr>
          <w:lang w:val="sr-Latn-CS"/>
        </w:rPr>
        <w:t xml:space="preserve"> </w:t>
      </w:r>
      <w:proofErr w:type="spellStart"/>
      <w:r w:rsidRPr="001D1ECD">
        <w:rPr>
          <w:lang w:val="sr-Latn-CS"/>
        </w:rPr>
        <w:t>средстава</w:t>
      </w:r>
      <w:proofErr w:type="spellEnd"/>
      <w:r w:rsidRPr="001D1ECD">
        <w:rPr>
          <w:lang w:val="sr-Latn-CS"/>
        </w:rPr>
        <w:t xml:space="preserve"> </w:t>
      </w:r>
      <w:proofErr w:type="spellStart"/>
      <w:r w:rsidRPr="001D1ECD">
        <w:rPr>
          <w:lang w:val="sr-Latn-CS"/>
        </w:rPr>
        <w:t>на</w:t>
      </w:r>
      <w:proofErr w:type="spellEnd"/>
      <w:r w:rsidRPr="001D1ECD">
        <w:rPr>
          <w:lang w:val="sr-Latn-CS"/>
        </w:rPr>
        <w:t xml:space="preserve"> </w:t>
      </w:r>
      <w:proofErr w:type="spellStart"/>
      <w:r w:rsidRPr="001D1ECD">
        <w:rPr>
          <w:lang w:val="sr-Latn-CS"/>
        </w:rPr>
        <w:t>редовним</w:t>
      </w:r>
      <w:proofErr w:type="spellEnd"/>
      <w:r w:rsidRPr="001D1ECD">
        <w:rPr>
          <w:lang w:val="sr-Latn-CS"/>
        </w:rPr>
        <w:t xml:space="preserve"> и </w:t>
      </w:r>
      <w:proofErr w:type="spellStart"/>
      <w:r w:rsidRPr="001D1ECD">
        <w:rPr>
          <w:lang w:val="sr-Latn-CS"/>
        </w:rPr>
        <w:t>намјенским</w:t>
      </w:r>
      <w:proofErr w:type="spellEnd"/>
      <w:r w:rsidRPr="001D1ECD">
        <w:rPr>
          <w:lang w:val="sr-Latn-CS"/>
        </w:rPr>
        <w:t xml:space="preserve"> </w:t>
      </w:r>
      <w:proofErr w:type="spellStart"/>
      <w:r w:rsidRPr="001D1ECD">
        <w:rPr>
          <w:lang w:val="sr-Latn-CS"/>
        </w:rPr>
        <w:t>рачунима</w:t>
      </w:r>
      <w:proofErr w:type="spellEnd"/>
      <w:r w:rsidRPr="001D1ECD">
        <w:rPr>
          <w:lang w:val="sr-Latn-CS"/>
        </w:rPr>
        <w:t xml:space="preserve"> </w:t>
      </w:r>
      <w:r w:rsidRPr="001D1ECD">
        <w:rPr>
          <w:lang w:val="sr-Latn-CS"/>
        </w:rPr>
        <w:tab/>
      </w:r>
      <w:r w:rsidR="00F453E5">
        <w:rPr>
          <w:lang w:val="sr-Latn-RS"/>
        </w:rPr>
        <w:t>560.325</w:t>
      </w:r>
      <w:r w:rsidRPr="001D1ECD">
        <w:rPr>
          <w:lang w:val="sr-Latn-CS"/>
        </w:rPr>
        <w:t xml:space="preserve"> КМ</w:t>
      </w:r>
    </w:p>
    <w:p w14:paraId="51DB0197" w14:textId="77777777" w:rsidR="00AC145A" w:rsidRPr="001D1ECD" w:rsidRDefault="00AC145A" w:rsidP="00AC145A">
      <w:pPr>
        <w:tabs>
          <w:tab w:val="right" w:leader="dot" w:pos="9214"/>
        </w:tabs>
        <w:ind w:left="-360" w:firstLine="720"/>
        <w:rPr>
          <w:lang w:val="sr-Latn-CS"/>
        </w:rPr>
      </w:pPr>
      <w:r w:rsidRPr="001D1ECD">
        <w:rPr>
          <w:lang w:val="sr-Latn-CS"/>
        </w:rPr>
        <w:t xml:space="preserve">- </w:t>
      </w:r>
      <w:proofErr w:type="spellStart"/>
      <w:r w:rsidRPr="001D1ECD">
        <w:rPr>
          <w:lang w:val="sr-Latn-CS"/>
        </w:rPr>
        <w:t>Стање</w:t>
      </w:r>
      <w:proofErr w:type="spellEnd"/>
      <w:r w:rsidRPr="001D1ECD">
        <w:rPr>
          <w:lang w:val="sr-Latn-CS"/>
        </w:rPr>
        <w:t xml:space="preserve"> </w:t>
      </w:r>
      <w:proofErr w:type="spellStart"/>
      <w:r w:rsidRPr="001D1ECD">
        <w:rPr>
          <w:lang w:val="sr-Latn-CS"/>
        </w:rPr>
        <w:t>новчаних</w:t>
      </w:r>
      <w:proofErr w:type="spellEnd"/>
      <w:r w:rsidRPr="001D1ECD">
        <w:rPr>
          <w:lang w:val="sr-Latn-CS"/>
        </w:rPr>
        <w:t xml:space="preserve"> </w:t>
      </w:r>
      <w:proofErr w:type="spellStart"/>
      <w:r w:rsidRPr="001D1ECD">
        <w:rPr>
          <w:lang w:val="sr-Latn-CS"/>
        </w:rPr>
        <w:t>средстава</w:t>
      </w:r>
      <w:proofErr w:type="spellEnd"/>
      <w:r w:rsidRPr="001D1ECD">
        <w:rPr>
          <w:lang w:val="sr-Latn-CS"/>
        </w:rPr>
        <w:t xml:space="preserve"> у </w:t>
      </w:r>
      <w:proofErr w:type="spellStart"/>
      <w:r w:rsidRPr="001D1ECD">
        <w:rPr>
          <w:lang w:val="sr-Latn-CS"/>
        </w:rPr>
        <w:t>главној</w:t>
      </w:r>
      <w:proofErr w:type="spellEnd"/>
      <w:r w:rsidRPr="001D1ECD">
        <w:rPr>
          <w:lang w:val="sr-Latn-CS"/>
        </w:rPr>
        <w:t xml:space="preserve"> </w:t>
      </w:r>
      <w:proofErr w:type="spellStart"/>
      <w:r w:rsidRPr="001D1ECD">
        <w:rPr>
          <w:lang w:val="sr-Latn-CS"/>
        </w:rPr>
        <w:t>благајни</w:t>
      </w:r>
      <w:proofErr w:type="spellEnd"/>
      <w:r w:rsidRPr="001D1ECD">
        <w:rPr>
          <w:lang w:val="sr-Latn-CS"/>
        </w:rPr>
        <w:t xml:space="preserve"> </w:t>
      </w:r>
      <w:r w:rsidRPr="001D1ECD">
        <w:rPr>
          <w:lang w:val="sr-Latn-CS"/>
        </w:rPr>
        <w:tab/>
      </w:r>
      <w:r w:rsidR="00F453E5">
        <w:rPr>
          <w:lang w:val="sr-Latn-RS"/>
        </w:rPr>
        <w:t>2.589</w:t>
      </w:r>
      <w:r w:rsidRPr="001D1ECD">
        <w:rPr>
          <w:lang w:val="sr-Latn-CS"/>
        </w:rPr>
        <w:t xml:space="preserve"> КМ</w:t>
      </w:r>
    </w:p>
    <w:p w14:paraId="59D8D3B9" w14:textId="77777777" w:rsidR="00AC145A" w:rsidRPr="001D1ECD" w:rsidRDefault="00AC145A" w:rsidP="00AC145A">
      <w:pPr>
        <w:tabs>
          <w:tab w:val="right" w:leader="dot" w:pos="9214"/>
        </w:tabs>
        <w:ind w:left="-360" w:firstLine="720"/>
        <w:rPr>
          <w:lang w:val="sr-Latn-CS"/>
        </w:rPr>
      </w:pPr>
      <w:r w:rsidRPr="001D1ECD">
        <w:rPr>
          <w:lang w:val="sr-Latn-CS"/>
        </w:rPr>
        <w:t xml:space="preserve">- </w:t>
      </w:r>
      <w:proofErr w:type="spellStart"/>
      <w:r w:rsidRPr="001D1ECD">
        <w:rPr>
          <w:lang w:val="sr-Latn-CS"/>
        </w:rPr>
        <w:t>Стање</w:t>
      </w:r>
      <w:proofErr w:type="spellEnd"/>
      <w:r w:rsidRPr="001D1ECD">
        <w:rPr>
          <w:lang w:val="sr-Latn-CS"/>
        </w:rPr>
        <w:t xml:space="preserve"> </w:t>
      </w:r>
      <w:proofErr w:type="spellStart"/>
      <w:r w:rsidRPr="001D1ECD">
        <w:rPr>
          <w:lang w:val="sr-Latn-CS"/>
        </w:rPr>
        <w:t>благајне</w:t>
      </w:r>
      <w:proofErr w:type="spellEnd"/>
      <w:r w:rsidRPr="001D1ECD">
        <w:rPr>
          <w:lang w:val="sr-Latn-CS"/>
        </w:rPr>
        <w:t xml:space="preserve"> </w:t>
      </w:r>
      <w:proofErr w:type="spellStart"/>
      <w:r w:rsidRPr="001D1ECD">
        <w:rPr>
          <w:lang w:val="sr-Latn-CS"/>
        </w:rPr>
        <w:t>поштанских</w:t>
      </w:r>
      <w:proofErr w:type="spellEnd"/>
      <w:r w:rsidRPr="001D1ECD">
        <w:rPr>
          <w:lang w:val="sr-Latn-CS"/>
        </w:rPr>
        <w:t xml:space="preserve"> </w:t>
      </w:r>
      <w:proofErr w:type="spellStart"/>
      <w:r w:rsidRPr="001D1ECD">
        <w:rPr>
          <w:lang w:val="sr-Latn-CS"/>
        </w:rPr>
        <w:t>маркица-административне</w:t>
      </w:r>
      <w:proofErr w:type="spellEnd"/>
      <w:r w:rsidRPr="001D1ECD">
        <w:rPr>
          <w:lang w:val="sr-Latn-CS"/>
        </w:rPr>
        <w:t xml:space="preserve"> </w:t>
      </w:r>
      <w:proofErr w:type="spellStart"/>
      <w:r w:rsidRPr="001D1ECD">
        <w:rPr>
          <w:lang w:val="sr-Latn-CS"/>
        </w:rPr>
        <w:t>таксе</w:t>
      </w:r>
      <w:proofErr w:type="spellEnd"/>
      <w:r w:rsidRPr="001D1ECD">
        <w:rPr>
          <w:lang w:val="sr-Latn-CS"/>
        </w:rPr>
        <w:tab/>
        <w:t>2.400 КМ</w:t>
      </w:r>
    </w:p>
    <w:p w14:paraId="6E3F4030" w14:textId="77777777" w:rsidR="00AC145A" w:rsidRPr="001D1ECD" w:rsidRDefault="00AC145A" w:rsidP="00AC145A">
      <w:pPr>
        <w:tabs>
          <w:tab w:val="right" w:leader="dot" w:pos="9214"/>
        </w:tabs>
        <w:ind w:left="-360" w:firstLine="720"/>
        <w:rPr>
          <w:b/>
        </w:rPr>
      </w:pPr>
      <w:r w:rsidRPr="001D1ECD">
        <w:rPr>
          <w:lang w:val="sr-Latn-CS"/>
        </w:rPr>
        <w:t xml:space="preserve">  </w:t>
      </w:r>
      <w:r w:rsidRPr="001D1ECD">
        <w:rPr>
          <w:b/>
          <w:lang w:val="sr-Latn-CS"/>
        </w:rPr>
        <w:t>У</w:t>
      </w:r>
      <w:r w:rsidRPr="001D1ECD">
        <w:rPr>
          <w:b/>
        </w:rPr>
        <w:t xml:space="preserve"> к у п н о</w:t>
      </w:r>
      <w:r w:rsidRPr="001D1ECD">
        <w:rPr>
          <w:b/>
          <w:lang w:val="sr-Latn-CS"/>
        </w:rPr>
        <w:t>:</w:t>
      </w:r>
      <w:r w:rsidRPr="001D1ECD">
        <w:rPr>
          <w:lang w:val="sr-Latn-CS"/>
        </w:rPr>
        <w:tab/>
      </w:r>
      <w:r w:rsidR="00F453E5">
        <w:rPr>
          <w:b/>
          <w:lang w:val="sr-Latn-RS"/>
        </w:rPr>
        <w:t>565.314</w:t>
      </w:r>
      <w:r w:rsidRPr="001D1ECD">
        <w:rPr>
          <w:b/>
          <w:lang w:val="sr-Latn-CS"/>
        </w:rPr>
        <w:t xml:space="preserve"> КМ</w:t>
      </w:r>
    </w:p>
    <w:p w14:paraId="0B8E656E" w14:textId="77777777" w:rsidR="00AC145A" w:rsidRPr="001D1ECD" w:rsidRDefault="00AC145A" w:rsidP="00AC145A">
      <w:pPr>
        <w:tabs>
          <w:tab w:val="right" w:leader="dot" w:pos="9214"/>
        </w:tabs>
        <w:ind w:left="0" w:firstLine="0"/>
        <w:rPr>
          <w:b/>
        </w:rPr>
      </w:pPr>
    </w:p>
    <w:p w14:paraId="70D5E754" w14:textId="77777777" w:rsidR="00AC145A" w:rsidRPr="001D1ECD" w:rsidRDefault="00AC145A" w:rsidP="00AC145A">
      <w:pPr>
        <w:ind w:left="0" w:firstLine="0"/>
      </w:pPr>
      <w:r w:rsidRPr="001D1ECD">
        <w:t>АОП014, колона 4  и 5 К-БС</w:t>
      </w:r>
    </w:p>
    <w:p w14:paraId="59186E76" w14:textId="77777777" w:rsidR="00AC145A" w:rsidRPr="001D1ECD" w:rsidRDefault="00AC145A" w:rsidP="00AC145A">
      <w:pPr>
        <w:ind w:left="0" w:firstLine="0"/>
      </w:pPr>
      <w:r w:rsidRPr="001D1ECD">
        <w:rPr>
          <w:b/>
          <w:i/>
        </w:rPr>
        <w:sym w:font="Wingdings" w:char="F077"/>
      </w:r>
      <w:r w:rsidRPr="001D1ECD">
        <w:rPr>
          <w:b/>
          <w:i/>
        </w:rPr>
        <w:t xml:space="preserve"> Краткорочна потраживања</w:t>
      </w:r>
      <w:r w:rsidRPr="001D1ECD">
        <w:t xml:space="preserve"> износе </w:t>
      </w:r>
      <w:r w:rsidRPr="001D1ECD">
        <w:rPr>
          <w:lang w:val="sr-Latn-CS"/>
        </w:rPr>
        <w:t>5.</w:t>
      </w:r>
      <w:r w:rsidR="00F453E5">
        <w:rPr>
          <w:lang w:val="sr-Latn-RS"/>
        </w:rPr>
        <w:t>885.615</w:t>
      </w:r>
      <w:r w:rsidRPr="001D1ECD">
        <w:t xml:space="preserve"> КМ, и односе се на </w:t>
      </w:r>
      <w:r w:rsidR="00F453E5">
        <w:rPr>
          <w:lang w:val="sr-Latn-RS"/>
        </w:rPr>
        <w:t>823.215</w:t>
      </w:r>
      <w:r w:rsidRPr="001D1ECD">
        <w:t xml:space="preserve"> КМ редовних </w:t>
      </w:r>
      <w:r w:rsidRPr="001D1ECD">
        <w:rPr>
          <w:rFonts w:eastAsia="Calibri"/>
        </w:rPr>
        <w:t xml:space="preserve">потраживања и </w:t>
      </w:r>
      <w:r w:rsidR="00F453E5">
        <w:rPr>
          <w:rFonts w:eastAsia="Calibri"/>
          <w:lang w:val="sr-Latn-RS"/>
        </w:rPr>
        <w:t>5.062.400</w:t>
      </w:r>
      <w:r w:rsidRPr="001D1ECD">
        <w:rPr>
          <w:rFonts w:eastAsia="Calibri"/>
        </w:rPr>
        <w:t xml:space="preserve"> КМ спорних потраживања, по којима је прошло више од дванаест</w:t>
      </w:r>
      <w:r w:rsidRPr="001D1ECD">
        <w:t xml:space="preserve"> </w:t>
      </w:r>
      <w:proofErr w:type="spellStart"/>
      <w:r w:rsidRPr="001D1ECD">
        <w:rPr>
          <w:rFonts w:eastAsia="Calibri"/>
        </w:rPr>
        <w:t>мјесеци</w:t>
      </w:r>
      <w:proofErr w:type="spellEnd"/>
      <w:r w:rsidRPr="001D1ECD">
        <w:rPr>
          <w:rFonts w:eastAsia="Calibri"/>
        </w:rPr>
        <w:t xml:space="preserve">, а која нису наплаћена. </w:t>
      </w:r>
      <w:r w:rsidRPr="001D1ECD">
        <w:rPr>
          <w:lang w:val="sr-Cyrl-RS"/>
        </w:rPr>
        <w:t>Ради се о сљедећим потраживањима</w:t>
      </w:r>
      <w:r w:rsidRPr="001D1ECD">
        <w:t xml:space="preserve">: </w:t>
      </w:r>
      <w:r w:rsidRPr="001D1ECD">
        <w:rPr>
          <w:rFonts w:eastAsia="Calibri"/>
        </w:rPr>
        <w:t xml:space="preserve">      </w:t>
      </w:r>
    </w:p>
    <w:p w14:paraId="195282E8" w14:textId="77777777" w:rsidR="00AC145A" w:rsidRPr="001D1ECD" w:rsidRDefault="00AC145A" w:rsidP="00AC145A">
      <w:pPr>
        <w:tabs>
          <w:tab w:val="right" w:leader="dot" w:pos="9214"/>
        </w:tabs>
        <w:spacing w:before="120"/>
        <w:ind w:left="-357" w:firstLine="720"/>
      </w:pPr>
      <w:r w:rsidRPr="001D1ECD">
        <w:t>- Потраживања за испоручену робу и услуге – Дјечији вртић</w:t>
      </w:r>
      <w:r w:rsidRPr="001D1ECD">
        <w:tab/>
      </w:r>
      <w:r w:rsidR="00F453E5">
        <w:rPr>
          <w:lang w:val="sr-Latn-RS"/>
        </w:rPr>
        <w:t>16.641</w:t>
      </w:r>
      <w:r w:rsidRPr="001D1ECD">
        <w:t xml:space="preserve"> КМ</w:t>
      </w:r>
    </w:p>
    <w:p w14:paraId="0D74B030" w14:textId="77777777" w:rsidR="00AC145A" w:rsidRDefault="00AC145A" w:rsidP="00AC145A">
      <w:pPr>
        <w:tabs>
          <w:tab w:val="right" w:leader="dot" w:pos="9214"/>
        </w:tabs>
        <w:ind w:left="-357" w:firstLine="720"/>
      </w:pPr>
      <w:r w:rsidRPr="001D1ECD">
        <w:t>- Спорна потраживања по основу продаје – Дјечији вртић</w:t>
      </w:r>
      <w:r w:rsidRPr="001D1ECD">
        <w:tab/>
        <w:t>870 КМ</w:t>
      </w:r>
    </w:p>
    <w:p w14:paraId="5097D3DD" w14:textId="77777777" w:rsidR="00F453E5" w:rsidRPr="00F453E5" w:rsidRDefault="00F453E5" w:rsidP="00AC145A">
      <w:pPr>
        <w:tabs>
          <w:tab w:val="right" w:leader="dot" w:pos="9214"/>
        </w:tabs>
        <w:ind w:left="-357" w:firstLine="720"/>
        <w:rPr>
          <w:lang w:val="sr-Cyrl-RS"/>
        </w:rPr>
      </w:pPr>
      <w:r>
        <w:rPr>
          <w:lang w:val="sr-Latn-RS"/>
        </w:rPr>
        <w:t xml:space="preserve">- </w:t>
      </w:r>
      <w:r>
        <w:rPr>
          <w:lang w:val="sr-Cyrl-RS"/>
        </w:rPr>
        <w:t>Потраживања за испоручену робу и услуге – Центар за културу</w:t>
      </w:r>
      <w:r>
        <w:rPr>
          <w:lang w:val="sr-Cyrl-RS"/>
        </w:rPr>
        <w:tab/>
        <w:t>146 КМ</w:t>
      </w:r>
    </w:p>
    <w:p w14:paraId="6BA7A87D" w14:textId="77777777" w:rsidR="00AC145A" w:rsidRPr="001D1ECD" w:rsidRDefault="00AC145A" w:rsidP="00AC145A">
      <w:pPr>
        <w:tabs>
          <w:tab w:val="right" w:leader="dot" w:pos="9214"/>
        </w:tabs>
        <w:ind w:left="-357" w:firstLine="720"/>
      </w:pPr>
      <w:r w:rsidRPr="001D1ECD">
        <w:t xml:space="preserve">- </w:t>
      </w:r>
      <w:r w:rsidRPr="001D1ECD">
        <w:rPr>
          <w:lang w:val="sr-Cyrl-RS"/>
        </w:rPr>
        <w:t>Спорна п</w:t>
      </w:r>
      <w:proofErr w:type="spellStart"/>
      <w:r w:rsidRPr="001D1ECD">
        <w:t>отраживања</w:t>
      </w:r>
      <w:proofErr w:type="spellEnd"/>
      <w:r w:rsidRPr="001D1ECD">
        <w:t xml:space="preserve"> за испоручену робу и услуге – Центар средњих</w:t>
      </w:r>
    </w:p>
    <w:p w14:paraId="19F7B022" w14:textId="77777777" w:rsidR="00AC145A" w:rsidRPr="001D1ECD" w:rsidRDefault="00AC145A" w:rsidP="00AC145A">
      <w:pPr>
        <w:tabs>
          <w:tab w:val="right" w:leader="dot" w:pos="9214"/>
        </w:tabs>
        <w:ind w:left="-357" w:firstLine="720"/>
      </w:pPr>
      <w:r w:rsidRPr="001D1ECD">
        <w:rPr>
          <w:lang w:val="sr-Cyrl-RS"/>
        </w:rPr>
        <w:t xml:space="preserve">  </w:t>
      </w:r>
      <w:r w:rsidRPr="001D1ECD">
        <w:t xml:space="preserve"> школа „Иво Андрић“</w:t>
      </w:r>
      <w:r w:rsidRPr="001D1ECD">
        <w:tab/>
        <w:t>1.</w:t>
      </w:r>
      <w:r w:rsidRPr="001D1ECD">
        <w:rPr>
          <w:lang w:val="sr-Latn-CS"/>
        </w:rPr>
        <w:t>656</w:t>
      </w:r>
      <w:r w:rsidRPr="001D1ECD">
        <w:t xml:space="preserve"> КМ</w:t>
      </w:r>
    </w:p>
    <w:p w14:paraId="4E2CD168" w14:textId="77777777" w:rsidR="00AC145A" w:rsidRPr="001D1ECD" w:rsidRDefault="00AC145A" w:rsidP="00F453E5">
      <w:pPr>
        <w:keepNext/>
        <w:tabs>
          <w:tab w:val="right" w:leader="dot" w:pos="9214"/>
        </w:tabs>
        <w:ind w:left="-357" w:firstLine="720"/>
      </w:pPr>
      <w:r w:rsidRPr="001D1ECD">
        <w:lastRenderedPageBreak/>
        <w:t xml:space="preserve">- Потраживања од радника за прекорачење потрошње мобилних </w:t>
      </w:r>
    </w:p>
    <w:p w14:paraId="286A6072" w14:textId="77777777" w:rsidR="00AC145A" w:rsidRPr="001D1ECD" w:rsidRDefault="00AC145A" w:rsidP="00AC145A">
      <w:pPr>
        <w:tabs>
          <w:tab w:val="right" w:leader="dot" w:pos="9214"/>
        </w:tabs>
        <w:ind w:left="-357" w:firstLine="720"/>
        <w:rPr>
          <w:lang w:val="sr-Latn-CS"/>
        </w:rPr>
      </w:pPr>
      <w:r w:rsidRPr="001D1ECD">
        <w:t xml:space="preserve">  телефона за 1</w:t>
      </w:r>
      <w:r w:rsidR="00F453E5">
        <w:rPr>
          <w:lang w:val="sr-Cyrl-RS"/>
        </w:rPr>
        <w:t>1 и 12</w:t>
      </w:r>
      <w:r w:rsidR="00F453E5">
        <w:t>/2020</w:t>
      </w:r>
      <w:r w:rsidRPr="001D1ECD">
        <w:tab/>
      </w:r>
      <w:r w:rsidR="00F453E5">
        <w:rPr>
          <w:lang w:val="sr-Cyrl-RS"/>
        </w:rPr>
        <w:t>442</w:t>
      </w:r>
      <w:r w:rsidRPr="001D1ECD">
        <w:t xml:space="preserve"> КМ</w:t>
      </w:r>
    </w:p>
    <w:p w14:paraId="1402AAD7" w14:textId="77777777" w:rsidR="00AC145A" w:rsidRPr="001D1ECD" w:rsidRDefault="00AC145A" w:rsidP="00AC145A">
      <w:pPr>
        <w:tabs>
          <w:tab w:val="right" w:leader="dot" w:pos="9214"/>
        </w:tabs>
        <w:ind w:left="-357" w:firstLine="720"/>
      </w:pPr>
      <w:r w:rsidRPr="001D1ECD">
        <w:rPr>
          <w:lang w:val="sr-Latn-CS"/>
        </w:rPr>
        <w:t xml:space="preserve">- </w:t>
      </w:r>
      <w:proofErr w:type="spellStart"/>
      <w:r w:rsidRPr="001D1ECD">
        <w:rPr>
          <w:lang w:val="sr-Latn-CS"/>
        </w:rPr>
        <w:t>Потраживања</w:t>
      </w:r>
      <w:proofErr w:type="spellEnd"/>
      <w:r w:rsidRPr="001D1ECD">
        <w:rPr>
          <w:lang w:val="sr-Latn-CS"/>
        </w:rPr>
        <w:t xml:space="preserve"> </w:t>
      </w:r>
      <w:proofErr w:type="spellStart"/>
      <w:r w:rsidRPr="001D1ECD">
        <w:rPr>
          <w:lang w:val="sr-Latn-CS"/>
        </w:rPr>
        <w:t>за</w:t>
      </w:r>
      <w:proofErr w:type="spellEnd"/>
      <w:r w:rsidRPr="001D1ECD">
        <w:rPr>
          <w:lang w:val="sr-Latn-CS"/>
        </w:rPr>
        <w:t xml:space="preserve"> </w:t>
      </w:r>
      <w:proofErr w:type="spellStart"/>
      <w:r w:rsidRPr="001D1ECD">
        <w:rPr>
          <w:lang w:val="sr-Latn-CS"/>
        </w:rPr>
        <w:t>ненаплаћене</w:t>
      </w:r>
      <w:proofErr w:type="spellEnd"/>
      <w:r w:rsidRPr="001D1ECD">
        <w:rPr>
          <w:lang w:val="sr-Latn-CS"/>
        </w:rPr>
        <w:t xml:space="preserve"> </w:t>
      </w:r>
      <w:proofErr w:type="spellStart"/>
      <w:r w:rsidRPr="001D1ECD">
        <w:rPr>
          <w:lang w:val="sr-Latn-CS"/>
        </w:rPr>
        <w:t>порезе</w:t>
      </w:r>
      <w:proofErr w:type="spellEnd"/>
      <w:r w:rsidRPr="001D1ECD">
        <w:rPr>
          <w:lang w:val="sr-Latn-CS"/>
        </w:rPr>
        <w:t xml:space="preserve">, </w:t>
      </w:r>
      <w:proofErr w:type="spellStart"/>
      <w:r w:rsidRPr="001D1ECD">
        <w:rPr>
          <w:lang w:val="sr-Latn-CS"/>
        </w:rPr>
        <w:t>доприносе</w:t>
      </w:r>
      <w:proofErr w:type="spellEnd"/>
      <w:r w:rsidRPr="001D1ECD">
        <w:rPr>
          <w:lang w:val="sr-Latn-CS"/>
        </w:rPr>
        <w:t xml:space="preserve"> и </w:t>
      </w:r>
      <w:proofErr w:type="spellStart"/>
      <w:r w:rsidRPr="001D1ECD">
        <w:rPr>
          <w:lang w:val="sr-Latn-CS"/>
        </w:rPr>
        <w:t>непореске</w:t>
      </w:r>
      <w:proofErr w:type="spellEnd"/>
      <w:r w:rsidRPr="001D1ECD">
        <w:rPr>
          <w:lang w:val="sr-Latn-CS"/>
        </w:rPr>
        <w:t xml:space="preserve"> </w:t>
      </w:r>
      <w:proofErr w:type="spellStart"/>
      <w:r w:rsidRPr="001D1ECD">
        <w:rPr>
          <w:lang w:val="sr-Latn-CS"/>
        </w:rPr>
        <w:t>приходе</w:t>
      </w:r>
      <w:proofErr w:type="spellEnd"/>
      <w:r w:rsidRPr="001D1ECD">
        <w:rPr>
          <w:lang w:val="sr-Latn-CS"/>
        </w:rPr>
        <w:t xml:space="preserve"> </w:t>
      </w:r>
    </w:p>
    <w:p w14:paraId="4560C123" w14:textId="77777777" w:rsidR="00AC145A" w:rsidRPr="001D1ECD" w:rsidRDefault="00AC145A" w:rsidP="00AC145A">
      <w:pPr>
        <w:tabs>
          <w:tab w:val="right" w:leader="dot" w:pos="9214"/>
        </w:tabs>
        <w:ind w:left="-357" w:firstLine="720"/>
      </w:pPr>
      <w:r w:rsidRPr="001D1ECD">
        <w:t xml:space="preserve"> </w:t>
      </w:r>
      <w:r w:rsidRPr="001D1ECD">
        <w:rPr>
          <w:lang w:val="sr-Latn-CS"/>
        </w:rPr>
        <w:t>(</w:t>
      </w:r>
      <w:proofErr w:type="spellStart"/>
      <w:r w:rsidRPr="001D1ECD">
        <w:rPr>
          <w:lang w:val="sr-Latn-CS"/>
        </w:rPr>
        <w:t>евиденција</w:t>
      </w:r>
      <w:proofErr w:type="spellEnd"/>
      <w:r w:rsidRPr="001D1ECD">
        <w:rPr>
          <w:lang w:val="sr-Latn-CS"/>
        </w:rPr>
        <w:t xml:space="preserve"> у </w:t>
      </w:r>
      <w:proofErr w:type="spellStart"/>
      <w:r w:rsidRPr="001D1ECD">
        <w:rPr>
          <w:lang w:val="sr-Latn-CS"/>
        </w:rPr>
        <w:t>пореском</w:t>
      </w:r>
      <w:proofErr w:type="spellEnd"/>
      <w:r w:rsidRPr="001D1ECD">
        <w:rPr>
          <w:lang w:val="sr-Latn-CS"/>
        </w:rPr>
        <w:t xml:space="preserve"> </w:t>
      </w:r>
      <w:proofErr w:type="spellStart"/>
      <w:r w:rsidRPr="001D1ECD">
        <w:rPr>
          <w:lang w:val="sr-Latn-CS"/>
        </w:rPr>
        <w:t>књиговодству</w:t>
      </w:r>
      <w:proofErr w:type="spellEnd"/>
      <w:r w:rsidRPr="001D1ECD">
        <w:rPr>
          <w:lang w:val="sr-Latn-CS"/>
        </w:rPr>
        <w:t>)</w:t>
      </w:r>
      <w:r w:rsidRPr="001D1ECD">
        <w:tab/>
      </w:r>
      <w:r w:rsidRPr="001D1ECD">
        <w:rPr>
          <w:lang w:val="sr-Cyrl-RS"/>
        </w:rPr>
        <w:t>5.</w:t>
      </w:r>
      <w:r w:rsidR="00F453E5">
        <w:rPr>
          <w:lang w:val="sr-Cyrl-RS"/>
        </w:rPr>
        <w:t>763.893</w:t>
      </w:r>
      <w:r w:rsidRPr="001D1ECD">
        <w:t xml:space="preserve"> КМ</w:t>
      </w:r>
    </w:p>
    <w:p w14:paraId="2BDE3D0C" w14:textId="77777777" w:rsidR="00AC145A" w:rsidRPr="001D1ECD" w:rsidRDefault="00AC145A" w:rsidP="00AC145A">
      <w:pPr>
        <w:tabs>
          <w:tab w:val="right" w:leader="dot" w:pos="9214"/>
        </w:tabs>
        <w:ind w:left="-357" w:firstLine="720"/>
        <w:rPr>
          <w:lang w:val="sr-Cyrl-RS"/>
        </w:rPr>
      </w:pPr>
      <w:r w:rsidRPr="001D1ECD">
        <w:rPr>
          <w:lang w:val="sr-Cyrl-RS"/>
        </w:rPr>
        <w:t xml:space="preserve">- Потраживања за порезе, доприносе и </w:t>
      </w:r>
      <w:proofErr w:type="spellStart"/>
      <w:r w:rsidRPr="001D1ECD">
        <w:rPr>
          <w:lang w:val="sr-Cyrl-RS"/>
        </w:rPr>
        <w:t>непореске</w:t>
      </w:r>
      <w:proofErr w:type="spellEnd"/>
      <w:r w:rsidRPr="001D1ECD">
        <w:rPr>
          <w:lang w:val="sr-Cyrl-RS"/>
        </w:rPr>
        <w:t xml:space="preserve"> приходе за које је</w:t>
      </w:r>
    </w:p>
    <w:p w14:paraId="07D8CD54" w14:textId="77777777" w:rsidR="00AC145A" w:rsidRPr="001D1ECD" w:rsidRDefault="00AC145A" w:rsidP="00AC145A">
      <w:pPr>
        <w:tabs>
          <w:tab w:val="right" w:leader="dot" w:pos="9214"/>
        </w:tabs>
        <w:ind w:left="-357" w:firstLine="720"/>
        <w:rPr>
          <w:lang w:val="sr-Cyrl-RS"/>
        </w:rPr>
      </w:pPr>
      <w:r w:rsidRPr="001D1ECD">
        <w:rPr>
          <w:lang w:val="sr-Cyrl-RS"/>
        </w:rPr>
        <w:t xml:space="preserve">  продужен рок плаћања, а </w:t>
      </w:r>
      <w:proofErr w:type="spellStart"/>
      <w:r w:rsidRPr="001D1ECD">
        <w:rPr>
          <w:lang w:val="sr-Cyrl-RS"/>
        </w:rPr>
        <w:t>доспијевају</w:t>
      </w:r>
      <w:proofErr w:type="spellEnd"/>
      <w:r w:rsidRPr="001D1ECD">
        <w:rPr>
          <w:lang w:val="sr-Cyrl-RS"/>
        </w:rPr>
        <w:t xml:space="preserve"> на наплату у року од</w:t>
      </w:r>
    </w:p>
    <w:p w14:paraId="2349CC6F" w14:textId="77777777" w:rsidR="00AC145A" w:rsidRPr="001D1ECD" w:rsidRDefault="00AC145A" w:rsidP="00AC145A">
      <w:pPr>
        <w:tabs>
          <w:tab w:val="right" w:leader="dot" w:pos="9214"/>
        </w:tabs>
        <w:ind w:left="-357" w:firstLine="720"/>
        <w:rPr>
          <w:lang w:val="sr-Cyrl-RS"/>
        </w:rPr>
      </w:pPr>
      <w:r w:rsidRPr="001D1ECD">
        <w:rPr>
          <w:lang w:val="sr-Cyrl-RS"/>
        </w:rPr>
        <w:t xml:space="preserve">  годину дана</w:t>
      </w:r>
      <w:r w:rsidRPr="001D1ECD">
        <w:rPr>
          <w:lang w:val="sr-Cyrl-RS"/>
        </w:rPr>
        <w:tab/>
      </w:r>
      <w:r w:rsidR="00F453E5">
        <w:rPr>
          <w:lang w:val="sr-Cyrl-RS"/>
        </w:rPr>
        <w:t>89.421</w:t>
      </w:r>
      <w:r w:rsidRPr="001D1ECD">
        <w:rPr>
          <w:lang w:val="sr-Cyrl-RS"/>
        </w:rPr>
        <w:t xml:space="preserve"> КМ</w:t>
      </w:r>
    </w:p>
    <w:p w14:paraId="61348BA6" w14:textId="77777777" w:rsidR="00AC145A" w:rsidRPr="001D1ECD" w:rsidRDefault="00AC145A" w:rsidP="00AC145A">
      <w:pPr>
        <w:tabs>
          <w:tab w:val="right" w:leader="dot" w:pos="9214"/>
        </w:tabs>
        <w:ind w:left="-357" w:firstLine="720"/>
        <w:rPr>
          <w:lang w:val="sr-Cyrl-RS"/>
        </w:rPr>
      </w:pPr>
      <w:r w:rsidRPr="001D1ECD">
        <w:rPr>
          <w:lang w:val="sr-Cyrl-RS"/>
        </w:rPr>
        <w:t>- Остала краткорочна потраживања у земљи – Центар за социјални рад</w:t>
      </w:r>
      <w:r w:rsidRPr="001D1ECD">
        <w:rPr>
          <w:lang w:val="sr-Cyrl-RS"/>
        </w:rPr>
        <w:tab/>
      </w:r>
      <w:r w:rsidR="00F453E5">
        <w:rPr>
          <w:lang w:val="sr-Cyrl-RS"/>
        </w:rPr>
        <w:t>525</w:t>
      </w:r>
      <w:r w:rsidRPr="001D1ECD">
        <w:rPr>
          <w:lang w:val="sr-Cyrl-RS"/>
        </w:rPr>
        <w:t xml:space="preserve"> КМ</w:t>
      </w:r>
    </w:p>
    <w:p w14:paraId="37DE4A87" w14:textId="77777777" w:rsidR="00AC145A" w:rsidRPr="001D1ECD" w:rsidRDefault="00AC145A" w:rsidP="00AC145A">
      <w:pPr>
        <w:tabs>
          <w:tab w:val="right" w:leader="dot" w:pos="9214"/>
        </w:tabs>
        <w:ind w:left="-357" w:firstLine="720"/>
      </w:pPr>
      <w:r w:rsidRPr="001D1ECD">
        <w:t xml:space="preserve">- Остала спорна </w:t>
      </w:r>
      <w:proofErr w:type="spellStart"/>
      <w:r w:rsidRPr="001D1ECD">
        <w:rPr>
          <w:lang w:val="sr-Cyrl-RS"/>
        </w:rPr>
        <w:t>кратк</w:t>
      </w:r>
      <w:proofErr w:type="spellEnd"/>
      <w:r w:rsidRPr="001D1ECD">
        <w:rPr>
          <w:lang w:val="sr-Cyrl-RS"/>
        </w:rPr>
        <w:t xml:space="preserve">. </w:t>
      </w:r>
      <w:r w:rsidRPr="001D1ECD">
        <w:t>потраживања – Центар за социјални рад</w:t>
      </w:r>
      <w:r w:rsidRPr="001D1ECD">
        <w:tab/>
      </w:r>
      <w:r w:rsidRPr="001D1ECD">
        <w:rPr>
          <w:lang w:val="sr-Latn-RS"/>
        </w:rPr>
        <w:t>205</w:t>
      </w:r>
      <w:r w:rsidRPr="001D1ECD">
        <w:t xml:space="preserve"> КМ</w:t>
      </w:r>
    </w:p>
    <w:p w14:paraId="65DDF41C" w14:textId="77777777" w:rsidR="00AC145A" w:rsidRPr="001D1ECD" w:rsidRDefault="00AC145A" w:rsidP="00AC145A">
      <w:pPr>
        <w:tabs>
          <w:tab w:val="right" w:leader="dot" w:pos="9214"/>
        </w:tabs>
        <w:ind w:left="-357" w:firstLine="720"/>
      </w:pPr>
      <w:r w:rsidRPr="001D1ECD">
        <w:t xml:space="preserve">- Спорна остала краткорочна потраживања у земљи - потраживања </w:t>
      </w:r>
    </w:p>
    <w:p w14:paraId="0EEAB290" w14:textId="77777777" w:rsidR="00AC145A" w:rsidRPr="001D1ECD" w:rsidRDefault="00AC145A" w:rsidP="00AC145A">
      <w:pPr>
        <w:tabs>
          <w:tab w:val="right" w:leader="dot" w:pos="9214"/>
        </w:tabs>
        <w:ind w:left="-357" w:firstLine="720"/>
      </w:pPr>
      <w:r w:rsidRPr="001D1ECD">
        <w:t xml:space="preserve">  од физичких лица за доградњу станова по уговорима</w:t>
      </w:r>
      <w:r w:rsidRPr="001D1ECD">
        <w:tab/>
      </w:r>
      <w:r w:rsidRPr="001D1ECD">
        <w:rPr>
          <w:lang w:val="sr-Latn-RS"/>
        </w:rPr>
        <w:t>11.</w:t>
      </w:r>
      <w:r w:rsidR="00FA35C1">
        <w:rPr>
          <w:lang w:val="sr-Cyrl-RS"/>
        </w:rPr>
        <w:t>669</w:t>
      </w:r>
      <w:r w:rsidRPr="001D1ECD">
        <w:t xml:space="preserve"> КМ</w:t>
      </w:r>
    </w:p>
    <w:p w14:paraId="5CD0F05D" w14:textId="77777777" w:rsidR="00AC145A" w:rsidRPr="001D1ECD" w:rsidRDefault="00AC145A" w:rsidP="00AC145A">
      <w:pPr>
        <w:tabs>
          <w:tab w:val="right" w:leader="dot" w:pos="9214"/>
        </w:tabs>
        <w:ind w:left="-357" w:firstLine="720"/>
      </w:pPr>
      <w:r w:rsidRPr="001D1ECD">
        <w:rPr>
          <w:lang w:val="sr-Latn-RS"/>
        </w:rPr>
        <w:t xml:space="preserve">- </w:t>
      </w:r>
      <w:r w:rsidRPr="001D1ECD">
        <w:rPr>
          <w:lang w:val="sr-Cyrl-RS"/>
        </w:rPr>
        <w:t xml:space="preserve">Потраживања од осталих корисника јавних прихода </w:t>
      </w:r>
      <w:r w:rsidRPr="001D1ECD">
        <w:t xml:space="preserve">по </w:t>
      </w:r>
    </w:p>
    <w:p w14:paraId="56A20683" w14:textId="77777777" w:rsidR="00AC145A" w:rsidRPr="001D1ECD" w:rsidRDefault="00AC145A" w:rsidP="00AC145A">
      <w:pPr>
        <w:tabs>
          <w:tab w:val="right" w:leader="dot" w:pos="9214"/>
        </w:tabs>
        <w:ind w:left="-357" w:firstLine="720"/>
        <w:rPr>
          <w:lang w:val="sr-Cyrl-RS"/>
        </w:rPr>
      </w:pPr>
      <w:r w:rsidRPr="001D1ECD">
        <w:rPr>
          <w:lang w:val="sr-Cyrl-RS"/>
        </w:rPr>
        <w:t xml:space="preserve">  </w:t>
      </w:r>
      <w:r w:rsidRPr="001D1ECD">
        <w:t>записницима</w:t>
      </w:r>
      <w:r w:rsidRPr="001D1ECD">
        <w:rPr>
          <w:lang w:val="sr-Cyrl-RS"/>
        </w:rPr>
        <w:t xml:space="preserve"> </w:t>
      </w:r>
      <w:r w:rsidRPr="001D1ECD">
        <w:t xml:space="preserve">Пореске управе РС о </w:t>
      </w:r>
      <w:r w:rsidRPr="001D1ECD">
        <w:rPr>
          <w:lang w:val="sr-Cyrl-RS"/>
        </w:rPr>
        <w:t xml:space="preserve">обрачуну и </w:t>
      </w:r>
      <w:r w:rsidRPr="001D1ECD">
        <w:t>поравнању</w:t>
      </w:r>
      <w:r w:rsidRPr="001D1ECD">
        <w:rPr>
          <w:lang w:val="sr-Cyrl-RS"/>
        </w:rPr>
        <w:t xml:space="preserve"> више и </w:t>
      </w:r>
    </w:p>
    <w:p w14:paraId="20E0AA8E" w14:textId="77777777" w:rsidR="00AC145A" w:rsidRDefault="00AC145A" w:rsidP="00AC145A">
      <w:pPr>
        <w:tabs>
          <w:tab w:val="right" w:leader="dot" w:pos="9214"/>
        </w:tabs>
        <w:ind w:left="-357" w:firstLine="720"/>
        <w:rPr>
          <w:lang w:val="sr-Cyrl-RS"/>
        </w:rPr>
      </w:pPr>
      <w:r w:rsidRPr="001D1ECD">
        <w:rPr>
          <w:lang w:val="sr-Cyrl-RS"/>
        </w:rPr>
        <w:t xml:space="preserve">  погрешно </w:t>
      </w:r>
      <w:proofErr w:type="spellStart"/>
      <w:r w:rsidRPr="001D1ECD">
        <w:rPr>
          <w:lang w:val="sr-Cyrl-RS"/>
        </w:rPr>
        <w:t>уплаћених</w:t>
      </w:r>
      <w:proofErr w:type="spellEnd"/>
      <w:r w:rsidRPr="001D1ECD">
        <w:t xml:space="preserve"> јавних прихода</w:t>
      </w:r>
      <w:r w:rsidRPr="001D1ECD">
        <w:tab/>
      </w:r>
      <w:r w:rsidR="00FA35C1">
        <w:rPr>
          <w:lang w:val="sr-Cyrl-RS"/>
        </w:rPr>
        <w:t>88</w:t>
      </w:r>
      <w:r w:rsidRPr="001D1ECD">
        <w:rPr>
          <w:lang w:val="sr-Cyrl-RS"/>
        </w:rPr>
        <w:t xml:space="preserve"> КМ</w:t>
      </w:r>
    </w:p>
    <w:p w14:paraId="65FBD0B1" w14:textId="77777777" w:rsidR="00FA35C1" w:rsidRPr="001D1ECD" w:rsidRDefault="00FA35C1" w:rsidP="00FA35C1">
      <w:pPr>
        <w:tabs>
          <w:tab w:val="right" w:leader="dot" w:pos="9214"/>
        </w:tabs>
        <w:ind w:left="-357" w:firstLine="720"/>
      </w:pPr>
      <w:r w:rsidRPr="001D1ECD">
        <w:t xml:space="preserve">- Спорна потраживања </w:t>
      </w:r>
      <w:r w:rsidRPr="001D1ECD">
        <w:rPr>
          <w:lang w:val="sr-Cyrl-RS"/>
        </w:rPr>
        <w:t xml:space="preserve">од осталих корисника јавних прихода </w:t>
      </w:r>
      <w:r w:rsidRPr="001D1ECD">
        <w:t xml:space="preserve">по </w:t>
      </w:r>
    </w:p>
    <w:p w14:paraId="0881FE9B" w14:textId="77777777" w:rsidR="00FA35C1" w:rsidRPr="001D1ECD" w:rsidRDefault="00FA35C1" w:rsidP="00FA35C1">
      <w:pPr>
        <w:tabs>
          <w:tab w:val="right" w:leader="dot" w:pos="9214"/>
        </w:tabs>
        <w:ind w:left="-357" w:firstLine="720"/>
        <w:rPr>
          <w:lang w:val="sr-Cyrl-RS"/>
        </w:rPr>
      </w:pPr>
      <w:r w:rsidRPr="001D1ECD">
        <w:rPr>
          <w:lang w:val="sr-Cyrl-RS"/>
        </w:rPr>
        <w:t xml:space="preserve">  </w:t>
      </w:r>
      <w:r w:rsidRPr="001D1ECD">
        <w:t>записницима</w:t>
      </w:r>
      <w:r w:rsidRPr="001D1ECD">
        <w:rPr>
          <w:lang w:val="sr-Cyrl-RS"/>
        </w:rPr>
        <w:t xml:space="preserve"> </w:t>
      </w:r>
      <w:r w:rsidRPr="001D1ECD">
        <w:t xml:space="preserve">Пореске управе РС о </w:t>
      </w:r>
      <w:r w:rsidRPr="001D1ECD">
        <w:rPr>
          <w:lang w:val="sr-Cyrl-RS"/>
        </w:rPr>
        <w:t xml:space="preserve">обрачуну и </w:t>
      </w:r>
      <w:r w:rsidRPr="001D1ECD">
        <w:t>поравнању</w:t>
      </w:r>
      <w:r w:rsidRPr="001D1ECD">
        <w:rPr>
          <w:lang w:val="sr-Cyrl-RS"/>
        </w:rPr>
        <w:t xml:space="preserve"> више и </w:t>
      </w:r>
    </w:p>
    <w:p w14:paraId="7E112DC9" w14:textId="77777777" w:rsidR="00FA35C1" w:rsidRPr="00FA35C1" w:rsidRDefault="00FA35C1" w:rsidP="00FA35C1">
      <w:pPr>
        <w:tabs>
          <w:tab w:val="right" w:leader="dot" w:pos="9214"/>
        </w:tabs>
        <w:ind w:left="-357" w:firstLine="720"/>
      </w:pPr>
      <w:r w:rsidRPr="001D1ECD">
        <w:rPr>
          <w:lang w:val="sr-Cyrl-RS"/>
        </w:rPr>
        <w:t xml:space="preserve">  погрешно </w:t>
      </w:r>
      <w:proofErr w:type="spellStart"/>
      <w:r w:rsidRPr="001D1ECD">
        <w:rPr>
          <w:lang w:val="sr-Cyrl-RS"/>
        </w:rPr>
        <w:t>уплаћених</w:t>
      </w:r>
      <w:proofErr w:type="spellEnd"/>
      <w:r w:rsidRPr="001D1ECD">
        <w:t xml:space="preserve"> јавних прихода</w:t>
      </w:r>
      <w:r w:rsidRPr="001D1ECD">
        <w:tab/>
      </w:r>
      <w:r>
        <w:rPr>
          <w:lang w:val="sr-Cyrl-RS"/>
        </w:rPr>
        <w:t>40</w:t>
      </w:r>
      <w:r>
        <w:t xml:space="preserve"> КМ</w:t>
      </w:r>
    </w:p>
    <w:p w14:paraId="74168209" w14:textId="77777777" w:rsidR="00FA35C1" w:rsidRPr="001D1ECD" w:rsidRDefault="00FA35C1" w:rsidP="00AC145A">
      <w:pPr>
        <w:tabs>
          <w:tab w:val="right" w:leader="dot" w:pos="9214"/>
        </w:tabs>
        <w:ind w:left="-357" w:firstLine="720"/>
        <w:rPr>
          <w:lang w:val="sr-Cyrl-RS"/>
        </w:rPr>
      </w:pPr>
      <w:r>
        <w:rPr>
          <w:lang w:val="sr-Cyrl-RS"/>
        </w:rPr>
        <w:t>- Потраживања од општине Станари по основу погрешно извршене уплате</w:t>
      </w:r>
      <w:r>
        <w:rPr>
          <w:lang w:val="sr-Cyrl-RS"/>
        </w:rPr>
        <w:tab/>
        <w:t>19 КМ</w:t>
      </w:r>
    </w:p>
    <w:p w14:paraId="1E878397" w14:textId="77777777" w:rsidR="00AC145A" w:rsidRPr="001D1ECD" w:rsidRDefault="00AC145A" w:rsidP="00AC145A">
      <w:pPr>
        <w:tabs>
          <w:tab w:val="right" w:leader="dot" w:pos="9214"/>
        </w:tabs>
        <w:ind w:left="-357" w:firstLine="720"/>
        <w:rPr>
          <w:b/>
          <w:lang w:val="sr-Cyrl-RS"/>
        </w:rPr>
      </w:pPr>
      <w:r w:rsidRPr="001D1ECD">
        <w:rPr>
          <w:b/>
          <w:lang w:val="sr-Cyrl-RS"/>
        </w:rPr>
        <w:t xml:space="preserve">  У к у п н о:</w:t>
      </w:r>
      <w:r w:rsidRPr="001D1ECD">
        <w:rPr>
          <w:b/>
          <w:lang w:val="sr-Cyrl-RS"/>
        </w:rPr>
        <w:tab/>
        <w:t>5.</w:t>
      </w:r>
      <w:r w:rsidR="00FA35C1">
        <w:rPr>
          <w:b/>
          <w:lang w:val="sr-Cyrl-RS"/>
        </w:rPr>
        <w:t>885</w:t>
      </w:r>
      <w:r w:rsidRPr="001D1ECD">
        <w:rPr>
          <w:b/>
          <w:lang w:val="sr-Cyrl-RS"/>
        </w:rPr>
        <w:t>.</w:t>
      </w:r>
      <w:r w:rsidR="00FA35C1">
        <w:rPr>
          <w:b/>
          <w:lang w:val="sr-Cyrl-RS"/>
        </w:rPr>
        <w:t>615</w:t>
      </w:r>
      <w:r w:rsidRPr="001D1ECD">
        <w:rPr>
          <w:b/>
          <w:lang w:val="sr-Cyrl-RS"/>
        </w:rPr>
        <w:t xml:space="preserve"> КМ</w:t>
      </w:r>
    </w:p>
    <w:p w14:paraId="4FCFF61F" w14:textId="77777777" w:rsidR="00AC145A" w:rsidRPr="001D1ECD" w:rsidRDefault="00AC145A" w:rsidP="00AC145A">
      <w:pPr>
        <w:ind w:right="-792"/>
      </w:pPr>
    </w:p>
    <w:p w14:paraId="7821DAED" w14:textId="77777777" w:rsidR="00AC145A" w:rsidRPr="001D1ECD" w:rsidRDefault="00AC145A" w:rsidP="00AC145A">
      <w:pPr>
        <w:ind w:left="0" w:right="-792"/>
        <w:rPr>
          <w:lang w:val="sr-Latn-CS"/>
        </w:rPr>
      </w:pPr>
      <w:r w:rsidRPr="001D1ECD">
        <w:rPr>
          <w:lang w:val="sr-Latn-CS"/>
        </w:rPr>
        <w:tab/>
      </w:r>
      <w:proofErr w:type="spellStart"/>
      <w:r w:rsidRPr="001D1ECD">
        <w:rPr>
          <w:lang w:val="sr-Latn-CS"/>
        </w:rPr>
        <w:t>Извршена</w:t>
      </w:r>
      <w:proofErr w:type="spellEnd"/>
      <w:r w:rsidRPr="001D1ECD">
        <w:rPr>
          <w:lang w:val="sr-Latn-CS"/>
        </w:rPr>
        <w:t xml:space="preserve"> </w:t>
      </w:r>
      <w:proofErr w:type="spellStart"/>
      <w:r w:rsidRPr="001D1ECD">
        <w:rPr>
          <w:lang w:val="sr-Latn-CS"/>
        </w:rPr>
        <w:t>је</w:t>
      </w:r>
      <w:proofErr w:type="spellEnd"/>
      <w:r w:rsidRPr="001D1ECD">
        <w:rPr>
          <w:lang w:val="sr-Latn-CS"/>
        </w:rPr>
        <w:t xml:space="preserve"> </w:t>
      </w:r>
      <w:proofErr w:type="spellStart"/>
      <w:r w:rsidRPr="001D1ECD">
        <w:rPr>
          <w:lang w:val="sr-Latn-CS"/>
        </w:rPr>
        <w:t>исправка</w:t>
      </w:r>
      <w:proofErr w:type="spellEnd"/>
      <w:r w:rsidRPr="001D1ECD">
        <w:rPr>
          <w:lang w:val="sr-Latn-CS"/>
        </w:rPr>
        <w:t xml:space="preserve"> (</w:t>
      </w:r>
      <w:proofErr w:type="spellStart"/>
      <w:r w:rsidRPr="001D1ECD">
        <w:rPr>
          <w:lang w:val="sr-Latn-CS"/>
        </w:rPr>
        <w:t>корекција</w:t>
      </w:r>
      <w:proofErr w:type="spellEnd"/>
      <w:r w:rsidRPr="001D1ECD">
        <w:rPr>
          <w:lang w:val="sr-Latn-CS"/>
        </w:rPr>
        <w:t xml:space="preserve"> </w:t>
      </w:r>
      <w:proofErr w:type="spellStart"/>
      <w:r w:rsidRPr="001D1ECD">
        <w:rPr>
          <w:lang w:val="sr-Latn-CS"/>
        </w:rPr>
        <w:t>вриједности</w:t>
      </w:r>
      <w:proofErr w:type="spellEnd"/>
      <w:r w:rsidRPr="001D1ECD">
        <w:rPr>
          <w:lang w:val="sr-Latn-CS"/>
        </w:rPr>
        <w:t xml:space="preserve">) </w:t>
      </w:r>
      <w:proofErr w:type="spellStart"/>
      <w:r w:rsidRPr="001D1ECD">
        <w:rPr>
          <w:lang w:val="sr-Latn-CS"/>
        </w:rPr>
        <w:t>краткорочних</w:t>
      </w:r>
      <w:proofErr w:type="spellEnd"/>
      <w:r w:rsidRPr="001D1ECD">
        <w:rPr>
          <w:lang w:val="sr-Latn-CS"/>
        </w:rPr>
        <w:t xml:space="preserve"> </w:t>
      </w:r>
      <w:proofErr w:type="spellStart"/>
      <w:r w:rsidRPr="001D1ECD">
        <w:rPr>
          <w:lang w:val="sr-Latn-CS"/>
        </w:rPr>
        <w:t>потраживања</w:t>
      </w:r>
      <w:proofErr w:type="spellEnd"/>
      <w:r w:rsidRPr="001D1ECD">
        <w:rPr>
          <w:lang w:val="sr-Latn-CS"/>
        </w:rPr>
        <w:t xml:space="preserve"> </w:t>
      </w:r>
      <w:proofErr w:type="spellStart"/>
      <w:r w:rsidRPr="001D1ECD">
        <w:rPr>
          <w:lang w:val="sr-Latn-CS"/>
        </w:rPr>
        <w:t>за</w:t>
      </w:r>
      <w:proofErr w:type="spellEnd"/>
      <w:r w:rsidRPr="001D1ECD">
        <w:rPr>
          <w:lang w:val="sr-Latn-CS"/>
        </w:rPr>
        <w:t xml:space="preserve"> </w:t>
      </w:r>
      <w:proofErr w:type="spellStart"/>
      <w:r w:rsidRPr="001D1ECD">
        <w:rPr>
          <w:lang w:val="sr-Latn-CS"/>
        </w:rPr>
        <w:t>износ</w:t>
      </w:r>
      <w:proofErr w:type="spellEnd"/>
      <w:r w:rsidRPr="001D1ECD">
        <w:rPr>
          <w:lang w:val="sr-Latn-CS"/>
        </w:rPr>
        <w:t xml:space="preserve"> </w:t>
      </w:r>
      <w:r w:rsidRPr="001D1ECD">
        <w:t xml:space="preserve">од </w:t>
      </w:r>
      <w:r w:rsidR="00FA35C1">
        <w:rPr>
          <w:lang w:val="sr-Cyrl-RS"/>
        </w:rPr>
        <w:t>5.062.400</w:t>
      </w:r>
      <w:r w:rsidRPr="001D1ECD">
        <w:t xml:space="preserve"> КМ, колико износе спорна потраживања. Корекција је извршена у складу са чл. </w:t>
      </w:r>
      <w:r w:rsidRPr="001D1ECD">
        <w:rPr>
          <w:lang w:val="sr-Cyrl-RS"/>
        </w:rPr>
        <w:t>73</w:t>
      </w:r>
      <w:r w:rsidRPr="001D1ECD">
        <w:t xml:space="preserve">. Правилника о рачуноводству, рачуноводственим  политикама и рачуноводственим </w:t>
      </w:r>
      <w:proofErr w:type="spellStart"/>
      <w:r w:rsidRPr="001D1ECD">
        <w:t>процјенама</w:t>
      </w:r>
      <w:proofErr w:type="spellEnd"/>
      <w:r w:rsidRPr="001D1ECD">
        <w:t xml:space="preserve"> за буџетске кориснике („Сл. гласник РС“, број </w:t>
      </w:r>
      <w:r w:rsidRPr="001D1ECD">
        <w:rPr>
          <w:lang w:val="sr-Cyrl-RS"/>
        </w:rPr>
        <w:t>115/17 и 118/18</w:t>
      </w:r>
      <w:r w:rsidRPr="001D1ECD">
        <w:t>).</w:t>
      </w:r>
    </w:p>
    <w:p w14:paraId="45D8A3DE" w14:textId="77777777" w:rsidR="00AC145A" w:rsidRPr="001D1ECD" w:rsidRDefault="00AC145A" w:rsidP="00AC145A">
      <w:pPr>
        <w:ind w:left="0" w:right="-792"/>
        <w:rPr>
          <w:lang w:val="sr-Cyrl-RS"/>
        </w:rPr>
      </w:pPr>
      <w:r w:rsidRPr="001D1ECD">
        <w:tab/>
        <w:t>Усаглашавање свих потраживања врши се редовно сваке године, а извршено ј</w:t>
      </w:r>
      <w:r w:rsidR="00FA35C1">
        <w:t>е усаглашавање и за 2020</w:t>
      </w:r>
      <w:r w:rsidRPr="001D1ECD">
        <w:t xml:space="preserve">. годину. Најтеже је усагласити властите </w:t>
      </w:r>
      <w:proofErr w:type="spellStart"/>
      <w:r w:rsidRPr="001D1ECD">
        <w:t>непореске</w:t>
      </w:r>
      <w:proofErr w:type="spellEnd"/>
      <w:r w:rsidRPr="001D1ECD">
        <w:t xml:space="preserve"> приходе општине (комуналну накнаду, земљишну ренту, накнаду за уређење градског грађевинског земљишта, закупе јавних површина за киоске, баште и друго). Ово из разлога што је </w:t>
      </w:r>
      <w:proofErr w:type="spellStart"/>
      <w:r w:rsidRPr="001D1ECD">
        <w:t>ријеч</w:t>
      </w:r>
      <w:proofErr w:type="spellEnd"/>
      <w:r w:rsidRPr="001D1ECD">
        <w:t xml:space="preserve"> о великом броју правних лица и предузетника што </w:t>
      </w:r>
      <w:proofErr w:type="spellStart"/>
      <w:r w:rsidRPr="001D1ECD">
        <w:t>захтијева</w:t>
      </w:r>
      <w:proofErr w:type="spellEnd"/>
      <w:r w:rsidRPr="001D1ECD">
        <w:t xml:space="preserve"> сл</w:t>
      </w:r>
      <w:r w:rsidR="00D40FA2">
        <w:t>ање великог броја ИОС-а. За 2020</w:t>
      </w:r>
      <w:r w:rsidRPr="001D1ECD">
        <w:t xml:space="preserve">. годину послано </w:t>
      </w:r>
      <w:r w:rsidRPr="00D40FA2">
        <w:t xml:space="preserve">је </w:t>
      </w:r>
      <w:r w:rsidR="00D40FA2" w:rsidRPr="00D40FA2">
        <w:rPr>
          <w:lang w:val="sr-Cyrl-RS"/>
        </w:rPr>
        <w:t>720</w:t>
      </w:r>
      <w:r w:rsidRPr="00D40FA2">
        <w:t xml:space="preserve"> ИОС-а за</w:t>
      </w:r>
      <w:r w:rsidRPr="001D1ECD">
        <w:t xml:space="preserve"> комуналну накнаду </w:t>
      </w:r>
      <w:r w:rsidRPr="00D40FA2">
        <w:t xml:space="preserve">и </w:t>
      </w:r>
      <w:r w:rsidR="00D40FA2" w:rsidRPr="00D40FA2">
        <w:rPr>
          <w:lang w:val="sr-Cyrl-RS"/>
        </w:rPr>
        <w:t>52</w:t>
      </w:r>
      <w:r w:rsidRPr="00D40FA2">
        <w:t xml:space="preserve"> ИОС-а</w:t>
      </w:r>
      <w:r w:rsidRPr="001D1ECD">
        <w:t xml:space="preserve"> за остале </w:t>
      </w:r>
      <w:r w:rsidRPr="001D1ECD">
        <w:rPr>
          <w:lang w:val="sr-Cyrl-RS"/>
        </w:rPr>
        <w:t xml:space="preserve">врсте </w:t>
      </w:r>
      <w:r w:rsidRPr="001D1ECD">
        <w:t xml:space="preserve">прихода. </w:t>
      </w:r>
    </w:p>
    <w:p w14:paraId="23135989" w14:textId="77777777" w:rsidR="00AC145A" w:rsidRPr="001D1ECD" w:rsidRDefault="00AC145A" w:rsidP="00AC145A">
      <w:pPr>
        <w:ind w:left="0" w:right="-792" w:firstLine="0"/>
        <w:rPr>
          <w:b/>
          <w:u w:val="single"/>
        </w:rPr>
      </w:pPr>
    </w:p>
    <w:p w14:paraId="385EA719" w14:textId="77777777" w:rsidR="00AC145A" w:rsidRPr="001D1ECD" w:rsidRDefault="00AC145A" w:rsidP="00AC145A">
      <w:pPr>
        <w:ind w:right="-792"/>
      </w:pPr>
      <w:r w:rsidRPr="001D1ECD">
        <w:t>АОП018, колона 4 и 5 К-БС</w:t>
      </w:r>
    </w:p>
    <w:p w14:paraId="223D4B1E" w14:textId="77777777" w:rsidR="00AC145A" w:rsidRPr="001D1ECD" w:rsidRDefault="00AC145A" w:rsidP="00AC145A">
      <w:pPr>
        <w:ind w:left="0" w:firstLine="0"/>
        <w:rPr>
          <w:lang w:val="sr-Cyrl-BA"/>
        </w:rPr>
      </w:pPr>
      <w:r w:rsidRPr="001D1ECD">
        <w:rPr>
          <w:b/>
          <w:i/>
        </w:rPr>
        <w:sym w:font="Wingdings" w:char="F077"/>
      </w:r>
      <w:r w:rsidRPr="001D1ECD">
        <w:rPr>
          <w:b/>
          <w:i/>
        </w:rPr>
        <w:t xml:space="preserve"> Потраживања за ненаплаћене порезе, доприносе и </w:t>
      </w:r>
      <w:proofErr w:type="spellStart"/>
      <w:r w:rsidRPr="001D1ECD">
        <w:rPr>
          <w:b/>
          <w:i/>
        </w:rPr>
        <w:t>непореске</w:t>
      </w:r>
      <w:proofErr w:type="spellEnd"/>
      <w:r w:rsidRPr="001D1ECD">
        <w:rPr>
          <w:b/>
          <w:i/>
        </w:rPr>
        <w:t xml:space="preserve"> приходе </w:t>
      </w:r>
      <w:r w:rsidRPr="001D1ECD">
        <w:rPr>
          <w:lang w:val="sr-Cyrl-BA"/>
        </w:rPr>
        <w:t xml:space="preserve">износе </w:t>
      </w:r>
      <w:r w:rsidR="00D40FA2">
        <w:rPr>
          <w:lang w:val="sr-Cyrl-BA"/>
        </w:rPr>
        <w:t xml:space="preserve">        </w:t>
      </w:r>
      <w:r w:rsidRPr="001D1ECD">
        <w:rPr>
          <w:lang w:val="sr-Cyrl-BA"/>
        </w:rPr>
        <w:t>5.</w:t>
      </w:r>
      <w:r w:rsidR="00D40FA2">
        <w:rPr>
          <w:lang w:val="sr-Cyrl-BA"/>
        </w:rPr>
        <w:t>763.893</w:t>
      </w:r>
      <w:r w:rsidRPr="001D1ECD">
        <w:rPr>
          <w:lang w:val="sr-Cyrl-BA"/>
        </w:rPr>
        <w:t xml:space="preserve"> КМ, корекција вриједности истих је </w:t>
      </w:r>
      <w:r w:rsidR="00D40FA2">
        <w:rPr>
          <w:lang w:val="sr-Cyrl-BA"/>
        </w:rPr>
        <w:t>5.047.960</w:t>
      </w:r>
      <w:r w:rsidRPr="001D1ECD">
        <w:rPr>
          <w:lang w:val="sr-Cyrl-BA"/>
        </w:rPr>
        <w:t xml:space="preserve"> КМ, а обухваћена су у горњем </w:t>
      </w:r>
      <w:proofErr w:type="spellStart"/>
      <w:r w:rsidRPr="001D1ECD">
        <w:rPr>
          <w:lang w:val="sr-Cyrl-BA"/>
        </w:rPr>
        <w:t>прегледу</w:t>
      </w:r>
      <w:proofErr w:type="spellEnd"/>
      <w:r w:rsidRPr="001D1ECD">
        <w:rPr>
          <w:lang w:val="sr-Cyrl-BA"/>
        </w:rPr>
        <w:t xml:space="preserve"> потраживања уз позицију АОП014. Корекција вриједности ових потраживања извршена је у висини спорних потраживања, одн. потраживања из ранијих година која су </w:t>
      </w:r>
      <w:r w:rsidR="00BA7CCF">
        <w:rPr>
          <w:lang w:val="sr-Cyrl-BA"/>
        </w:rPr>
        <w:t>остала ненаплаћена са 31.12.2020</w:t>
      </w:r>
      <w:r w:rsidRPr="001D1ECD">
        <w:rPr>
          <w:lang w:val="sr-Cyrl-BA"/>
        </w:rPr>
        <w:t>. године, што значи да потраж</w:t>
      </w:r>
      <w:r w:rsidR="00D40FA2">
        <w:rPr>
          <w:lang w:val="sr-Cyrl-BA"/>
        </w:rPr>
        <w:t>ивања по основу задужења из 2020</w:t>
      </w:r>
      <w:r w:rsidRPr="001D1ECD">
        <w:rPr>
          <w:lang w:val="sr-Cyrl-BA"/>
        </w:rPr>
        <w:t xml:space="preserve">. године износе </w:t>
      </w:r>
      <w:r w:rsidR="00D40FA2">
        <w:rPr>
          <w:lang w:val="sr-Cyrl-BA"/>
        </w:rPr>
        <w:t>715.933</w:t>
      </w:r>
      <w:r w:rsidRPr="001D1ECD">
        <w:rPr>
          <w:lang w:val="sr-Cyrl-BA"/>
        </w:rPr>
        <w:t xml:space="preserve"> КМ. Ријеч је о потраживањима за пореске приходе која су формирана на основу Извјештаја из евиденције Пореске управе РС </w:t>
      </w:r>
      <w:r w:rsidRPr="001D1ECD">
        <w:rPr>
          <w:lang w:val="sr-Cyrl-RS"/>
        </w:rPr>
        <w:t xml:space="preserve">о пријављеним и </w:t>
      </w:r>
      <w:proofErr w:type="spellStart"/>
      <w:r w:rsidRPr="001D1ECD">
        <w:rPr>
          <w:lang w:val="sr-Cyrl-RS"/>
        </w:rPr>
        <w:t>уплаћеним</w:t>
      </w:r>
      <w:proofErr w:type="spellEnd"/>
      <w:r w:rsidRPr="001D1ECD">
        <w:rPr>
          <w:lang w:val="sr-Cyrl-RS"/>
        </w:rPr>
        <w:t xml:space="preserve"> порезима </w:t>
      </w:r>
      <w:r w:rsidR="00D40FA2">
        <w:rPr>
          <w:lang w:val="sr-Cyrl-BA"/>
        </w:rPr>
        <w:t>за период 01.01-31.12.2020</w:t>
      </w:r>
      <w:r w:rsidRPr="001D1ECD">
        <w:rPr>
          <w:lang w:val="sr-Cyrl-BA"/>
        </w:rPr>
        <w:t xml:space="preserve">. године. Најзначајнија потраживања </w:t>
      </w:r>
      <w:r w:rsidR="00D40FA2">
        <w:rPr>
          <w:lang w:val="sr-Cyrl-BA"/>
        </w:rPr>
        <w:t>из 2020</w:t>
      </w:r>
      <w:r w:rsidRPr="001D1ECD">
        <w:rPr>
          <w:lang w:val="sr-Cyrl-BA"/>
        </w:rPr>
        <w:t xml:space="preserve">. године односе се на </w:t>
      </w:r>
      <w:r w:rsidR="00147294" w:rsidRPr="001D1ECD">
        <w:rPr>
          <w:lang w:val="sr-Cyrl-BA"/>
        </w:rPr>
        <w:t>потраживања по основу земљишне ренте по уговорима о одложеном плаћању (</w:t>
      </w:r>
      <w:r w:rsidR="00147294">
        <w:rPr>
          <w:lang w:val="sr-Cyrl-BA"/>
        </w:rPr>
        <w:t>157.278</w:t>
      </w:r>
      <w:r w:rsidR="00147294" w:rsidRPr="001D1ECD">
        <w:rPr>
          <w:lang w:val="sr-Cyrl-BA"/>
        </w:rPr>
        <w:t xml:space="preserve"> КМ)</w:t>
      </w:r>
      <w:r w:rsidR="00147294">
        <w:rPr>
          <w:lang w:val="sr-Cyrl-BA"/>
        </w:rPr>
        <w:t xml:space="preserve">, </w:t>
      </w:r>
      <w:r w:rsidRPr="001D1ECD">
        <w:rPr>
          <w:lang w:val="sr-Cyrl-BA"/>
        </w:rPr>
        <w:t xml:space="preserve">потраживања по основу накнаде за уређење </w:t>
      </w:r>
      <w:r w:rsidR="00147294">
        <w:rPr>
          <w:lang w:val="sr-Cyrl-BA"/>
        </w:rPr>
        <w:t xml:space="preserve">такође </w:t>
      </w:r>
      <w:r w:rsidRPr="001D1ECD">
        <w:rPr>
          <w:lang w:val="sr-Cyrl-BA"/>
        </w:rPr>
        <w:t>по уговорима о одложеном плаћању (</w:t>
      </w:r>
      <w:r w:rsidR="00147294">
        <w:rPr>
          <w:lang w:val="sr-Cyrl-BA"/>
        </w:rPr>
        <w:t>149.612 КМ),</w:t>
      </w:r>
      <w:r w:rsidRPr="001D1ECD">
        <w:rPr>
          <w:lang w:val="sr-Cyrl-BA"/>
        </w:rPr>
        <w:t xml:space="preserve"> потраживања по основу комуналне накнаде (</w:t>
      </w:r>
      <w:r w:rsidR="00147294">
        <w:rPr>
          <w:lang w:val="sr-Cyrl-BA"/>
        </w:rPr>
        <w:t>139.710</w:t>
      </w:r>
      <w:r w:rsidRPr="001D1ECD">
        <w:rPr>
          <w:lang w:val="sr-Cyrl-BA"/>
        </w:rPr>
        <w:t xml:space="preserve"> КМ), потраживања по основу пореза на непокретности (</w:t>
      </w:r>
      <w:r w:rsidR="00147294">
        <w:rPr>
          <w:lang w:val="sr-Cyrl-BA"/>
        </w:rPr>
        <w:t>120.773</w:t>
      </w:r>
      <w:r w:rsidRPr="001D1ECD">
        <w:rPr>
          <w:lang w:val="sr-Cyrl-BA"/>
        </w:rPr>
        <w:t xml:space="preserve"> КМ) и потраживања по основу комуналне таксе на фирму (</w:t>
      </w:r>
      <w:r w:rsidR="00147294">
        <w:rPr>
          <w:lang w:val="sr-Cyrl-BA"/>
        </w:rPr>
        <w:t>56.520</w:t>
      </w:r>
      <w:r w:rsidRPr="001D1ECD">
        <w:rPr>
          <w:lang w:val="sr-Cyrl-BA"/>
        </w:rPr>
        <w:t xml:space="preserve"> КМ), док се најзначајнија спорна потраживања односе на потраживања по основу комуналне накнаде (1.</w:t>
      </w:r>
      <w:r w:rsidR="00147294">
        <w:rPr>
          <w:lang w:val="sr-Cyrl-BA"/>
        </w:rPr>
        <w:t>395.672</w:t>
      </w:r>
      <w:r w:rsidRPr="001D1ECD">
        <w:rPr>
          <w:lang w:val="sr-Cyrl-BA"/>
        </w:rPr>
        <w:t xml:space="preserve"> КМ), потраживања по основу пореза на имовину – пореза на непокретности (1.</w:t>
      </w:r>
      <w:r w:rsidR="00147294">
        <w:rPr>
          <w:lang w:val="sr-Cyrl-BA"/>
        </w:rPr>
        <w:t>001.233</w:t>
      </w:r>
      <w:r w:rsidRPr="001D1ECD">
        <w:rPr>
          <w:lang w:val="sr-Cyrl-BA"/>
        </w:rPr>
        <w:t xml:space="preserve"> КМ), потраживања по основу пореза на промет производа и услуга (</w:t>
      </w:r>
      <w:r w:rsidR="00147294">
        <w:rPr>
          <w:lang w:val="sr-Cyrl-BA"/>
        </w:rPr>
        <w:t>998.364</w:t>
      </w:r>
      <w:r w:rsidRPr="001D1ECD">
        <w:rPr>
          <w:lang w:val="sr-Cyrl-BA"/>
        </w:rPr>
        <w:t xml:space="preserve"> КМ), потраживања по основу комуналне таксе на фирму  (</w:t>
      </w:r>
      <w:r w:rsidR="00147294">
        <w:rPr>
          <w:lang w:val="sr-Cyrl-BA"/>
        </w:rPr>
        <w:t>684.836</w:t>
      </w:r>
      <w:r w:rsidRPr="001D1ECD">
        <w:rPr>
          <w:lang w:val="sr-Cyrl-BA"/>
        </w:rPr>
        <w:t xml:space="preserve"> КМ) и потраживања по основу пореза на лична примања и приходе од самосталне дјелатности (</w:t>
      </w:r>
      <w:r w:rsidR="00147294">
        <w:rPr>
          <w:lang w:val="sr-Cyrl-BA"/>
        </w:rPr>
        <w:t>551.226</w:t>
      </w:r>
      <w:r w:rsidRPr="001D1ECD">
        <w:rPr>
          <w:lang w:val="sr-Cyrl-BA"/>
        </w:rPr>
        <w:t xml:space="preserve"> КМ).</w:t>
      </w:r>
    </w:p>
    <w:p w14:paraId="247779FE" w14:textId="77777777" w:rsidR="00C41EC6" w:rsidRPr="001D1ECD" w:rsidRDefault="00C41EC6" w:rsidP="00AC145A">
      <w:pPr>
        <w:ind w:left="0" w:firstLine="0"/>
        <w:rPr>
          <w:lang w:val="sr-Cyrl-BA"/>
        </w:rPr>
      </w:pPr>
    </w:p>
    <w:p w14:paraId="168FD2AD" w14:textId="77777777" w:rsidR="00AC145A" w:rsidRPr="001D1ECD" w:rsidRDefault="00AC145A" w:rsidP="00AC145A">
      <w:pPr>
        <w:ind w:left="0" w:firstLine="0"/>
        <w:rPr>
          <w:lang w:val="sr-Cyrl-RS"/>
        </w:rPr>
      </w:pPr>
      <w:r w:rsidRPr="001D1ECD">
        <w:rPr>
          <w:lang w:val="sr-Cyrl-RS"/>
        </w:rPr>
        <w:t>АОП019, колона 4 К-БС</w:t>
      </w:r>
    </w:p>
    <w:p w14:paraId="269202AD" w14:textId="77777777" w:rsidR="00AC145A" w:rsidRPr="001D1ECD" w:rsidRDefault="00AC145A" w:rsidP="00AC145A">
      <w:pPr>
        <w:ind w:left="0" w:firstLine="0"/>
        <w:rPr>
          <w:lang w:val="sr-Latn-RS"/>
        </w:rPr>
      </w:pPr>
      <w:r w:rsidRPr="001D1ECD">
        <w:rPr>
          <w:b/>
          <w:i/>
        </w:rPr>
        <w:sym w:font="Wingdings" w:char="F077"/>
      </w:r>
      <w:r w:rsidRPr="001D1ECD">
        <w:rPr>
          <w:b/>
          <w:i/>
          <w:lang w:val="sr-Latn-RS"/>
        </w:rPr>
        <w:t xml:space="preserve"> </w:t>
      </w:r>
      <w:r w:rsidRPr="001D1ECD">
        <w:rPr>
          <w:b/>
          <w:i/>
        </w:rPr>
        <w:t xml:space="preserve">Потраживања за порезе, доприносе и </w:t>
      </w:r>
      <w:proofErr w:type="spellStart"/>
      <w:r w:rsidRPr="001D1ECD">
        <w:rPr>
          <w:b/>
          <w:i/>
        </w:rPr>
        <w:t>непореске</w:t>
      </w:r>
      <w:proofErr w:type="spellEnd"/>
      <w:r w:rsidRPr="001D1ECD">
        <w:rPr>
          <w:b/>
          <w:i/>
        </w:rPr>
        <w:t xml:space="preserve"> приходе за које је</w:t>
      </w:r>
      <w:r w:rsidRPr="001D1ECD">
        <w:rPr>
          <w:b/>
          <w:i/>
          <w:lang w:val="sr-Latn-RS"/>
        </w:rPr>
        <w:t xml:space="preserve"> </w:t>
      </w:r>
      <w:r w:rsidRPr="001D1ECD">
        <w:rPr>
          <w:b/>
          <w:i/>
        </w:rPr>
        <w:t xml:space="preserve">продужен рок плаћања, а </w:t>
      </w:r>
      <w:proofErr w:type="spellStart"/>
      <w:r w:rsidRPr="001D1ECD">
        <w:rPr>
          <w:b/>
          <w:i/>
        </w:rPr>
        <w:t>доспијевају</w:t>
      </w:r>
      <w:proofErr w:type="spellEnd"/>
      <w:r w:rsidRPr="001D1ECD">
        <w:rPr>
          <w:b/>
          <w:i/>
        </w:rPr>
        <w:t xml:space="preserve"> на наплату у року од</w:t>
      </w:r>
      <w:r w:rsidRPr="001D1ECD">
        <w:rPr>
          <w:b/>
          <w:i/>
          <w:lang w:val="sr-Cyrl-RS"/>
        </w:rPr>
        <w:t xml:space="preserve"> </w:t>
      </w:r>
      <w:r w:rsidRPr="001D1ECD">
        <w:rPr>
          <w:b/>
          <w:i/>
        </w:rPr>
        <w:t>годину дана</w:t>
      </w:r>
      <w:r w:rsidRPr="001D1ECD">
        <w:rPr>
          <w:b/>
          <w:i/>
          <w:lang w:val="sr-Cyrl-RS"/>
        </w:rPr>
        <w:t xml:space="preserve"> </w:t>
      </w:r>
      <w:r w:rsidRPr="001D1ECD">
        <w:rPr>
          <w:lang w:val="sr-Cyrl-RS"/>
        </w:rPr>
        <w:t xml:space="preserve">износе </w:t>
      </w:r>
      <w:r w:rsidR="00B874A7">
        <w:rPr>
          <w:lang w:val="sr-Cyrl-RS"/>
        </w:rPr>
        <w:t>89.421</w:t>
      </w:r>
      <w:r w:rsidRPr="001D1ECD">
        <w:rPr>
          <w:lang w:val="sr-Cyrl-RS"/>
        </w:rPr>
        <w:t xml:space="preserve"> КМ, и обухваћена су у прегледу потраживања уз позицију АОП014.</w:t>
      </w:r>
      <w:r w:rsidRPr="001D1ECD">
        <w:t xml:space="preserve"> </w:t>
      </w:r>
      <w:r w:rsidRPr="001D1ECD">
        <w:rPr>
          <w:lang w:val="sr-Cyrl-RS"/>
        </w:rPr>
        <w:t>Ова</w:t>
      </w:r>
      <w:r w:rsidRPr="001D1ECD">
        <w:t xml:space="preserve"> потраживања </w:t>
      </w:r>
      <w:r w:rsidRPr="001D1ECD">
        <w:rPr>
          <w:lang w:val="sr-Cyrl-RS"/>
        </w:rPr>
        <w:t xml:space="preserve">су такође </w:t>
      </w:r>
      <w:r w:rsidRPr="001D1ECD">
        <w:t xml:space="preserve">формирана на основу </w:t>
      </w:r>
      <w:proofErr w:type="spellStart"/>
      <w:r w:rsidRPr="001D1ECD">
        <w:t>Извјештаја</w:t>
      </w:r>
      <w:proofErr w:type="spellEnd"/>
      <w:r w:rsidRPr="001D1ECD">
        <w:t xml:space="preserve"> из евиденције Пореске управе РС </w:t>
      </w:r>
      <w:r w:rsidRPr="001D1ECD">
        <w:rPr>
          <w:lang w:val="sr-Cyrl-RS"/>
        </w:rPr>
        <w:t xml:space="preserve">о пријављеним и </w:t>
      </w:r>
      <w:proofErr w:type="spellStart"/>
      <w:r w:rsidRPr="001D1ECD">
        <w:rPr>
          <w:lang w:val="sr-Cyrl-RS"/>
        </w:rPr>
        <w:t>уплаћеним</w:t>
      </w:r>
      <w:proofErr w:type="spellEnd"/>
      <w:r w:rsidRPr="001D1ECD">
        <w:rPr>
          <w:lang w:val="sr-Cyrl-RS"/>
        </w:rPr>
        <w:t xml:space="preserve"> пор</w:t>
      </w:r>
      <w:r w:rsidR="00B874A7">
        <w:rPr>
          <w:lang w:val="sr-Cyrl-RS"/>
        </w:rPr>
        <w:t>езима за период 01.01-31.12.2020</w:t>
      </w:r>
      <w:r w:rsidRPr="001D1ECD">
        <w:rPr>
          <w:lang w:val="sr-Cyrl-RS"/>
        </w:rPr>
        <w:t>. године</w:t>
      </w:r>
      <w:r w:rsidRPr="001D1ECD">
        <w:t xml:space="preserve">, а </w:t>
      </w:r>
      <w:proofErr w:type="spellStart"/>
      <w:r w:rsidRPr="001D1ECD">
        <w:t>ријеч</w:t>
      </w:r>
      <w:proofErr w:type="spellEnd"/>
      <w:r w:rsidRPr="001D1ECD">
        <w:t xml:space="preserve"> је о потраживањима за пореске и </w:t>
      </w:r>
      <w:proofErr w:type="spellStart"/>
      <w:r w:rsidRPr="001D1ECD">
        <w:t>непореске</w:t>
      </w:r>
      <w:proofErr w:type="spellEnd"/>
      <w:r w:rsidRPr="001D1ECD">
        <w:t xml:space="preserve"> приходе којим</w:t>
      </w:r>
      <w:r w:rsidRPr="001D1ECD">
        <w:rPr>
          <w:lang w:val="sr-Cyrl-RS"/>
        </w:rPr>
        <w:t>а</w:t>
      </w:r>
      <w:r w:rsidRPr="001D1ECD">
        <w:t xml:space="preserve"> је продужен рок наплате преко једне године по </w:t>
      </w:r>
      <w:proofErr w:type="spellStart"/>
      <w:r w:rsidRPr="001D1ECD">
        <w:t>рјешењима</w:t>
      </w:r>
      <w:proofErr w:type="spellEnd"/>
      <w:r w:rsidRPr="001D1ECD">
        <w:t xml:space="preserve"> Министарства финансија</w:t>
      </w:r>
      <w:r w:rsidRPr="001D1ECD">
        <w:rPr>
          <w:lang w:val="sr-Cyrl-RS"/>
        </w:rPr>
        <w:t xml:space="preserve"> РС, а која </w:t>
      </w:r>
      <w:proofErr w:type="spellStart"/>
      <w:r w:rsidRPr="001D1ECD">
        <w:rPr>
          <w:lang w:val="sr-Cyrl-RS"/>
        </w:rPr>
        <w:t>доспијевају</w:t>
      </w:r>
      <w:proofErr w:type="spellEnd"/>
      <w:r w:rsidRPr="001D1ECD">
        <w:rPr>
          <w:lang w:val="sr-Cyrl-RS"/>
        </w:rPr>
        <w:t xml:space="preserve"> на наплату у року од годину дана.</w:t>
      </w:r>
      <w:r w:rsidRPr="001D1ECD">
        <w:t xml:space="preserve"> Најзначајнија потраживања се односе на потраживања по основу пореза на промет производа и услуга </w:t>
      </w:r>
      <w:r w:rsidRPr="001D1ECD">
        <w:rPr>
          <w:lang w:val="sr-Cyrl-RS"/>
        </w:rPr>
        <w:t>(</w:t>
      </w:r>
      <w:r w:rsidR="00B874A7">
        <w:rPr>
          <w:lang w:val="sr-Cyrl-RS"/>
        </w:rPr>
        <w:t>47.661</w:t>
      </w:r>
      <w:r w:rsidRPr="001D1ECD">
        <w:rPr>
          <w:lang w:val="sr-Cyrl-RS"/>
        </w:rPr>
        <w:t xml:space="preserve"> КМ</w:t>
      </w:r>
      <w:r w:rsidRPr="001D1ECD">
        <w:t xml:space="preserve">) </w:t>
      </w:r>
      <w:r w:rsidR="00B874A7" w:rsidRPr="001D1ECD">
        <w:rPr>
          <w:lang w:val="sr-Cyrl-BA"/>
        </w:rPr>
        <w:t>и потраживања по основу пореза на лична примања и приходе од самосталне дјелатности</w:t>
      </w:r>
      <w:r w:rsidR="00B874A7">
        <w:rPr>
          <w:lang w:val="sr-Cyrl-BA"/>
        </w:rPr>
        <w:t xml:space="preserve"> (34.033 КМ)</w:t>
      </w:r>
      <w:r w:rsidRPr="001D1ECD">
        <w:rPr>
          <w:lang w:val="sr-Cyrl-RS"/>
        </w:rPr>
        <w:t xml:space="preserve">. </w:t>
      </w:r>
    </w:p>
    <w:p w14:paraId="4A7D79CB" w14:textId="77777777" w:rsidR="00AC145A" w:rsidRPr="001D1ECD" w:rsidRDefault="00AC145A" w:rsidP="00AC145A">
      <w:pPr>
        <w:ind w:left="0" w:right="-792" w:firstLine="0"/>
        <w:rPr>
          <w:b/>
          <w:u w:val="single"/>
        </w:rPr>
      </w:pPr>
    </w:p>
    <w:p w14:paraId="4AB63D82" w14:textId="77777777" w:rsidR="00AC145A" w:rsidRPr="001D1ECD" w:rsidRDefault="00AC145A" w:rsidP="00AC145A">
      <w:pPr>
        <w:ind w:left="0" w:firstLine="0"/>
      </w:pPr>
      <w:r w:rsidRPr="001D1ECD">
        <w:t>АОП023, колона 4  К-БС</w:t>
      </w:r>
    </w:p>
    <w:p w14:paraId="4C62791F" w14:textId="77777777" w:rsidR="00AC145A" w:rsidRPr="001D1ECD" w:rsidRDefault="00AC145A" w:rsidP="00AC145A">
      <w:pPr>
        <w:ind w:left="0" w:firstLine="0"/>
        <w:rPr>
          <w:lang w:val="sr-Cyrl-RS"/>
        </w:rPr>
      </w:pPr>
      <w:r w:rsidRPr="001D1ECD">
        <w:rPr>
          <w:b/>
          <w:i/>
        </w:rPr>
        <w:sym w:font="Wingdings" w:char="F077"/>
      </w:r>
      <w:r w:rsidRPr="001D1ECD">
        <w:rPr>
          <w:b/>
          <w:i/>
        </w:rPr>
        <w:t xml:space="preserve"> </w:t>
      </w:r>
      <w:r w:rsidRPr="001D1ECD">
        <w:rPr>
          <w:b/>
          <w:i/>
          <w:lang w:val="sr-Cyrl-RS"/>
        </w:rPr>
        <w:t xml:space="preserve">Краткорочна разграничења </w:t>
      </w:r>
      <w:r w:rsidRPr="001D1ECD">
        <w:rPr>
          <w:lang w:val="sr-Cyrl-RS"/>
        </w:rPr>
        <w:t xml:space="preserve">износе </w:t>
      </w:r>
      <w:r w:rsidR="00B874A7">
        <w:rPr>
          <w:lang w:val="sr-Cyrl-RS"/>
        </w:rPr>
        <w:t>27.307</w:t>
      </w:r>
      <w:r w:rsidRPr="001D1ECD">
        <w:rPr>
          <w:lang w:val="sr-Cyrl-RS"/>
        </w:rPr>
        <w:t xml:space="preserve"> КМ и односе се на разграничења по основу неизмирених обавеза за накнаде плата за </w:t>
      </w:r>
      <w:proofErr w:type="spellStart"/>
      <w:r w:rsidRPr="001D1ECD">
        <w:rPr>
          <w:lang w:val="sr-Cyrl-RS"/>
        </w:rPr>
        <w:t>вријеме</w:t>
      </w:r>
      <w:proofErr w:type="spellEnd"/>
      <w:r w:rsidRPr="001D1ECD">
        <w:rPr>
          <w:lang w:val="sr-Cyrl-RS"/>
        </w:rPr>
        <w:t xml:space="preserve"> боловања које се рефундирају од фондова обавезног социјалног осигурања (</w:t>
      </w:r>
      <w:r w:rsidR="004D63CF">
        <w:rPr>
          <w:lang w:val="sr-Cyrl-RS"/>
        </w:rPr>
        <w:t>Општинска управа 11.729 КМ</w:t>
      </w:r>
      <w:r w:rsidRPr="001D1ECD">
        <w:rPr>
          <w:lang w:val="sr-Cyrl-RS"/>
        </w:rPr>
        <w:t xml:space="preserve"> и Дјечији вртић „Наша радост“ </w:t>
      </w:r>
      <w:r w:rsidR="004D63CF">
        <w:rPr>
          <w:lang w:val="sr-Cyrl-RS"/>
        </w:rPr>
        <w:t>15.578</w:t>
      </w:r>
      <w:r w:rsidRPr="001D1ECD">
        <w:rPr>
          <w:lang w:val="sr-Cyrl-RS"/>
        </w:rPr>
        <w:t xml:space="preserve"> КМ).</w:t>
      </w:r>
    </w:p>
    <w:p w14:paraId="78CD6C61" w14:textId="77777777" w:rsidR="00AC145A" w:rsidRPr="001D1ECD" w:rsidRDefault="00AC145A" w:rsidP="00AC145A">
      <w:pPr>
        <w:ind w:left="0" w:right="-792" w:firstLine="0"/>
        <w:rPr>
          <w:b/>
          <w:u w:val="single"/>
        </w:rPr>
      </w:pPr>
    </w:p>
    <w:p w14:paraId="7BC3C86F" w14:textId="77777777" w:rsidR="00AC145A" w:rsidRPr="001D1ECD" w:rsidRDefault="00AC145A" w:rsidP="00AC145A">
      <w:pPr>
        <w:ind w:left="0" w:firstLine="0"/>
      </w:pPr>
      <w:r w:rsidRPr="001D1ECD">
        <w:t>АОП029, колона 4  К-БС</w:t>
      </w:r>
    </w:p>
    <w:p w14:paraId="20ED4CA0" w14:textId="77777777" w:rsidR="00AC145A" w:rsidRPr="001D1ECD" w:rsidRDefault="00AC145A" w:rsidP="00AC145A">
      <w:pPr>
        <w:ind w:left="0" w:firstLine="0"/>
        <w:rPr>
          <w:lang w:val="sr-Cyrl-BA"/>
        </w:rPr>
      </w:pPr>
      <w:r w:rsidRPr="001D1ECD">
        <w:rPr>
          <w:b/>
          <w:i/>
        </w:rPr>
        <w:sym w:font="Wingdings" w:char="F077"/>
      </w:r>
      <w:r w:rsidRPr="001D1ECD">
        <w:rPr>
          <w:b/>
          <w:i/>
        </w:rPr>
        <w:t xml:space="preserve"> </w:t>
      </w:r>
      <w:r w:rsidRPr="001D1ECD">
        <w:rPr>
          <w:b/>
          <w:i/>
          <w:lang w:val="sr-Cyrl-RS"/>
        </w:rPr>
        <w:t>Краткорочна финансијска имовина и разграничења између или унутар јединица власти</w:t>
      </w:r>
      <w:r w:rsidRPr="001D1ECD">
        <w:rPr>
          <w:b/>
          <w:i/>
        </w:rPr>
        <w:t xml:space="preserve"> </w:t>
      </w:r>
      <w:r w:rsidRPr="001D1ECD">
        <w:rPr>
          <w:lang w:val="sr-Cyrl-BA"/>
        </w:rPr>
        <w:t xml:space="preserve">износе </w:t>
      </w:r>
      <w:r w:rsidR="004D63CF">
        <w:rPr>
          <w:lang w:val="sr-Cyrl-BA"/>
        </w:rPr>
        <w:t>544.485</w:t>
      </w:r>
      <w:r w:rsidRPr="001D1ECD">
        <w:rPr>
          <w:lang w:val="sr-Cyrl-BA"/>
        </w:rPr>
        <w:t xml:space="preserve"> КМ и односе се на:</w:t>
      </w:r>
    </w:p>
    <w:p w14:paraId="4AA16B2B" w14:textId="77777777" w:rsidR="00AC145A" w:rsidRPr="001D1ECD" w:rsidRDefault="00AC145A" w:rsidP="00AC145A">
      <w:pPr>
        <w:tabs>
          <w:tab w:val="right" w:leader="dot" w:pos="9214"/>
        </w:tabs>
        <w:spacing w:before="120"/>
        <w:ind w:left="-357" w:firstLine="720"/>
        <w:rPr>
          <w:lang w:val="sr-Cyrl-BA"/>
        </w:rPr>
      </w:pPr>
      <w:r w:rsidRPr="001D1ECD">
        <w:rPr>
          <w:lang w:val="sr-Cyrl-BA"/>
        </w:rPr>
        <w:t>- Потраживања од Буџета РС по основу расподјеле јавних прихода који</w:t>
      </w:r>
    </w:p>
    <w:p w14:paraId="2D9930AE" w14:textId="77777777" w:rsidR="00AC145A" w:rsidRPr="001D1ECD" w:rsidRDefault="004D63CF" w:rsidP="00AC145A">
      <w:pPr>
        <w:tabs>
          <w:tab w:val="right" w:leader="dot" w:pos="9214"/>
        </w:tabs>
        <w:ind w:left="-360" w:firstLine="720"/>
        <w:rPr>
          <w:lang w:val="sr-Cyrl-BA"/>
        </w:rPr>
      </w:pPr>
      <w:r>
        <w:rPr>
          <w:lang w:val="sr-Cyrl-BA"/>
        </w:rPr>
        <w:t xml:space="preserve">  обрачунски припадају 2020</w:t>
      </w:r>
      <w:r w:rsidR="00AC145A" w:rsidRPr="001D1ECD">
        <w:rPr>
          <w:lang w:val="sr-Cyrl-BA"/>
        </w:rPr>
        <w:t xml:space="preserve">. години, а реализовани су у </w:t>
      </w:r>
      <w:r>
        <w:rPr>
          <w:lang w:val="sr-Cyrl-BA"/>
        </w:rPr>
        <w:t>2021</w:t>
      </w:r>
      <w:r w:rsidR="00AC145A" w:rsidRPr="001D1ECD">
        <w:rPr>
          <w:lang w:val="sr-Cyrl-BA"/>
        </w:rPr>
        <w:t>. години</w:t>
      </w:r>
      <w:r w:rsidR="00AC145A" w:rsidRPr="001D1ECD">
        <w:rPr>
          <w:lang w:val="sr-Cyrl-BA"/>
        </w:rPr>
        <w:tab/>
      </w:r>
      <w:r>
        <w:rPr>
          <w:lang w:val="sr-Cyrl-BA"/>
        </w:rPr>
        <w:t>45.810</w:t>
      </w:r>
      <w:r w:rsidR="00AC145A" w:rsidRPr="001D1ECD">
        <w:rPr>
          <w:lang w:val="sr-Cyrl-BA"/>
        </w:rPr>
        <w:t xml:space="preserve"> КМ</w:t>
      </w:r>
    </w:p>
    <w:p w14:paraId="68ED57CE" w14:textId="77777777" w:rsidR="00AC145A" w:rsidRPr="001D1ECD" w:rsidRDefault="00AC145A" w:rsidP="00AC145A">
      <w:pPr>
        <w:tabs>
          <w:tab w:val="right" w:leader="dot" w:pos="9214"/>
        </w:tabs>
        <w:ind w:left="-360" w:firstLine="720"/>
        <w:rPr>
          <w:lang w:val="sr-Cyrl-BA"/>
        </w:rPr>
      </w:pPr>
      <w:r w:rsidRPr="001D1ECD">
        <w:rPr>
          <w:lang w:val="sr-Cyrl-BA"/>
        </w:rPr>
        <w:t xml:space="preserve">- Потраживања од општина и градова по основу записника Пореске управе о </w:t>
      </w:r>
    </w:p>
    <w:p w14:paraId="744E5672" w14:textId="77777777" w:rsidR="00AC145A" w:rsidRPr="001D1ECD" w:rsidRDefault="00AC145A" w:rsidP="00AC145A">
      <w:pPr>
        <w:tabs>
          <w:tab w:val="right" w:leader="dot" w:pos="9214"/>
        </w:tabs>
        <w:ind w:left="-360" w:firstLine="720"/>
        <w:rPr>
          <w:lang w:val="sr-Cyrl-BA"/>
        </w:rPr>
      </w:pPr>
      <w:r w:rsidRPr="001D1ECD">
        <w:rPr>
          <w:lang w:val="sr-Cyrl-BA"/>
        </w:rPr>
        <w:t xml:space="preserve">  обрачуну и поравнању више или погрешно </w:t>
      </w:r>
      <w:proofErr w:type="spellStart"/>
      <w:r w:rsidRPr="001D1ECD">
        <w:rPr>
          <w:lang w:val="sr-Cyrl-BA"/>
        </w:rPr>
        <w:t>уплаћених</w:t>
      </w:r>
      <w:proofErr w:type="spellEnd"/>
      <w:r w:rsidRPr="001D1ECD">
        <w:rPr>
          <w:lang w:val="sr-Cyrl-BA"/>
        </w:rPr>
        <w:t xml:space="preserve"> јавних прихода</w:t>
      </w:r>
      <w:r w:rsidRPr="001D1ECD">
        <w:rPr>
          <w:lang w:val="sr-Cyrl-BA"/>
        </w:rPr>
        <w:tab/>
        <w:t>3.</w:t>
      </w:r>
      <w:r w:rsidR="004D63CF">
        <w:rPr>
          <w:lang w:val="sr-Cyrl-BA"/>
        </w:rPr>
        <w:t>540</w:t>
      </w:r>
      <w:r w:rsidRPr="001D1ECD">
        <w:rPr>
          <w:lang w:val="sr-Cyrl-BA"/>
        </w:rPr>
        <w:t xml:space="preserve"> КМ</w:t>
      </w:r>
    </w:p>
    <w:p w14:paraId="7C5740BB" w14:textId="77777777" w:rsidR="00AC145A" w:rsidRPr="001D1ECD" w:rsidRDefault="00AC145A" w:rsidP="00AC145A">
      <w:pPr>
        <w:tabs>
          <w:tab w:val="right" w:leader="dot" w:pos="9214"/>
        </w:tabs>
        <w:ind w:left="-360" w:firstLine="720"/>
        <w:rPr>
          <w:lang w:val="sr-Cyrl-BA"/>
        </w:rPr>
      </w:pPr>
      <w:r w:rsidRPr="001D1ECD">
        <w:rPr>
          <w:lang w:val="sr-Cyrl-BA"/>
        </w:rPr>
        <w:t>- Потраживања од Фонда здравственог осигурања за накнаде плате за</w:t>
      </w:r>
    </w:p>
    <w:p w14:paraId="3A5B46BC" w14:textId="77777777" w:rsidR="004D63CF" w:rsidRDefault="00AC145A" w:rsidP="004D63CF">
      <w:pPr>
        <w:tabs>
          <w:tab w:val="right" w:leader="dot" w:pos="9214"/>
        </w:tabs>
        <w:ind w:left="-360" w:firstLine="720"/>
        <w:rPr>
          <w:lang w:val="sr-Cyrl-BA"/>
        </w:rPr>
      </w:pPr>
      <w:r w:rsidRPr="001D1ECD">
        <w:rPr>
          <w:lang w:val="sr-Cyrl-BA"/>
        </w:rPr>
        <w:t xml:space="preserve">  вријеме боловања</w:t>
      </w:r>
      <w:r w:rsidRPr="001D1ECD">
        <w:rPr>
          <w:lang w:val="sr-Latn-RS"/>
        </w:rPr>
        <w:t xml:space="preserve"> –</w:t>
      </w:r>
      <w:r w:rsidRPr="001D1ECD">
        <w:rPr>
          <w:lang w:val="sr-Cyrl-RS"/>
        </w:rPr>
        <w:t xml:space="preserve"> </w:t>
      </w:r>
      <w:r w:rsidRPr="001D1ECD">
        <w:rPr>
          <w:lang w:val="sr-Cyrl-BA"/>
        </w:rPr>
        <w:t>Општинска управа</w:t>
      </w:r>
      <w:r w:rsidRPr="001D1ECD">
        <w:rPr>
          <w:lang w:val="sr-Cyrl-BA"/>
        </w:rPr>
        <w:tab/>
      </w:r>
      <w:r w:rsidR="004D63CF">
        <w:rPr>
          <w:lang w:val="sr-Cyrl-BA"/>
        </w:rPr>
        <w:t>8.843</w:t>
      </w:r>
      <w:r w:rsidRPr="001D1ECD">
        <w:rPr>
          <w:lang w:val="sr-Cyrl-BA"/>
        </w:rPr>
        <w:t xml:space="preserve"> КМ</w:t>
      </w:r>
    </w:p>
    <w:p w14:paraId="5AB57D6D" w14:textId="77777777" w:rsidR="004D63CF" w:rsidRPr="004D63CF" w:rsidRDefault="004D63CF" w:rsidP="004D63CF">
      <w:pPr>
        <w:tabs>
          <w:tab w:val="right" w:leader="dot" w:pos="9214"/>
        </w:tabs>
        <w:ind w:left="-360" w:firstLine="720"/>
        <w:rPr>
          <w:lang w:val="sr-Cyrl-BA"/>
        </w:rPr>
      </w:pPr>
      <w:r w:rsidRPr="004D63CF">
        <w:rPr>
          <w:lang w:val="sr-Cyrl-BA"/>
        </w:rPr>
        <w:t>-</w:t>
      </w:r>
      <w:r>
        <w:rPr>
          <w:lang w:val="sr-Cyrl-BA"/>
        </w:rPr>
        <w:t xml:space="preserve"> </w:t>
      </w:r>
      <w:r w:rsidRPr="004D63CF">
        <w:rPr>
          <w:lang w:val="sr-Cyrl-BA"/>
        </w:rPr>
        <w:t>Потраживања од Фонда здравственог осигурања за накнаде плате за</w:t>
      </w:r>
    </w:p>
    <w:p w14:paraId="7F99A459" w14:textId="77777777" w:rsidR="004D63CF" w:rsidRPr="004D63CF" w:rsidRDefault="004D63CF" w:rsidP="004D63CF">
      <w:pPr>
        <w:tabs>
          <w:tab w:val="right" w:leader="dot" w:pos="9214"/>
        </w:tabs>
        <w:ind w:left="-360" w:firstLine="720"/>
        <w:rPr>
          <w:lang w:val="sr-Cyrl-BA"/>
        </w:rPr>
      </w:pPr>
      <w:r w:rsidRPr="001D1ECD">
        <w:rPr>
          <w:lang w:val="sr-Cyrl-BA"/>
        </w:rPr>
        <w:t xml:space="preserve">  вријеме боловања</w:t>
      </w:r>
      <w:r>
        <w:rPr>
          <w:lang w:val="sr-Cyrl-BA"/>
        </w:rPr>
        <w:t xml:space="preserve"> – Центар за социјални рад</w:t>
      </w:r>
      <w:r>
        <w:rPr>
          <w:lang w:val="sr-Cyrl-BA"/>
        </w:rPr>
        <w:tab/>
        <w:t>2.718 КМ</w:t>
      </w:r>
    </w:p>
    <w:p w14:paraId="4442DDCC" w14:textId="77777777" w:rsidR="00AC145A" w:rsidRPr="001D1ECD" w:rsidRDefault="00AC145A" w:rsidP="00AC145A">
      <w:pPr>
        <w:tabs>
          <w:tab w:val="right" w:leader="dot" w:pos="9214"/>
        </w:tabs>
        <w:ind w:left="-360" w:firstLine="720"/>
        <w:rPr>
          <w:lang w:val="sr-Cyrl-BA"/>
        </w:rPr>
      </w:pPr>
      <w:r w:rsidRPr="001D1ECD">
        <w:rPr>
          <w:lang w:val="sr-Cyrl-BA"/>
        </w:rPr>
        <w:t>- Потраживања од Фонда здравственог осигурања за накнаде плате за</w:t>
      </w:r>
    </w:p>
    <w:p w14:paraId="5443B180" w14:textId="77777777" w:rsidR="00AC145A" w:rsidRPr="001D1ECD" w:rsidRDefault="00AC145A" w:rsidP="00AC145A">
      <w:pPr>
        <w:tabs>
          <w:tab w:val="right" w:leader="dot" w:pos="9214"/>
        </w:tabs>
        <w:ind w:left="-360" w:firstLine="720"/>
        <w:rPr>
          <w:lang w:val="sr-Cyrl-BA"/>
        </w:rPr>
      </w:pPr>
      <w:r w:rsidRPr="001D1ECD">
        <w:rPr>
          <w:lang w:val="sr-Cyrl-BA"/>
        </w:rPr>
        <w:t xml:space="preserve">  вријеме боловања –Дјечији вртић „Наша радост“</w:t>
      </w:r>
      <w:r w:rsidRPr="001D1ECD">
        <w:rPr>
          <w:lang w:val="sr-Cyrl-BA"/>
        </w:rPr>
        <w:tab/>
      </w:r>
      <w:r w:rsidR="004D63CF">
        <w:rPr>
          <w:lang w:val="sr-Cyrl-BA"/>
        </w:rPr>
        <w:t>20.665</w:t>
      </w:r>
      <w:r w:rsidRPr="001D1ECD">
        <w:rPr>
          <w:lang w:val="sr-Cyrl-BA"/>
        </w:rPr>
        <w:t xml:space="preserve"> КМ</w:t>
      </w:r>
    </w:p>
    <w:p w14:paraId="43FD65E6" w14:textId="77777777" w:rsidR="00AC145A" w:rsidRPr="001D1ECD" w:rsidRDefault="00AC145A" w:rsidP="00AC145A">
      <w:pPr>
        <w:tabs>
          <w:tab w:val="right" w:leader="dot" w:pos="9214"/>
        </w:tabs>
        <w:ind w:left="-360" w:firstLine="720"/>
        <w:rPr>
          <w:lang w:val="sr-Cyrl-BA"/>
        </w:rPr>
      </w:pPr>
      <w:r w:rsidRPr="001D1ECD">
        <w:rPr>
          <w:lang w:val="sr-Cyrl-BA"/>
        </w:rPr>
        <w:t xml:space="preserve">- Потраживања од Републичког завода за запошљавање за плате </w:t>
      </w:r>
    </w:p>
    <w:p w14:paraId="6B3AFFB2" w14:textId="77777777" w:rsidR="00AC145A" w:rsidRPr="001D1ECD" w:rsidRDefault="00AC145A" w:rsidP="00AC145A">
      <w:pPr>
        <w:tabs>
          <w:tab w:val="right" w:leader="dot" w:pos="9214"/>
        </w:tabs>
        <w:ind w:left="-360" w:firstLine="720"/>
        <w:rPr>
          <w:lang w:val="sr-Cyrl-BA"/>
        </w:rPr>
      </w:pPr>
      <w:r w:rsidRPr="001D1ECD">
        <w:rPr>
          <w:lang w:val="sr-Cyrl-BA"/>
        </w:rPr>
        <w:t xml:space="preserve">  приправника</w:t>
      </w:r>
      <w:r w:rsidRPr="001D1ECD">
        <w:rPr>
          <w:lang w:val="sr-Cyrl-BA"/>
        </w:rPr>
        <w:tab/>
        <w:t>4.</w:t>
      </w:r>
      <w:r w:rsidR="004D63CF">
        <w:rPr>
          <w:lang w:val="sr-Cyrl-BA"/>
        </w:rPr>
        <w:t>953</w:t>
      </w:r>
      <w:r w:rsidRPr="001D1ECD">
        <w:rPr>
          <w:lang w:val="sr-Cyrl-BA"/>
        </w:rPr>
        <w:t xml:space="preserve"> КМ</w:t>
      </w:r>
    </w:p>
    <w:p w14:paraId="51703305" w14:textId="77777777" w:rsidR="00AC145A" w:rsidRPr="001D1ECD" w:rsidRDefault="00AC145A" w:rsidP="00AC145A">
      <w:pPr>
        <w:tabs>
          <w:tab w:val="right" w:leader="dot" w:pos="9214"/>
        </w:tabs>
        <w:ind w:left="-360" w:firstLine="720"/>
        <w:rPr>
          <w:lang w:val="sr-Cyrl-BA"/>
        </w:rPr>
      </w:pPr>
      <w:r w:rsidRPr="001D1ECD">
        <w:rPr>
          <w:lang w:val="sr-Cyrl-BA"/>
        </w:rPr>
        <w:t>- Потраживања од Фонда дјечије заштите за накнаде плате за вријеме</w:t>
      </w:r>
    </w:p>
    <w:p w14:paraId="58621B42" w14:textId="77777777" w:rsidR="00AC145A" w:rsidRDefault="00AC145A" w:rsidP="00AC145A">
      <w:pPr>
        <w:tabs>
          <w:tab w:val="right" w:leader="dot" w:pos="9214"/>
        </w:tabs>
        <w:ind w:left="-360" w:firstLine="720"/>
        <w:rPr>
          <w:lang w:val="sr-Cyrl-BA"/>
        </w:rPr>
      </w:pPr>
      <w:r w:rsidRPr="001D1ECD">
        <w:rPr>
          <w:lang w:val="sr-Cyrl-BA"/>
        </w:rPr>
        <w:t xml:space="preserve">  породиљског </w:t>
      </w:r>
      <w:proofErr w:type="spellStart"/>
      <w:r w:rsidRPr="001D1ECD">
        <w:rPr>
          <w:lang w:val="sr-Cyrl-BA"/>
        </w:rPr>
        <w:t>одуства</w:t>
      </w:r>
      <w:proofErr w:type="spellEnd"/>
      <w:r w:rsidRPr="001D1ECD">
        <w:rPr>
          <w:lang w:val="sr-Cyrl-BA"/>
        </w:rPr>
        <w:t xml:space="preserve"> – Општинска управа</w:t>
      </w:r>
      <w:r w:rsidRPr="001D1ECD">
        <w:rPr>
          <w:lang w:val="sr-Cyrl-BA"/>
        </w:rPr>
        <w:tab/>
      </w:r>
      <w:r w:rsidR="004D63CF">
        <w:rPr>
          <w:lang w:val="sr-Cyrl-BA"/>
        </w:rPr>
        <w:t>28.789</w:t>
      </w:r>
      <w:r w:rsidRPr="001D1ECD">
        <w:rPr>
          <w:lang w:val="sr-Cyrl-BA"/>
        </w:rPr>
        <w:t xml:space="preserve"> КМ</w:t>
      </w:r>
    </w:p>
    <w:p w14:paraId="46BCA804" w14:textId="77777777" w:rsidR="004D63CF" w:rsidRPr="001D1ECD" w:rsidRDefault="004D63CF" w:rsidP="004D63CF">
      <w:pPr>
        <w:tabs>
          <w:tab w:val="right" w:leader="dot" w:pos="9214"/>
        </w:tabs>
        <w:ind w:left="-360" w:firstLine="720"/>
        <w:rPr>
          <w:lang w:val="sr-Cyrl-BA"/>
        </w:rPr>
      </w:pPr>
      <w:r>
        <w:rPr>
          <w:lang w:val="sr-Cyrl-BA"/>
        </w:rPr>
        <w:t xml:space="preserve">- </w:t>
      </w:r>
      <w:r w:rsidRPr="001D1ECD">
        <w:rPr>
          <w:lang w:val="sr-Cyrl-BA"/>
        </w:rPr>
        <w:t>Потраживања од Фонда дјечије заштите за накнаде плате за вријеме</w:t>
      </w:r>
    </w:p>
    <w:p w14:paraId="4E8670A7" w14:textId="77777777" w:rsidR="004D63CF" w:rsidRDefault="004D63CF" w:rsidP="004D63CF">
      <w:pPr>
        <w:tabs>
          <w:tab w:val="right" w:leader="dot" w:pos="9214"/>
        </w:tabs>
        <w:ind w:left="-360" w:firstLine="720"/>
        <w:rPr>
          <w:lang w:val="sr-Cyrl-BA"/>
        </w:rPr>
      </w:pPr>
      <w:r w:rsidRPr="001D1ECD">
        <w:rPr>
          <w:lang w:val="sr-Cyrl-BA"/>
        </w:rPr>
        <w:t xml:space="preserve">  породиљског </w:t>
      </w:r>
      <w:proofErr w:type="spellStart"/>
      <w:r w:rsidRPr="001D1ECD">
        <w:rPr>
          <w:lang w:val="sr-Cyrl-BA"/>
        </w:rPr>
        <w:t>одуства</w:t>
      </w:r>
      <w:proofErr w:type="spellEnd"/>
      <w:r w:rsidRPr="001D1ECD">
        <w:rPr>
          <w:lang w:val="sr-Cyrl-BA"/>
        </w:rPr>
        <w:t xml:space="preserve"> – </w:t>
      </w:r>
      <w:r>
        <w:rPr>
          <w:lang w:val="sr-Cyrl-BA"/>
        </w:rPr>
        <w:t>Центар за социјални рад</w:t>
      </w:r>
      <w:r>
        <w:rPr>
          <w:lang w:val="sr-Cyrl-BA"/>
        </w:rPr>
        <w:tab/>
        <w:t>6.180 КМ</w:t>
      </w:r>
    </w:p>
    <w:p w14:paraId="169C9049" w14:textId="77777777" w:rsidR="004D63CF" w:rsidRPr="001D1ECD" w:rsidRDefault="004D63CF" w:rsidP="004D63CF">
      <w:pPr>
        <w:tabs>
          <w:tab w:val="right" w:leader="dot" w:pos="9214"/>
        </w:tabs>
        <w:ind w:left="-360" w:firstLine="720"/>
        <w:rPr>
          <w:lang w:val="sr-Cyrl-BA"/>
        </w:rPr>
      </w:pPr>
      <w:r>
        <w:rPr>
          <w:lang w:val="sr-Cyrl-BA"/>
        </w:rPr>
        <w:t xml:space="preserve">- </w:t>
      </w:r>
      <w:r w:rsidRPr="001D1ECD">
        <w:rPr>
          <w:lang w:val="sr-Cyrl-BA"/>
        </w:rPr>
        <w:t>Потраживања од Фонда дјечије заштите за накнаде плате за вријеме</w:t>
      </w:r>
    </w:p>
    <w:p w14:paraId="0F57FD4A" w14:textId="77777777" w:rsidR="004D63CF" w:rsidRDefault="004D63CF" w:rsidP="004D63CF">
      <w:pPr>
        <w:tabs>
          <w:tab w:val="right" w:leader="dot" w:pos="9214"/>
        </w:tabs>
        <w:ind w:left="-360" w:firstLine="720"/>
        <w:rPr>
          <w:lang w:val="sr-Cyrl-BA"/>
        </w:rPr>
      </w:pPr>
      <w:r w:rsidRPr="001D1ECD">
        <w:rPr>
          <w:lang w:val="sr-Cyrl-BA"/>
        </w:rPr>
        <w:t xml:space="preserve">  породиљског </w:t>
      </w:r>
      <w:proofErr w:type="spellStart"/>
      <w:r w:rsidRPr="001D1ECD">
        <w:rPr>
          <w:lang w:val="sr-Cyrl-BA"/>
        </w:rPr>
        <w:t>одуства</w:t>
      </w:r>
      <w:proofErr w:type="spellEnd"/>
      <w:r w:rsidRPr="001D1ECD">
        <w:rPr>
          <w:lang w:val="sr-Cyrl-BA"/>
        </w:rPr>
        <w:t xml:space="preserve"> – Дјечији вртић „Наша радост“</w:t>
      </w:r>
      <w:r>
        <w:rPr>
          <w:lang w:val="sr-Cyrl-BA"/>
        </w:rPr>
        <w:tab/>
        <w:t>13.017 КМ</w:t>
      </w:r>
    </w:p>
    <w:p w14:paraId="3D9CBF46" w14:textId="77777777" w:rsidR="00AC145A" w:rsidRPr="001D1ECD" w:rsidRDefault="00AC145A" w:rsidP="005A7BA6">
      <w:pPr>
        <w:keepNext/>
        <w:keepLines/>
        <w:tabs>
          <w:tab w:val="right" w:leader="dot" w:pos="9214"/>
        </w:tabs>
        <w:ind w:left="-357" w:firstLine="720"/>
        <w:rPr>
          <w:lang w:val="sr-Cyrl-BA"/>
        </w:rPr>
      </w:pPr>
      <w:r w:rsidRPr="001D1ECD">
        <w:rPr>
          <w:lang w:val="sr-Cyrl-BA"/>
        </w:rPr>
        <w:t>- Потраживања од Министарства здравља и социјалне заштите по основу</w:t>
      </w:r>
    </w:p>
    <w:p w14:paraId="4162AD88" w14:textId="77777777" w:rsidR="00AC145A" w:rsidRPr="001D1ECD" w:rsidRDefault="00AC145A" w:rsidP="00AC145A">
      <w:pPr>
        <w:tabs>
          <w:tab w:val="right" w:leader="dot" w:pos="9214"/>
        </w:tabs>
        <w:ind w:left="-360" w:firstLine="720"/>
        <w:rPr>
          <w:lang w:val="sr-Cyrl-BA"/>
        </w:rPr>
      </w:pPr>
      <w:r w:rsidRPr="001D1ECD">
        <w:rPr>
          <w:lang w:val="sr-Cyrl-BA"/>
        </w:rPr>
        <w:t xml:space="preserve">  средстава</w:t>
      </w:r>
      <w:r w:rsidR="004D63CF">
        <w:rPr>
          <w:lang w:val="sr-Cyrl-BA"/>
        </w:rPr>
        <w:t xml:space="preserve"> за личне инвалиднине за 12/2020</w:t>
      </w:r>
      <w:r w:rsidRPr="001D1ECD">
        <w:rPr>
          <w:lang w:val="sr-Cyrl-BA"/>
        </w:rPr>
        <w:tab/>
      </w:r>
      <w:r w:rsidR="004D63CF">
        <w:rPr>
          <w:lang w:val="sr-Cyrl-BA"/>
        </w:rPr>
        <w:t>28.313</w:t>
      </w:r>
      <w:r w:rsidRPr="001D1ECD">
        <w:rPr>
          <w:lang w:val="sr-Cyrl-BA"/>
        </w:rPr>
        <w:t xml:space="preserve"> КМ</w:t>
      </w:r>
    </w:p>
    <w:p w14:paraId="01A810BA" w14:textId="77777777" w:rsidR="00AC145A" w:rsidRPr="001D1ECD" w:rsidRDefault="00AC145A" w:rsidP="00AC145A">
      <w:pPr>
        <w:tabs>
          <w:tab w:val="right" w:leader="dot" w:pos="9214"/>
        </w:tabs>
        <w:ind w:left="-360" w:firstLine="720"/>
      </w:pPr>
      <w:r w:rsidRPr="001D1ECD">
        <w:t xml:space="preserve">- Потраживања од Министарства здравља и социјалне заштите по основу </w:t>
      </w:r>
    </w:p>
    <w:p w14:paraId="27966CA4" w14:textId="77777777" w:rsidR="00AC145A" w:rsidRPr="001D1ECD" w:rsidRDefault="00AC145A" w:rsidP="00AC145A">
      <w:pPr>
        <w:tabs>
          <w:tab w:val="right" w:leader="dot" w:pos="9214"/>
        </w:tabs>
        <w:ind w:left="-360" w:firstLine="720"/>
      </w:pPr>
      <w:r w:rsidRPr="001D1ECD">
        <w:t xml:space="preserve">  средстава за </w:t>
      </w:r>
      <w:proofErr w:type="spellStart"/>
      <w:r w:rsidRPr="001D1ECD">
        <w:t>дјецу</w:t>
      </w:r>
      <w:proofErr w:type="spellEnd"/>
      <w:r w:rsidRPr="001D1ECD">
        <w:t xml:space="preserve"> и омладину са сметњама у развоју</w:t>
      </w:r>
      <w:r w:rsidRPr="001D1ECD">
        <w:rPr>
          <w:lang w:val="sr-Cyrl-RS"/>
        </w:rPr>
        <w:t xml:space="preserve"> </w:t>
      </w:r>
      <w:r w:rsidR="004D63CF">
        <w:rPr>
          <w:lang w:val="sr-Cyrl-RS"/>
        </w:rPr>
        <w:t>за 12/2020</w:t>
      </w:r>
      <w:r w:rsidRPr="001D1ECD">
        <w:tab/>
      </w:r>
      <w:r w:rsidRPr="001D1ECD">
        <w:rPr>
          <w:lang w:val="sr-Cyrl-RS"/>
        </w:rPr>
        <w:t>2.</w:t>
      </w:r>
      <w:r w:rsidR="004D63CF">
        <w:rPr>
          <w:lang w:val="sr-Cyrl-RS"/>
        </w:rPr>
        <w:t>802</w:t>
      </w:r>
      <w:r w:rsidRPr="001D1ECD">
        <w:t xml:space="preserve"> КМ</w:t>
      </w:r>
    </w:p>
    <w:p w14:paraId="50D2847A" w14:textId="77777777" w:rsidR="00AC145A" w:rsidRPr="001D1ECD" w:rsidRDefault="00AC145A" w:rsidP="00AC145A">
      <w:pPr>
        <w:keepNext/>
        <w:tabs>
          <w:tab w:val="right" w:leader="dot" w:pos="9214"/>
        </w:tabs>
        <w:ind w:left="-357" w:firstLine="720"/>
      </w:pPr>
      <w:r w:rsidRPr="001D1ECD">
        <w:lastRenderedPageBreak/>
        <w:t xml:space="preserve">- Потраживања од Министарства здравља и социјалне заштите </w:t>
      </w:r>
    </w:p>
    <w:p w14:paraId="37312ACE" w14:textId="77777777" w:rsidR="00AC145A" w:rsidRPr="001D1ECD" w:rsidRDefault="00AC145A" w:rsidP="00AC145A">
      <w:pPr>
        <w:keepNext/>
        <w:tabs>
          <w:tab w:val="right" w:leader="dot" w:pos="9214"/>
        </w:tabs>
        <w:ind w:left="-357" w:firstLine="720"/>
      </w:pPr>
      <w:r w:rsidRPr="001D1ECD">
        <w:t xml:space="preserve">  по основу средст</w:t>
      </w:r>
      <w:r w:rsidR="004D63CF">
        <w:t>ава социјалне заштите за 12/2020</w:t>
      </w:r>
      <w:r w:rsidRPr="001D1ECD">
        <w:tab/>
      </w:r>
      <w:r w:rsidR="004D63CF">
        <w:rPr>
          <w:lang w:val="sr-Cyrl-RS"/>
        </w:rPr>
        <w:t>79.831</w:t>
      </w:r>
      <w:r w:rsidRPr="001D1ECD">
        <w:t xml:space="preserve"> КМ</w:t>
      </w:r>
    </w:p>
    <w:p w14:paraId="7443E0F9" w14:textId="77777777" w:rsidR="00380916" w:rsidRDefault="00AC145A" w:rsidP="004D63CF">
      <w:pPr>
        <w:keepNext/>
        <w:tabs>
          <w:tab w:val="right" w:leader="dot" w:pos="9214"/>
        </w:tabs>
        <w:ind w:left="-357" w:firstLine="720"/>
        <w:rPr>
          <w:lang w:val="sr-Cyrl-RS"/>
        </w:rPr>
      </w:pPr>
      <w:r w:rsidRPr="001D1ECD">
        <w:rPr>
          <w:lang w:val="sr-Cyrl-RS"/>
        </w:rPr>
        <w:t xml:space="preserve">- </w:t>
      </w:r>
      <w:r w:rsidR="004D63CF" w:rsidRPr="004D63CF">
        <w:rPr>
          <w:lang w:val="sr-Cyrl-RS"/>
        </w:rPr>
        <w:t>Потраживања од Министарства за просторно уређење, грађевинарство</w:t>
      </w:r>
    </w:p>
    <w:p w14:paraId="6B1A9CE0" w14:textId="77777777" w:rsidR="00380916" w:rsidRDefault="00380916" w:rsidP="004D63CF">
      <w:pPr>
        <w:keepNext/>
        <w:tabs>
          <w:tab w:val="right" w:leader="dot" w:pos="9214"/>
        </w:tabs>
        <w:ind w:left="-357" w:firstLine="720"/>
        <w:rPr>
          <w:lang w:val="sr-Cyrl-RS"/>
        </w:rPr>
      </w:pPr>
      <w:r>
        <w:rPr>
          <w:lang w:val="sr-Cyrl-RS"/>
        </w:rPr>
        <w:t xml:space="preserve"> </w:t>
      </w:r>
      <w:r w:rsidR="004D63CF" w:rsidRPr="004D63CF">
        <w:rPr>
          <w:lang w:val="sr-Cyrl-RS"/>
        </w:rPr>
        <w:t xml:space="preserve"> и екологију </w:t>
      </w:r>
      <w:r>
        <w:rPr>
          <w:lang w:val="sr-Cyrl-RS"/>
        </w:rPr>
        <w:t xml:space="preserve">по основу одобрених средстава </w:t>
      </w:r>
      <w:r w:rsidR="004D63CF" w:rsidRPr="004D63CF">
        <w:rPr>
          <w:lang w:val="sr-Cyrl-RS"/>
        </w:rPr>
        <w:t>на име суфинансирања</w:t>
      </w:r>
    </w:p>
    <w:p w14:paraId="77013748" w14:textId="77777777" w:rsidR="00AC145A" w:rsidRDefault="00380916" w:rsidP="004D63CF">
      <w:pPr>
        <w:keepNext/>
        <w:tabs>
          <w:tab w:val="right" w:leader="dot" w:pos="9214"/>
        </w:tabs>
        <w:ind w:left="-357" w:firstLine="720"/>
        <w:rPr>
          <w:lang w:val="sr-Cyrl-RS"/>
        </w:rPr>
      </w:pPr>
      <w:r>
        <w:rPr>
          <w:lang w:val="sr-Cyrl-RS"/>
        </w:rPr>
        <w:t xml:space="preserve"> </w:t>
      </w:r>
      <w:r w:rsidR="004D63CF" w:rsidRPr="004D63CF">
        <w:rPr>
          <w:lang w:val="sr-Cyrl-RS"/>
        </w:rPr>
        <w:t xml:space="preserve"> израде докумената просторног уређења</w:t>
      </w:r>
      <w:r w:rsidR="00AC145A" w:rsidRPr="001D1ECD">
        <w:rPr>
          <w:lang w:val="sr-Cyrl-RS"/>
        </w:rPr>
        <w:tab/>
      </w:r>
      <w:r>
        <w:rPr>
          <w:lang w:val="sr-Cyrl-RS"/>
        </w:rPr>
        <w:t>10.000</w:t>
      </w:r>
      <w:r w:rsidR="00AC145A" w:rsidRPr="001D1ECD">
        <w:rPr>
          <w:lang w:val="sr-Cyrl-RS"/>
        </w:rPr>
        <w:t xml:space="preserve"> КМ</w:t>
      </w:r>
    </w:p>
    <w:p w14:paraId="04B2B361" w14:textId="77777777" w:rsidR="00380916" w:rsidRDefault="00380916" w:rsidP="004D63CF">
      <w:pPr>
        <w:keepNext/>
        <w:tabs>
          <w:tab w:val="right" w:leader="dot" w:pos="9214"/>
        </w:tabs>
        <w:ind w:left="-357" w:firstLine="720"/>
        <w:rPr>
          <w:lang w:val="sr-Cyrl-RS"/>
        </w:rPr>
      </w:pPr>
      <w:r>
        <w:rPr>
          <w:lang w:val="sr-Cyrl-RS"/>
        </w:rPr>
        <w:t xml:space="preserve">- </w:t>
      </w:r>
      <w:r w:rsidRPr="00380916">
        <w:rPr>
          <w:lang w:val="sr-Cyrl-RS"/>
        </w:rPr>
        <w:t xml:space="preserve">Потраживања од Републичког </w:t>
      </w:r>
      <w:proofErr w:type="spellStart"/>
      <w:r w:rsidRPr="00380916">
        <w:rPr>
          <w:lang w:val="sr-Cyrl-RS"/>
        </w:rPr>
        <w:t>секретеријата</w:t>
      </w:r>
      <w:proofErr w:type="spellEnd"/>
      <w:r w:rsidRPr="00380916">
        <w:rPr>
          <w:lang w:val="sr-Cyrl-RS"/>
        </w:rPr>
        <w:t xml:space="preserve"> за расељена лица и</w:t>
      </w:r>
    </w:p>
    <w:p w14:paraId="56984B35" w14:textId="77777777" w:rsidR="00380916" w:rsidRDefault="00380916" w:rsidP="00380916">
      <w:pPr>
        <w:keepNext/>
        <w:tabs>
          <w:tab w:val="right" w:leader="dot" w:pos="9214"/>
        </w:tabs>
        <w:ind w:left="-357" w:firstLine="720"/>
        <w:rPr>
          <w:lang w:val="sr-Cyrl-RS"/>
        </w:rPr>
      </w:pPr>
      <w:r>
        <w:rPr>
          <w:lang w:val="sr-Cyrl-RS"/>
        </w:rPr>
        <w:t xml:space="preserve"> </w:t>
      </w:r>
      <w:r w:rsidRPr="00380916">
        <w:rPr>
          <w:lang w:val="sr-Cyrl-RS"/>
        </w:rPr>
        <w:t xml:space="preserve"> миграције </w:t>
      </w:r>
      <w:r>
        <w:rPr>
          <w:lang w:val="sr-Cyrl-RS"/>
        </w:rPr>
        <w:t xml:space="preserve">по основу одобрених средстава </w:t>
      </w:r>
      <w:r w:rsidRPr="00380916">
        <w:rPr>
          <w:lang w:val="sr-Cyrl-RS"/>
        </w:rPr>
        <w:t>за реконструкцију локалног</w:t>
      </w:r>
    </w:p>
    <w:p w14:paraId="2B8A0839" w14:textId="77777777" w:rsidR="00380916" w:rsidRDefault="00380916" w:rsidP="00380916">
      <w:pPr>
        <w:keepNext/>
        <w:tabs>
          <w:tab w:val="right" w:leader="dot" w:pos="9214"/>
        </w:tabs>
        <w:ind w:left="-357" w:firstLine="720"/>
        <w:rPr>
          <w:lang w:val="sr-Cyrl-RS"/>
        </w:rPr>
      </w:pPr>
      <w:r>
        <w:rPr>
          <w:lang w:val="sr-Cyrl-RS"/>
        </w:rPr>
        <w:t xml:space="preserve"> </w:t>
      </w:r>
      <w:r w:rsidRPr="00380916">
        <w:rPr>
          <w:lang w:val="sr-Cyrl-RS"/>
        </w:rPr>
        <w:t xml:space="preserve"> пута у МЗ </w:t>
      </w:r>
      <w:proofErr w:type="spellStart"/>
      <w:r w:rsidRPr="00380916">
        <w:rPr>
          <w:lang w:val="sr-Cyrl-RS"/>
        </w:rPr>
        <w:t>Коњуховци</w:t>
      </w:r>
      <w:proofErr w:type="spellEnd"/>
      <w:r>
        <w:rPr>
          <w:lang w:val="sr-Cyrl-RS"/>
        </w:rPr>
        <w:tab/>
        <w:t>68.000 КМ</w:t>
      </w:r>
    </w:p>
    <w:p w14:paraId="696A2F9F" w14:textId="77777777" w:rsidR="00380916" w:rsidRDefault="00380916" w:rsidP="00380916">
      <w:pPr>
        <w:keepNext/>
        <w:tabs>
          <w:tab w:val="right" w:leader="dot" w:pos="9214"/>
        </w:tabs>
        <w:ind w:left="-357" w:firstLine="720"/>
        <w:rPr>
          <w:lang w:val="sr-Cyrl-RS"/>
        </w:rPr>
      </w:pPr>
      <w:r>
        <w:rPr>
          <w:lang w:val="sr-Cyrl-RS"/>
        </w:rPr>
        <w:t xml:space="preserve">- </w:t>
      </w:r>
      <w:r w:rsidRPr="00380916">
        <w:rPr>
          <w:lang w:val="sr-Cyrl-RS"/>
        </w:rPr>
        <w:t>Потраживања од Министарства за европске интеграције и међународну</w:t>
      </w:r>
    </w:p>
    <w:p w14:paraId="29B1DA74" w14:textId="77777777" w:rsidR="00380916" w:rsidRDefault="00380916" w:rsidP="00380916">
      <w:pPr>
        <w:keepNext/>
        <w:tabs>
          <w:tab w:val="right" w:leader="dot" w:pos="9214"/>
        </w:tabs>
        <w:ind w:left="-357" w:firstLine="720"/>
        <w:rPr>
          <w:lang w:val="sr-Cyrl-RS"/>
        </w:rPr>
      </w:pPr>
      <w:r>
        <w:rPr>
          <w:lang w:val="sr-Cyrl-RS"/>
        </w:rPr>
        <w:t xml:space="preserve"> </w:t>
      </w:r>
      <w:r w:rsidRPr="00380916">
        <w:rPr>
          <w:lang w:val="sr-Cyrl-RS"/>
        </w:rPr>
        <w:t xml:space="preserve"> сарадњу </w:t>
      </w:r>
      <w:r>
        <w:rPr>
          <w:lang w:val="sr-Cyrl-RS"/>
        </w:rPr>
        <w:t xml:space="preserve">по основу одобрених средстава </w:t>
      </w:r>
      <w:r w:rsidRPr="00380916">
        <w:rPr>
          <w:lang w:val="sr-Cyrl-RS"/>
        </w:rPr>
        <w:t>за реализацију УНДП пројекта</w:t>
      </w:r>
    </w:p>
    <w:p w14:paraId="27165900" w14:textId="77777777" w:rsidR="00380916" w:rsidRPr="001D1ECD" w:rsidRDefault="00380916" w:rsidP="00380916">
      <w:pPr>
        <w:keepNext/>
        <w:tabs>
          <w:tab w:val="right" w:leader="dot" w:pos="9214"/>
        </w:tabs>
        <w:ind w:left="-357" w:firstLine="720"/>
        <w:rPr>
          <w:lang w:val="sr-Cyrl-RS"/>
        </w:rPr>
      </w:pPr>
      <w:r w:rsidRPr="00380916">
        <w:rPr>
          <w:lang w:val="sr-Cyrl-RS"/>
        </w:rPr>
        <w:t xml:space="preserve"> "Зелени економски развој II"</w:t>
      </w:r>
      <w:r>
        <w:rPr>
          <w:lang w:val="sr-Cyrl-RS"/>
        </w:rPr>
        <w:tab/>
        <w:t>210.000 КМ</w:t>
      </w:r>
    </w:p>
    <w:p w14:paraId="1F612C12" w14:textId="77777777" w:rsidR="00AC145A" w:rsidRPr="001D1ECD" w:rsidRDefault="00AC145A" w:rsidP="00AC145A">
      <w:pPr>
        <w:keepNext/>
        <w:tabs>
          <w:tab w:val="right" w:leader="dot" w:pos="9214"/>
        </w:tabs>
        <w:ind w:left="-357" w:firstLine="720"/>
        <w:rPr>
          <w:lang w:val="sr-Cyrl-RS"/>
        </w:rPr>
      </w:pPr>
      <w:r w:rsidRPr="001D1ECD">
        <w:rPr>
          <w:lang w:val="sr-Cyrl-RS"/>
        </w:rPr>
        <w:t xml:space="preserve">- Потраживања од Буџета РС по основу јавних прихода намирених од </w:t>
      </w:r>
    </w:p>
    <w:p w14:paraId="6DE4648F" w14:textId="77777777" w:rsidR="00AC145A" w:rsidRPr="001D1ECD" w:rsidRDefault="00AC145A" w:rsidP="00AC145A">
      <w:pPr>
        <w:widowControl w:val="0"/>
        <w:tabs>
          <w:tab w:val="right" w:leader="dot" w:pos="9214"/>
        </w:tabs>
        <w:ind w:left="-357" w:firstLine="720"/>
        <w:rPr>
          <w:lang w:val="sr-Cyrl-RS"/>
        </w:rPr>
      </w:pPr>
      <w:r w:rsidRPr="001D1ECD">
        <w:rPr>
          <w:lang w:val="sr-Cyrl-RS"/>
        </w:rPr>
        <w:t xml:space="preserve">  пореских обвезника обвезницама РС</w:t>
      </w:r>
      <w:r w:rsidRPr="001D1ECD">
        <w:rPr>
          <w:lang w:val="sr-Cyrl-RS"/>
        </w:rPr>
        <w:tab/>
      </w:r>
      <w:r w:rsidR="00380916">
        <w:rPr>
          <w:lang w:val="sr-Cyrl-RS"/>
        </w:rPr>
        <w:t>11.024</w:t>
      </w:r>
      <w:r w:rsidRPr="001D1ECD">
        <w:rPr>
          <w:lang w:val="sr-Cyrl-RS"/>
        </w:rPr>
        <w:t xml:space="preserve"> КМ</w:t>
      </w:r>
    </w:p>
    <w:p w14:paraId="6DF2C0BA" w14:textId="77777777" w:rsidR="00AC145A" w:rsidRPr="001D1ECD" w:rsidRDefault="00AC145A" w:rsidP="00AC145A">
      <w:pPr>
        <w:tabs>
          <w:tab w:val="right" w:leader="dot" w:pos="9214"/>
        </w:tabs>
        <w:ind w:left="0" w:firstLine="0"/>
        <w:rPr>
          <w:b/>
          <w:lang w:val="sr-Cyrl-BA"/>
        </w:rPr>
      </w:pPr>
      <w:r w:rsidRPr="001D1ECD">
        <w:rPr>
          <w:lang w:val="sr-Cyrl-BA"/>
        </w:rPr>
        <w:t xml:space="preserve">        </w:t>
      </w:r>
      <w:r w:rsidRPr="001D1ECD">
        <w:rPr>
          <w:b/>
          <w:lang w:val="sr-Cyrl-BA"/>
        </w:rPr>
        <w:t>У к у п н о:</w:t>
      </w:r>
      <w:r w:rsidRPr="001D1ECD">
        <w:rPr>
          <w:b/>
          <w:lang w:val="sr-Cyrl-BA"/>
        </w:rPr>
        <w:tab/>
      </w:r>
      <w:r w:rsidR="00380916">
        <w:rPr>
          <w:b/>
          <w:lang w:val="sr-Cyrl-BA"/>
        </w:rPr>
        <w:t>544.485</w:t>
      </w:r>
      <w:r w:rsidRPr="001D1ECD">
        <w:rPr>
          <w:b/>
          <w:lang w:val="sr-Cyrl-BA"/>
        </w:rPr>
        <w:t xml:space="preserve"> КМ</w:t>
      </w:r>
    </w:p>
    <w:p w14:paraId="14D8864D" w14:textId="77777777" w:rsidR="00AC145A" w:rsidRPr="001D1ECD" w:rsidRDefault="00AC145A" w:rsidP="00AC145A">
      <w:pPr>
        <w:ind w:left="0" w:firstLine="0"/>
        <w:rPr>
          <w:lang w:val="sr-Cyrl-BA"/>
        </w:rPr>
      </w:pPr>
      <w:r w:rsidRPr="001D1ECD">
        <w:rPr>
          <w:lang w:val="sr-Cyrl-BA"/>
        </w:rPr>
        <w:tab/>
      </w:r>
    </w:p>
    <w:p w14:paraId="51A4ECA6" w14:textId="77777777" w:rsidR="00AC145A" w:rsidRPr="001D1ECD" w:rsidRDefault="00AC145A" w:rsidP="00AC145A">
      <w:pPr>
        <w:ind w:left="0" w:firstLine="720"/>
        <w:rPr>
          <w:lang w:val="sr-Latn-RS"/>
        </w:rPr>
      </w:pPr>
      <w:r w:rsidRPr="001D1ECD">
        <w:rPr>
          <w:lang w:val="sr-Cyrl-BA"/>
        </w:rPr>
        <w:t xml:space="preserve">Извршена је исправка (корекција вриједности) краткорочне финансијске имовине и разграничења између или унутар јединица власти у укупном износу од </w:t>
      </w:r>
      <w:r w:rsidR="00380916">
        <w:rPr>
          <w:lang w:val="sr-Cyrl-BA"/>
        </w:rPr>
        <w:t>4.578</w:t>
      </w:r>
      <w:r w:rsidRPr="001D1ECD">
        <w:rPr>
          <w:lang w:val="sr-Cyrl-BA"/>
        </w:rPr>
        <w:t xml:space="preserve"> КМ, јер се ради о потраживањима која нису наплаћена више од годину дана од њиховог доспијећа. </w:t>
      </w:r>
      <w:r w:rsidR="00380916">
        <w:rPr>
          <w:lang w:val="sr-Cyrl-BA"/>
        </w:rPr>
        <w:t>Спорна</w:t>
      </w:r>
      <w:r w:rsidRPr="001D1ECD">
        <w:rPr>
          <w:lang w:val="sr-Cyrl-BA"/>
        </w:rPr>
        <w:t xml:space="preserve"> потраживања </w:t>
      </w:r>
      <w:r w:rsidR="00380916">
        <w:rPr>
          <w:lang w:val="sr-Cyrl-BA"/>
        </w:rPr>
        <w:t xml:space="preserve">се односе на потраживања </w:t>
      </w:r>
      <w:r w:rsidRPr="001D1ECD">
        <w:rPr>
          <w:lang w:val="sr-Cyrl-BA"/>
        </w:rPr>
        <w:t xml:space="preserve">од </w:t>
      </w:r>
      <w:r w:rsidR="00380916">
        <w:rPr>
          <w:lang w:val="sr-Cyrl-BA"/>
        </w:rPr>
        <w:t xml:space="preserve">јединица локалне самоуправе </w:t>
      </w:r>
      <w:r w:rsidR="00380916" w:rsidRPr="00380916">
        <w:rPr>
          <w:lang w:val="sr-Cyrl-BA"/>
        </w:rPr>
        <w:t xml:space="preserve">по основу записника Пореске управе о обрачуну и поравнању више или погрешно </w:t>
      </w:r>
      <w:proofErr w:type="spellStart"/>
      <w:r w:rsidR="00380916" w:rsidRPr="00380916">
        <w:rPr>
          <w:lang w:val="sr-Cyrl-BA"/>
        </w:rPr>
        <w:t>уплаћених</w:t>
      </w:r>
      <w:proofErr w:type="spellEnd"/>
      <w:r w:rsidR="00380916" w:rsidRPr="00380916">
        <w:rPr>
          <w:lang w:val="sr-Cyrl-BA"/>
        </w:rPr>
        <w:t xml:space="preserve"> јавних прихода</w:t>
      </w:r>
      <w:r w:rsidR="00380916">
        <w:rPr>
          <w:lang w:val="sr-Cyrl-BA"/>
        </w:rPr>
        <w:t xml:space="preserve">    (3.254 КМ) </w:t>
      </w:r>
      <w:r w:rsidRPr="001D1ECD">
        <w:rPr>
          <w:lang w:val="sr-Cyrl-BA"/>
        </w:rPr>
        <w:t>и потраживања од Фонда здравственог осигурања за исплаћене плате радницима за вријеме боловања (</w:t>
      </w:r>
      <w:r w:rsidR="00380916">
        <w:rPr>
          <w:lang w:val="sr-Cyrl-BA"/>
        </w:rPr>
        <w:t>1.324</w:t>
      </w:r>
      <w:r w:rsidRPr="001D1ECD">
        <w:rPr>
          <w:lang w:val="sr-Cyrl-BA"/>
        </w:rPr>
        <w:t xml:space="preserve"> КМ).  </w:t>
      </w:r>
    </w:p>
    <w:p w14:paraId="3F176A61" w14:textId="77777777" w:rsidR="00AC145A" w:rsidRPr="001D1ECD" w:rsidRDefault="00AC145A" w:rsidP="00AC145A">
      <w:pPr>
        <w:ind w:left="0" w:firstLine="0"/>
        <w:rPr>
          <w:lang w:val="sr-Cyrl-BA"/>
        </w:rPr>
      </w:pPr>
    </w:p>
    <w:p w14:paraId="0058EF6C" w14:textId="77777777" w:rsidR="00AC145A" w:rsidRPr="001D1ECD" w:rsidRDefault="00AC145A" w:rsidP="00AC145A">
      <w:pPr>
        <w:ind w:left="0" w:firstLine="0"/>
      </w:pPr>
      <w:r w:rsidRPr="001D1ECD">
        <w:t>АОП033, колона 4  К-БС</w:t>
      </w:r>
    </w:p>
    <w:p w14:paraId="6EE5B017" w14:textId="77777777" w:rsidR="00AC145A" w:rsidRPr="001D1ECD" w:rsidRDefault="00AC145A" w:rsidP="00AC145A">
      <w:pPr>
        <w:ind w:left="0" w:firstLine="0"/>
        <w:rPr>
          <w:lang w:val="sr-Cyrl-RS"/>
        </w:rPr>
      </w:pPr>
      <w:r w:rsidRPr="001D1ECD">
        <w:rPr>
          <w:b/>
          <w:i/>
        </w:rPr>
        <w:sym w:font="Wingdings" w:char="F077"/>
      </w:r>
      <w:r w:rsidRPr="001D1ECD">
        <w:rPr>
          <w:b/>
          <w:i/>
        </w:rPr>
        <w:t xml:space="preserve"> Стална имовина</w:t>
      </w:r>
      <w:r w:rsidRPr="001D1ECD">
        <w:t xml:space="preserve"> </w:t>
      </w:r>
      <w:proofErr w:type="spellStart"/>
      <w:r w:rsidRPr="001D1ECD">
        <w:rPr>
          <w:b/>
          <w:i/>
          <w:lang w:val="sr-Cyrl-RS"/>
        </w:rPr>
        <w:t>намијењена</w:t>
      </w:r>
      <w:proofErr w:type="spellEnd"/>
      <w:r w:rsidRPr="001D1ECD">
        <w:rPr>
          <w:b/>
          <w:i/>
          <w:lang w:val="sr-Cyrl-RS"/>
        </w:rPr>
        <w:t xml:space="preserve"> продаји и обустављена пословања </w:t>
      </w:r>
      <w:r w:rsidRPr="001D1ECD">
        <w:rPr>
          <w:lang w:val="sr-Cyrl-RS"/>
        </w:rPr>
        <w:t xml:space="preserve">износи 9.289 КМ и односи се на сталну имовину која се не користи – машине за текстилну радионицу у ЈУ Гимназија Прњавор. </w:t>
      </w:r>
      <w:r w:rsidRPr="001D1ECD">
        <w:t xml:space="preserve">Извршена је исправка </w:t>
      </w:r>
      <w:proofErr w:type="spellStart"/>
      <w:r w:rsidRPr="001D1ECD">
        <w:t>цјелокупног</w:t>
      </w:r>
      <w:proofErr w:type="spellEnd"/>
      <w:r w:rsidRPr="001D1ECD">
        <w:t xml:space="preserve"> износа ове имовине. </w:t>
      </w:r>
    </w:p>
    <w:p w14:paraId="7CA1427D" w14:textId="77777777" w:rsidR="00AC145A" w:rsidRPr="001D1ECD" w:rsidRDefault="00AC145A" w:rsidP="00AC145A">
      <w:pPr>
        <w:ind w:left="0" w:firstLine="0"/>
        <w:rPr>
          <w:lang w:val="sr-Cyrl-BA"/>
        </w:rPr>
      </w:pPr>
    </w:p>
    <w:p w14:paraId="51809F6F" w14:textId="77777777" w:rsidR="00AC145A" w:rsidRPr="001D1ECD" w:rsidRDefault="00AC145A" w:rsidP="00AC145A">
      <w:pPr>
        <w:ind w:left="0" w:firstLine="0"/>
      </w:pPr>
      <w:r w:rsidRPr="001D1ECD">
        <w:t>АОП037, колона 4  К-БС</w:t>
      </w:r>
    </w:p>
    <w:p w14:paraId="4E714010" w14:textId="77777777" w:rsidR="00AC145A" w:rsidRPr="001D1ECD" w:rsidRDefault="00AC145A" w:rsidP="00AC145A">
      <w:pPr>
        <w:ind w:left="0" w:firstLine="0"/>
      </w:pPr>
      <w:r w:rsidRPr="001D1ECD">
        <w:rPr>
          <w:b/>
          <w:i/>
        </w:rPr>
        <w:sym w:font="Wingdings" w:char="F077"/>
      </w:r>
      <w:r w:rsidRPr="001D1ECD">
        <w:rPr>
          <w:b/>
          <w:i/>
        </w:rPr>
        <w:t xml:space="preserve">  Залихе материјала, учинака и роба</w:t>
      </w:r>
      <w:r w:rsidRPr="001D1ECD">
        <w:t xml:space="preserve"> износе </w:t>
      </w:r>
      <w:r w:rsidRPr="001D1ECD">
        <w:rPr>
          <w:lang w:val="sr-Cyrl-RS"/>
        </w:rPr>
        <w:t>2.</w:t>
      </w:r>
      <w:r w:rsidR="00380916">
        <w:rPr>
          <w:lang w:val="sr-Cyrl-RS"/>
        </w:rPr>
        <w:t>026</w:t>
      </w:r>
      <w:r w:rsidRPr="001D1ECD">
        <w:t xml:space="preserve"> КМ, а односе се на:</w:t>
      </w:r>
    </w:p>
    <w:p w14:paraId="69B37E60" w14:textId="77777777" w:rsidR="00AC145A" w:rsidRPr="001D1ECD" w:rsidRDefault="00AC145A" w:rsidP="00AC145A">
      <w:pPr>
        <w:tabs>
          <w:tab w:val="right" w:leader="dot" w:pos="9214"/>
        </w:tabs>
        <w:ind w:left="-360" w:firstLine="720"/>
      </w:pPr>
      <w:r w:rsidRPr="001D1ECD">
        <w:t xml:space="preserve">- Залихе материјала за образовање – ЈУ Центар средњих школа </w:t>
      </w:r>
    </w:p>
    <w:p w14:paraId="26041D8A" w14:textId="77777777" w:rsidR="00AC145A" w:rsidRPr="001D1ECD" w:rsidRDefault="00AC145A" w:rsidP="00AC145A">
      <w:pPr>
        <w:tabs>
          <w:tab w:val="right" w:leader="dot" w:pos="9214"/>
        </w:tabs>
        <w:ind w:left="-360" w:firstLine="720"/>
      </w:pPr>
      <w:r w:rsidRPr="001D1ECD">
        <w:t xml:space="preserve"> „Иво Андрић“</w:t>
      </w:r>
      <w:r w:rsidRPr="001D1ECD">
        <w:tab/>
      </w:r>
      <w:r w:rsidRPr="001D1ECD">
        <w:rPr>
          <w:lang w:val="sr-Cyrl-RS"/>
        </w:rPr>
        <w:t>657</w:t>
      </w:r>
      <w:r w:rsidRPr="001D1ECD">
        <w:t xml:space="preserve"> КМ</w:t>
      </w:r>
    </w:p>
    <w:p w14:paraId="06EE09DC" w14:textId="77777777" w:rsidR="00AC145A" w:rsidRPr="001D1ECD" w:rsidRDefault="00AC145A" w:rsidP="00AC145A">
      <w:pPr>
        <w:keepNext/>
        <w:tabs>
          <w:tab w:val="right" w:leader="dot" w:pos="9214"/>
        </w:tabs>
        <w:ind w:left="-357" w:firstLine="720"/>
      </w:pPr>
      <w:r w:rsidRPr="001D1ECD">
        <w:t>- Залихе робе у малопродаји – ЈУ Центар за културу</w:t>
      </w:r>
      <w:r w:rsidRPr="001D1ECD">
        <w:tab/>
      </w:r>
      <w:r w:rsidRPr="001D1ECD">
        <w:rPr>
          <w:lang w:val="sr-Cyrl-RS"/>
        </w:rPr>
        <w:t>1.</w:t>
      </w:r>
      <w:r w:rsidR="00C777C6">
        <w:rPr>
          <w:lang w:val="sr-Cyrl-RS"/>
        </w:rPr>
        <w:t>369</w:t>
      </w:r>
      <w:r w:rsidRPr="001D1ECD">
        <w:t xml:space="preserve"> КМ</w:t>
      </w:r>
    </w:p>
    <w:p w14:paraId="74FCDE69" w14:textId="77777777" w:rsidR="00AC145A" w:rsidRPr="001D1ECD" w:rsidRDefault="00AC145A" w:rsidP="00AC145A">
      <w:pPr>
        <w:tabs>
          <w:tab w:val="right" w:leader="dot" w:pos="9214"/>
        </w:tabs>
        <w:ind w:left="-360" w:firstLine="720"/>
        <w:rPr>
          <w:b/>
        </w:rPr>
      </w:pPr>
      <w:r w:rsidRPr="001D1ECD">
        <w:rPr>
          <w:lang w:val="sr-Latn-CS"/>
        </w:rPr>
        <w:t xml:space="preserve">  </w:t>
      </w:r>
      <w:r w:rsidRPr="001D1ECD">
        <w:rPr>
          <w:b/>
          <w:lang w:val="sr-Latn-CS"/>
        </w:rPr>
        <w:t>У к у п н о:</w:t>
      </w:r>
      <w:r w:rsidRPr="001D1ECD">
        <w:tab/>
      </w:r>
      <w:r w:rsidRPr="001D1ECD">
        <w:rPr>
          <w:b/>
          <w:lang w:val="sr-Cyrl-RS"/>
        </w:rPr>
        <w:t>2.</w:t>
      </w:r>
      <w:r w:rsidR="00C777C6">
        <w:rPr>
          <w:b/>
          <w:lang w:val="sr-Cyrl-RS"/>
        </w:rPr>
        <w:t>026</w:t>
      </w:r>
      <w:r w:rsidRPr="001D1ECD">
        <w:rPr>
          <w:b/>
          <w:lang w:val="sr-Latn-CS"/>
        </w:rPr>
        <w:t xml:space="preserve"> КМ</w:t>
      </w:r>
    </w:p>
    <w:p w14:paraId="23ED69C4" w14:textId="77777777" w:rsidR="00AC145A" w:rsidRPr="001D1ECD" w:rsidRDefault="00AC145A" w:rsidP="00AC145A">
      <w:pPr>
        <w:ind w:left="0" w:firstLine="0"/>
        <w:rPr>
          <w:b/>
          <w:i/>
        </w:rPr>
      </w:pPr>
    </w:p>
    <w:p w14:paraId="65FF5559" w14:textId="77777777" w:rsidR="00AC145A" w:rsidRPr="001D1ECD" w:rsidRDefault="00AC145A" w:rsidP="00AC145A">
      <w:pPr>
        <w:ind w:left="0" w:firstLine="0"/>
      </w:pPr>
      <w:r w:rsidRPr="001D1ECD">
        <w:t>АОП046, колона 4  К-БС</w:t>
      </w:r>
    </w:p>
    <w:p w14:paraId="0F7A2CAC" w14:textId="77777777" w:rsidR="00AC145A" w:rsidRPr="001D1ECD" w:rsidRDefault="00AC145A" w:rsidP="00AC145A">
      <w:pPr>
        <w:ind w:left="0" w:firstLine="0"/>
        <w:rPr>
          <w:lang w:val="sr-Latn-RS"/>
        </w:rPr>
      </w:pPr>
      <w:r w:rsidRPr="001D1ECD">
        <w:rPr>
          <w:i/>
        </w:rPr>
        <w:sym w:font="Wingdings" w:char="F077"/>
      </w:r>
      <w:r w:rsidRPr="001D1ECD">
        <w:rPr>
          <w:i/>
        </w:rPr>
        <w:t xml:space="preserve">  </w:t>
      </w:r>
      <w:r w:rsidRPr="001D1ECD">
        <w:rPr>
          <w:b/>
          <w:i/>
        </w:rPr>
        <w:t>Дугорочни пласмани</w:t>
      </w:r>
      <w:r w:rsidRPr="001D1ECD">
        <w:t xml:space="preserve"> износе </w:t>
      </w:r>
      <w:r w:rsidR="00C777C6">
        <w:rPr>
          <w:lang w:val="sr-Cyrl-RS"/>
        </w:rPr>
        <w:t>5.421.752</w:t>
      </w:r>
      <w:r w:rsidRPr="001D1ECD">
        <w:t xml:space="preserve"> КМ, а односе се на </w:t>
      </w:r>
      <w:proofErr w:type="spellStart"/>
      <w:r w:rsidRPr="001D1ECD">
        <w:t>вриједност</w:t>
      </w:r>
      <w:proofErr w:type="spellEnd"/>
      <w:r w:rsidRPr="001D1ECD">
        <w:t xml:space="preserve"> капитала/нето имовине осталих контролисаних ентитета  јавног сектора која је обухваћена Консолидованим билансом стања.</w:t>
      </w:r>
    </w:p>
    <w:p w14:paraId="5D108731" w14:textId="77777777" w:rsidR="00AC145A" w:rsidRPr="001D1ECD" w:rsidRDefault="00AC145A" w:rsidP="00AC145A">
      <w:pPr>
        <w:tabs>
          <w:tab w:val="right" w:leader="dot" w:pos="9214"/>
        </w:tabs>
        <w:ind w:left="-357" w:firstLine="720"/>
      </w:pPr>
    </w:p>
    <w:p w14:paraId="5E1F524B" w14:textId="77777777" w:rsidR="00AC145A" w:rsidRDefault="00AC145A" w:rsidP="00AC145A">
      <w:pPr>
        <w:ind w:left="0" w:firstLine="709"/>
      </w:pPr>
      <w:proofErr w:type="spellStart"/>
      <w:r w:rsidRPr="001D1ECD">
        <w:rPr>
          <w:lang w:val="sr-Latn-CS"/>
        </w:rPr>
        <w:t>Консолидацијом</w:t>
      </w:r>
      <w:proofErr w:type="spellEnd"/>
      <w:r w:rsidRPr="001D1ECD">
        <w:rPr>
          <w:lang w:val="sr-Latn-CS"/>
        </w:rPr>
        <w:t xml:space="preserve"> </w:t>
      </w:r>
      <w:proofErr w:type="spellStart"/>
      <w:r w:rsidRPr="001D1ECD">
        <w:rPr>
          <w:lang w:val="sr-Latn-CS"/>
        </w:rPr>
        <w:t>су</w:t>
      </w:r>
      <w:proofErr w:type="spellEnd"/>
      <w:r w:rsidRPr="001D1ECD">
        <w:rPr>
          <w:lang w:val="sr-Latn-CS"/>
        </w:rPr>
        <w:t xml:space="preserve"> </w:t>
      </w:r>
      <w:proofErr w:type="spellStart"/>
      <w:r w:rsidRPr="001D1ECD">
        <w:rPr>
          <w:lang w:val="sr-Latn-CS"/>
        </w:rPr>
        <w:t>обухваћени</w:t>
      </w:r>
      <w:proofErr w:type="spellEnd"/>
      <w:r w:rsidRPr="001D1ECD">
        <w:rPr>
          <w:lang w:val="sr-Latn-CS"/>
        </w:rPr>
        <w:t xml:space="preserve"> КП „</w:t>
      </w:r>
      <w:proofErr w:type="spellStart"/>
      <w:r w:rsidRPr="001D1ECD">
        <w:rPr>
          <w:lang w:val="sr-Latn-CS"/>
        </w:rPr>
        <w:t>Парк</w:t>
      </w:r>
      <w:proofErr w:type="spellEnd"/>
      <w:r w:rsidRPr="001D1ECD">
        <w:rPr>
          <w:lang w:val="sr-Latn-CS"/>
        </w:rPr>
        <w:t xml:space="preserve">“ </w:t>
      </w:r>
      <w:proofErr w:type="spellStart"/>
      <w:r w:rsidRPr="001D1ECD">
        <w:rPr>
          <w:lang w:val="sr-Latn-CS"/>
        </w:rPr>
        <w:t>а.д</w:t>
      </w:r>
      <w:proofErr w:type="spellEnd"/>
      <w:r w:rsidRPr="001D1ECD">
        <w:rPr>
          <w:lang w:val="sr-Latn-CS"/>
        </w:rPr>
        <w:t xml:space="preserve">. </w:t>
      </w:r>
      <w:proofErr w:type="spellStart"/>
      <w:r w:rsidRPr="001D1ECD">
        <w:rPr>
          <w:lang w:val="sr-Latn-CS"/>
        </w:rPr>
        <w:t>Прња</w:t>
      </w:r>
      <w:r w:rsidR="00C777C6">
        <w:rPr>
          <w:lang w:val="sr-Latn-CS"/>
        </w:rPr>
        <w:t>вор</w:t>
      </w:r>
      <w:proofErr w:type="spellEnd"/>
      <w:r w:rsidR="00C777C6">
        <w:rPr>
          <w:lang w:val="sr-Latn-CS"/>
        </w:rPr>
        <w:t>, КП „</w:t>
      </w:r>
      <w:proofErr w:type="spellStart"/>
      <w:r w:rsidR="00C777C6">
        <w:rPr>
          <w:lang w:val="sr-Latn-CS"/>
        </w:rPr>
        <w:t>Водовод</w:t>
      </w:r>
      <w:proofErr w:type="spellEnd"/>
      <w:r w:rsidR="00C777C6">
        <w:rPr>
          <w:lang w:val="sr-Latn-CS"/>
        </w:rPr>
        <w:t xml:space="preserve">“ </w:t>
      </w:r>
      <w:proofErr w:type="spellStart"/>
      <w:r w:rsidR="00C777C6">
        <w:rPr>
          <w:lang w:val="sr-Latn-CS"/>
        </w:rPr>
        <w:t>а.д</w:t>
      </w:r>
      <w:proofErr w:type="spellEnd"/>
      <w:r w:rsidR="00C777C6">
        <w:rPr>
          <w:lang w:val="sr-Latn-CS"/>
        </w:rPr>
        <w:t xml:space="preserve">. </w:t>
      </w:r>
      <w:proofErr w:type="spellStart"/>
      <w:r w:rsidR="00C777C6">
        <w:rPr>
          <w:lang w:val="sr-Latn-CS"/>
        </w:rPr>
        <w:t>Прњавор</w:t>
      </w:r>
      <w:proofErr w:type="spellEnd"/>
      <w:r w:rsidR="00C777C6">
        <w:rPr>
          <w:lang w:val="sr-Latn-CS"/>
        </w:rPr>
        <w:t>,</w:t>
      </w:r>
      <w:r w:rsidRPr="001D1ECD">
        <w:rPr>
          <w:lang w:val="sr-Latn-CS"/>
        </w:rPr>
        <w:t xml:space="preserve"> ЈП „Д</w:t>
      </w:r>
      <w:r w:rsidRPr="001D1ECD">
        <w:rPr>
          <w:lang w:val="sr-Cyrl-RS"/>
        </w:rPr>
        <w:t>ЕП-ОТ</w:t>
      </w:r>
      <w:r w:rsidRPr="001D1ECD">
        <w:rPr>
          <w:lang w:val="sr-Latn-CS"/>
        </w:rPr>
        <w:t xml:space="preserve">“ </w:t>
      </w:r>
      <w:proofErr w:type="spellStart"/>
      <w:r w:rsidRPr="001D1ECD">
        <w:rPr>
          <w:lang w:val="sr-Latn-CS"/>
        </w:rPr>
        <w:t>а.д</w:t>
      </w:r>
      <w:proofErr w:type="spellEnd"/>
      <w:r w:rsidRPr="001D1ECD">
        <w:rPr>
          <w:lang w:val="sr-Latn-CS"/>
        </w:rPr>
        <w:t xml:space="preserve">. </w:t>
      </w:r>
      <w:proofErr w:type="spellStart"/>
      <w:r w:rsidRPr="001D1ECD">
        <w:rPr>
          <w:lang w:val="sr-Latn-CS"/>
        </w:rPr>
        <w:t>Бањалука</w:t>
      </w:r>
      <w:proofErr w:type="spellEnd"/>
      <w:r w:rsidRPr="001D1ECD">
        <w:rPr>
          <w:lang w:val="sr-Latn-CS"/>
        </w:rPr>
        <w:t>,</w:t>
      </w:r>
      <w:r w:rsidR="00C777C6">
        <w:rPr>
          <w:lang w:val="sr-Cyrl-RS"/>
        </w:rPr>
        <w:t xml:space="preserve"> ЈП „Радио Прњавор“ и ЈЗУ „Дом здравља Прњавор“</w:t>
      </w:r>
      <w:r w:rsidRPr="001D1ECD">
        <w:rPr>
          <w:lang w:val="sr-Latn-CS"/>
        </w:rPr>
        <w:t xml:space="preserve"> </w:t>
      </w:r>
      <w:proofErr w:type="spellStart"/>
      <w:r w:rsidRPr="001D1ECD">
        <w:rPr>
          <w:lang w:val="sr-Latn-CS"/>
        </w:rPr>
        <w:t>чија</w:t>
      </w:r>
      <w:proofErr w:type="spellEnd"/>
      <w:r w:rsidRPr="001D1ECD">
        <w:t xml:space="preserve"> укупна </w:t>
      </w:r>
      <w:proofErr w:type="spellStart"/>
      <w:r w:rsidRPr="001D1ECD">
        <w:t>вриједност</w:t>
      </w:r>
      <w:proofErr w:type="spellEnd"/>
      <w:r w:rsidRPr="001D1ECD">
        <w:t xml:space="preserve"> капитала/нето имовине исказана у билансима стања износи </w:t>
      </w:r>
      <w:r w:rsidR="00C777C6">
        <w:rPr>
          <w:lang w:val="sr-Cyrl-RS"/>
        </w:rPr>
        <w:t>11.588.556</w:t>
      </w:r>
      <w:r w:rsidRPr="001D1ECD">
        <w:t xml:space="preserve"> КМ, од чега општини Прњавор припада </w:t>
      </w:r>
      <w:r w:rsidR="00C777C6">
        <w:rPr>
          <w:lang w:val="sr-Cyrl-RS"/>
        </w:rPr>
        <w:t>5.421.752</w:t>
      </w:r>
      <w:r w:rsidRPr="001D1ECD">
        <w:t xml:space="preserve"> КМ, и то:</w:t>
      </w:r>
    </w:p>
    <w:p w14:paraId="72A4EBDF" w14:textId="77777777" w:rsidR="00D012BA" w:rsidRPr="001D1ECD" w:rsidRDefault="00D012BA" w:rsidP="00AC145A">
      <w:pPr>
        <w:ind w:left="0" w:firstLine="709"/>
      </w:pPr>
    </w:p>
    <w:p w14:paraId="3BF9C80B" w14:textId="77777777" w:rsidR="00AC145A" w:rsidRPr="001D1ECD" w:rsidRDefault="00AC145A" w:rsidP="00AC145A">
      <w:pPr>
        <w:tabs>
          <w:tab w:val="right" w:leader="dot" w:pos="9214"/>
        </w:tabs>
        <w:spacing w:before="120"/>
        <w:ind w:left="-357" w:firstLine="720"/>
      </w:pPr>
      <w:r w:rsidRPr="001D1ECD">
        <w:t xml:space="preserve">- </w:t>
      </w:r>
      <w:proofErr w:type="spellStart"/>
      <w:r w:rsidRPr="001D1ECD">
        <w:rPr>
          <w:lang w:val="sr-Latn-CS"/>
        </w:rPr>
        <w:t>Учешће</w:t>
      </w:r>
      <w:proofErr w:type="spellEnd"/>
      <w:r w:rsidRPr="001D1ECD">
        <w:rPr>
          <w:lang w:val="sr-Latn-CS"/>
        </w:rPr>
        <w:t xml:space="preserve"> у </w:t>
      </w:r>
      <w:proofErr w:type="spellStart"/>
      <w:r w:rsidRPr="001D1ECD">
        <w:rPr>
          <w:lang w:val="sr-Latn-CS"/>
        </w:rPr>
        <w:t>капиталу</w:t>
      </w:r>
      <w:proofErr w:type="spellEnd"/>
      <w:r w:rsidRPr="001D1ECD">
        <w:rPr>
          <w:lang w:val="sr-Latn-CS"/>
        </w:rPr>
        <w:t xml:space="preserve"> ЈП ДЕП-ОТ</w:t>
      </w:r>
      <w:r w:rsidRPr="001D1ECD">
        <w:t xml:space="preserve"> (10%)</w:t>
      </w:r>
      <w:r w:rsidRPr="001D1ECD">
        <w:tab/>
      </w:r>
      <w:r w:rsidR="00C777C6">
        <w:rPr>
          <w:lang w:val="sr-Cyrl-RS"/>
        </w:rPr>
        <w:t>552.664</w:t>
      </w:r>
      <w:r w:rsidRPr="001D1ECD">
        <w:rPr>
          <w:lang w:val="sr-Latn-CS"/>
        </w:rPr>
        <w:t xml:space="preserve"> КМ</w:t>
      </w:r>
    </w:p>
    <w:p w14:paraId="787C158D" w14:textId="77777777" w:rsidR="00AC145A" w:rsidRPr="001D1ECD" w:rsidRDefault="00AC145A" w:rsidP="00AC145A">
      <w:pPr>
        <w:tabs>
          <w:tab w:val="right" w:leader="dot" w:pos="9214"/>
        </w:tabs>
        <w:ind w:left="-360" w:firstLine="720"/>
      </w:pPr>
      <w:r w:rsidRPr="001D1ECD">
        <w:rPr>
          <w:lang w:val="sr-Latn-CS"/>
        </w:rPr>
        <w:t xml:space="preserve">- </w:t>
      </w:r>
      <w:r w:rsidRPr="001D1ECD">
        <w:t>Учешће у капиталу</w:t>
      </w:r>
      <w:r w:rsidRPr="001D1ECD">
        <w:rPr>
          <w:lang w:val="sr-Latn-CS"/>
        </w:rPr>
        <w:t xml:space="preserve"> КП </w:t>
      </w:r>
      <w:r w:rsidRPr="001D1ECD">
        <w:t>“</w:t>
      </w:r>
      <w:proofErr w:type="spellStart"/>
      <w:r w:rsidRPr="001D1ECD">
        <w:rPr>
          <w:lang w:val="sr-Latn-CS"/>
        </w:rPr>
        <w:t>Парк</w:t>
      </w:r>
      <w:proofErr w:type="spellEnd"/>
      <w:r w:rsidRPr="001D1ECD">
        <w:rPr>
          <w:lang w:val="sr-Latn-CS"/>
        </w:rPr>
        <w:t>“</w:t>
      </w:r>
      <w:r w:rsidRPr="001D1ECD">
        <w:t xml:space="preserve"> АД (57,6445%)</w:t>
      </w:r>
      <w:r w:rsidRPr="001D1ECD">
        <w:tab/>
      </w:r>
      <w:r w:rsidR="00C777C6">
        <w:rPr>
          <w:lang w:val="sr-Cyrl-RS"/>
        </w:rPr>
        <w:t>245.137</w:t>
      </w:r>
      <w:r w:rsidRPr="001D1ECD">
        <w:rPr>
          <w:lang w:val="sr-Latn-CS"/>
        </w:rPr>
        <w:t xml:space="preserve"> КМ</w:t>
      </w:r>
    </w:p>
    <w:p w14:paraId="4B53ADF8" w14:textId="77777777" w:rsidR="00AC145A" w:rsidRDefault="00AC145A" w:rsidP="00AC145A">
      <w:pPr>
        <w:keepNext/>
        <w:keepLines/>
        <w:tabs>
          <w:tab w:val="right" w:leader="dot" w:pos="9214"/>
        </w:tabs>
        <w:ind w:left="-357" w:firstLine="720"/>
        <w:rPr>
          <w:lang w:val="sr-Latn-CS"/>
        </w:rPr>
      </w:pPr>
      <w:r w:rsidRPr="001D1ECD">
        <w:rPr>
          <w:lang w:val="sr-Latn-CS"/>
        </w:rPr>
        <w:lastRenderedPageBreak/>
        <w:t xml:space="preserve">- </w:t>
      </w:r>
      <w:r w:rsidRPr="001D1ECD">
        <w:t>Учешће у капиталу</w:t>
      </w:r>
      <w:r w:rsidRPr="001D1ECD">
        <w:rPr>
          <w:lang w:val="sr-Latn-CS"/>
        </w:rPr>
        <w:t xml:space="preserve"> КП </w:t>
      </w:r>
      <w:r w:rsidRPr="001D1ECD">
        <w:t>“</w:t>
      </w:r>
      <w:proofErr w:type="spellStart"/>
      <w:r w:rsidRPr="001D1ECD">
        <w:rPr>
          <w:lang w:val="sr-Latn-CS"/>
        </w:rPr>
        <w:t>Водовод</w:t>
      </w:r>
      <w:proofErr w:type="spellEnd"/>
      <w:r w:rsidRPr="001D1ECD">
        <w:rPr>
          <w:lang w:val="sr-Latn-CS"/>
        </w:rPr>
        <w:t xml:space="preserve">“ </w:t>
      </w:r>
      <w:r w:rsidRPr="001D1ECD">
        <w:t>АД (57,6456%)</w:t>
      </w:r>
      <w:r w:rsidRPr="001D1ECD">
        <w:tab/>
      </w:r>
      <w:r w:rsidRPr="001D1ECD">
        <w:rPr>
          <w:lang w:val="sr-Cyrl-RS"/>
        </w:rPr>
        <w:t>1.</w:t>
      </w:r>
      <w:r w:rsidR="00C777C6">
        <w:rPr>
          <w:lang w:val="sr-Cyrl-RS"/>
        </w:rPr>
        <w:t>378.322</w:t>
      </w:r>
      <w:r w:rsidRPr="001D1ECD">
        <w:rPr>
          <w:lang w:val="sr-Latn-CS"/>
        </w:rPr>
        <w:t xml:space="preserve"> КМ</w:t>
      </w:r>
    </w:p>
    <w:p w14:paraId="6445E4B9" w14:textId="77777777" w:rsidR="00C777C6" w:rsidRDefault="00C777C6" w:rsidP="00AC145A">
      <w:pPr>
        <w:keepNext/>
        <w:keepLines/>
        <w:tabs>
          <w:tab w:val="right" w:leader="dot" w:pos="9214"/>
        </w:tabs>
        <w:ind w:left="-357" w:firstLine="720"/>
        <w:rPr>
          <w:lang w:val="sr-Cyrl-RS"/>
        </w:rPr>
      </w:pPr>
      <w:r>
        <w:rPr>
          <w:lang w:val="sr-Cyrl-RS"/>
        </w:rPr>
        <w:t>- Учешће у капиталу ЈП „Радио Прњавор“ (100%)</w:t>
      </w:r>
      <w:r>
        <w:rPr>
          <w:lang w:val="sr-Cyrl-RS"/>
        </w:rPr>
        <w:tab/>
        <w:t>161.934 КМ</w:t>
      </w:r>
    </w:p>
    <w:p w14:paraId="6864810B" w14:textId="77777777" w:rsidR="00C777C6" w:rsidRPr="00C777C6" w:rsidRDefault="00C777C6" w:rsidP="00AC145A">
      <w:pPr>
        <w:keepNext/>
        <w:keepLines/>
        <w:tabs>
          <w:tab w:val="right" w:leader="dot" w:pos="9214"/>
        </w:tabs>
        <w:ind w:left="-357" w:firstLine="720"/>
        <w:rPr>
          <w:lang w:val="sr-Cyrl-RS"/>
        </w:rPr>
      </w:pPr>
      <w:r>
        <w:rPr>
          <w:lang w:val="sr-Cyrl-RS"/>
        </w:rPr>
        <w:t>- Учешће у капиталу ЈЗУ „Дом здравља Прњавор“</w:t>
      </w:r>
      <w:r w:rsidR="00CD39FC">
        <w:rPr>
          <w:lang w:val="sr-Latn-RS"/>
        </w:rPr>
        <w:t xml:space="preserve"> (100%)</w:t>
      </w:r>
      <w:r>
        <w:rPr>
          <w:lang w:val="sr-Cyrl-RS"/>
        </w:rPr>
        <w:tab/>
        <w:t>3.083.694 КМ</w:t>
      </w:r>
    </w:p>
    <w:p w14:paraId="72B77C27" w14:textId="77777777" w:rsidR="00AC145A" w:rsidRPr="001D1ECD" w:rsidRDefault="00AC145A" w:rsidP="00AC145A">
      <w:pPr>
        <w:tabs>
          <w:tab w:val="right" w:leader="dot" w:pos="9214"/>
        </w:tabs>
        <w:ind w:left="-360" w:firstLine="720"/>
        <w:rPr>
          <w:b/>
        </w:rPr>
      </w:pPr>
      <w:r w:rsidRPr="001D1ECD">
        <w:rPr>
          <w:b/>
          <w:lang w:val="sr-Latn-CS"/>
        </w:rPr>
        <w:t xml:space="preserve">   У к у п н о:</w:t>
      </w:r>
      <w:r w:rsidRPr="001D1ECD">
        <w:rPr>
          <w:b/>
        </w:rPr>
        <w:tab/>
      </w:r>
      <w:r w:rsidR="00C777C6">
        <w:rPr>
          <w:b/>
          <w:lang w:val="sr-Cyrl-RS"/>
        </w:rPr>
        <w:t>5.421.752</w:t>
      </w:r>
      <w:r w:rsidRPr="001D1ECD">
        <w:rPr>
          <w:b/>
          <w:lang w:val="sr-Latn-CS"/>
        </w:rPr>
        <w:t xml:space="preserve"> КМ</w:t>
      </w:r>
    </w:p>
    <w:p w14:paraId="0422D95C" w14:textId="77777777" w:rsidR="00AC145A" w:rsidRPr="001D1ECD" w:rsidRDefault="00AC145A" w:rsidP="00AC145A">
      <w:pPr>
        <w:spacing w:before="240"/>
        <w:ind w:left="0" w:right="-792" w:firstLine="720"/>
      </w:pPr>
      <w:r w:rsidRPr="001D1ECD">
        <w:t xml:space="preserve">Номинална </w:t>
      </w:r>
      <w:proofErr w:type="spellStart"/>
      <w:r w:rsidRPr="001D1ECD">
        <w:t>вриједност</w:t>
      </w:r>
      <w:proofErr w:type="spellEnd"/>
      <w:r w:rsidRPr="001D1ECD">
        <w:t xml:space="preserve"> позиције 1113 - Акције и учешћа у капиталу, која је исказана у књиговодству износи 2.</w:t>
      </w:r>
      <w:r w:rsidR="00C777C6">
        <w:rPr>
          <w:lang w:val="sr-Cyrl-RS"/>
        </w:rPr>
        <w:t>746.180</w:t>
      </w:r>
      <w:r w:rsidRPr="001D1ECD">
        <w:t xml:space="preserve"> КМ, а консолидовани </w:t>
      </w:r>
      <w:proofErr w:type="spellStart"/>
      <w:r w:rsidRPr="001D1ECD">
        <w:t>дио</w:t>
      </w:r>
      <w:proofErr w:type="spellEnd"/>
      <w:r w:rsidRPr="001D1ECD">
        <w:t xml:space="preserve"> је </w:t>
      </w:r>
      <w:r w:rsidR="00C777C6">
        <w:rPr>
          <w:lang w:val="sr-Cyrl-RS"/>
        </w:rPr>
        <w:t>5.421.752</w:t>
      </w:r>
      <w:r w:rsidRPr="001D1ECD">
        <w:t xml:space="preserve"> КМ, што значи да је капитал реално </w:t>
      </w:r>
      <w:r w:rsidR="00C777C6">
        <w:rPr>
          <w:lang w:val="sr-Cyrl-RS"/>
        </w:rPr>
        <w:t>већи</w:t>
      </w:r>
      <w:r w:rsidRPr="001D1ECD">
        <w:t xml:space="preserve"> у односу на књиговодствено стање за </w:t>
      </w:r>
      <w:r w:rsidR="00C777C6">
        <w:rPr>
          <w:lang w:val="sr-Cyrl-RS"/>
        </w:rPr>
        <w:t>2.675.572</w:t>
      </w:r>
      <w:r w:rsidRPr="001D1ECD">
        <w:t xml:space="preserve"> КМ. Консолидација је извршена на основу података о капиталу који су преузети из Биланса стања јавних предузећа</w:t>
      </w:r>
      <w:r w:rsidR="002F1B2C">
        <w:rPr>
          <w:lang w:val="sr-Cyrl-RS"/>
        </w:rPr>
        <w:t xml:space="preserve"> и установа</w:t>
      </w:r>
      <w:r w:rsidRPr="001D1ECD">
        <w:t>, који су достављени Општини.</w:t>
      </w:r>
    </w:p>
    <w:p w14:paraId="47F95532" w14:textId="77777777" w:rsidR="00AC145A" w:rsidRPr="001D1ECD" w:rsidRDefault="00AC145A" w:rsidP="00AC145A">
      <w:pPr>
        <w:ind w:left="0" w:firstLine="0"/>
      </w:pPr>
    </w:p>
    <w:p w14:paraId="43463089" w14:textId="77777777" w:rsidR="00AC145A" w:rsidRPr="001D1ECD" w:rsidRDefault="00AC145A" w:rsidP="00AC145A">
      <w:pPr>
        <w:ind w:left="0" w:firstLine="0"/>
      </w:pPr>
      <w:r w:rsidRPr="001D1ECD">
        <w:t>АОП05</w:t>
      </w:r>
      <w:r w:rsidRPr="001D1ECD">
        <w:rPr>
          <w:lang w:val="sr-Cyrl-RS"/>
        </w:rPr>
        <w:t>2</w:t>
      </w:r>
      <w:r w:rsidRPr="001D1ECD">
        <w:t>, колона 4  К-БС</w:t>
      </w:r>
    </w:p>
    <w:p w14:paraId="76C0DBA5" w14:textId="77777777" w:rsidR="00AC145A" w:rsidRPr="001D1ECD" w:rsidRDefault="00AC145A" w:rsidP="00AC145A">
      <w:pPr>
        <w:ind w:left="0" w:firstLine="0"/>
      </w:pPr>
      <w:r w:rsidRPr="001D1ECD">
        <w:rPr>
          <w:b/>
          <w:i/>
        </w:rPr>
        <w:sym w:font="Wingdings" w:char="F077"/>
      </w:r>
      <w:r w:rsidRPr="001D1ECD">
        <w:rPr>
          <w:b/>
          <w:i/>
        </w:rPr>
        <w:t xml:space="preserve">  Дугорочна потраживања</w:t>
      </w:r>
      <w:r w:rsidRPr="001D1ECD">
        <w:t xml:space="preserve"> износе </w:t>
      </w:r>
      <w:r w:rsidR="00931CFD">
        <w:rPr>
          <w:lang w:val="sr-Cyrl-RS"/>
        </w:rPr>
        <w:t>18.070</w:t>
      </w:r>
      <w:r w:rsidRPr="001D1ECD">
        <w:t xml:space="preserve"> КМ, а односе се на </w:t>
      </w:r>
      <w:proofErr w:type="spellStart"/>
      <w:r w:rsidRPr="001D1ECD">
        <w:rPr>
          <w:lang w:val="sr-Cyrl-RS"/>
        </w:rPr>
        <w:t>дио</w:t>
      </w:r>
      <w:proofErr w:type="spellEnd"/>
      <w:r w:rsidRPr="001D1ECD">
        <w:rPr>
          <w:lang w:val="sr-Cyrl-RS"/>
        </w:rPr>
        <w:t xml:space="preserve"> потраживања за пореске и </w:t>
      </w:r>
      <w:proofErr w:type="spellStart"/>
      <w:r w:rsidRPr="001D1ECD">
        <w:rPr>
          <w:lang w:val="sr-Cyrl-RS"/>
        </w:rPr>
        <w:t>непореске</w:t>
      </w:r>
      <w:proofErr w:type="spellEnd"/>
      <w:r w:rsidRPr="001D1ECD">
        <w:rPr>
          <w:lang w:val="sr-Cyrl-RS"/>
        </w:rPr>
        <w:t xml:space="preserve"> приходе </w:t>
      </w:r>
      <w:r w:rsidRPr="001D1ECD">
        <w:t>којим</w:t>
      </w:r>
      <w:r w:rsidRPr="001D1ECD">
        <w:rPr>
          <w:lang w:val="sr-Cyrl-RS"/>
        </w:rPr>
        <w:t>а</w:t>
      </w:r>
      <w:r w:rsidRPr="001D1ECD">
        <w:t xml:space="preserve"> је продужен рок наплате по </w:t>
      </w:r>
      <w:proofErr w:type="spellStart"/>
      <w:r w:rsidRPr="001D1ECD">
        <w:t>рјешењима</w:t>
      </w:r>
      <w:proofErr w:type="spellEnd"/>
      <w:r w:rsidRPr="001D1ECD">
        <w:t xml:space="preserve"> Министарства финансија</w:t>
      </w:r>
      <w:r w:rsidRPr="001D1ECD">
        <w:rPr>
          <w:lang w:val="sr-Cyrl-RS"/>
        </w:rPr>
        <w:t xml:space="preserve"> РС, а која </w:t>
      </w:r>
      <w:proofErr w:type="spellStart"/>
      <w:r w:rsidRPr="001D1ECD">
        <w:rPr>
          <w:lang w:val="sr-Cyrl-RS"/>
        </w:rPr>
        <w:t>доспијевају</w:t>
      </w:r>
      <w:proofErr w:type="spellEnd"/>
      <w:r w:rsidRPr="001D1ECD">
        <w:rPr>
          <w:lang w:val="sr-Cyrl-RS"/>
        </w:rPr>
        <w:t xml:space="preserve"> у року дужем од годину дана. Ова</w:t>
      </w:r>
      <w:r w:rsidRPr="001D1ECD">
        <w:t xml:space="preserve"> потраживања </w:t>
      </w:r>
      <w:r w:rsidRPr="001D1ECD">
        <w:rPr>
          <w:lang w:val="sr-Cyrl-RS"/>
        </w:rPr>
        <w:t xml:space="preserve">су </w:t>
      </w:r>
      <w:r w:rsidRPr="001D1ECD">
        <w:t xml:space="preserve">формирана на основу </w:t>
      </w:r>
      <w:proofErr w:type="spellStart"/>
      <w:r w:rsidRPr="001D1ECD">
        <w:t>Извјештаја</w:t>
      </w:r>
      <w:proofErr w:type="spellEnd"/>
      <w:r w:rsidRPr="001D1ECD">
        <w:t xml:space="preserve"> Пореске управе РС </w:t>
      </w:r>
      <w:r w:rsidRPr="001D1ECD">
        <w:rPr>
          <w:lang w:val="sr-Cyrl-RS"/>
        </w:rPr>
        <w:t>(</w:t>
      </w:r>
      <w:proofErr w:type="spellStart"/>
      <w:r w:rsidRPr="001D1ECD">
        <w:rPr>
          <w:lang w:val="sr-Cyrl-RS"/>
        </w:rPr>
        <w:t>Извјештај</w:t>
      </w:r>
      <w:proofErr w:type="spellEnd"/>
      <w:r w:rsidRPr="001D1ECD">
        <w:rPr>
          <w:lang w:val="sr-Cyrl-RS"/>
        </w:rPr>
        <w:t xml:space="preserve"> из евиденције о пријављеним и </w:t>
      </w:r>
      <w:proofErr w:type="spellStart"/>
      <w:r w:rsidRPr="001D1ECD">
        <w:rPr>
          <w:lang w:val="sr-Cyrl-RS"/>
        </w:rPr>
        <w:t>уплаћеним</w:t>
      </w:r>
      <w:proofErr w:type="spellEnd"/>
      <w:r w:rsidRPr="001D1ECD">
        <w:rPr>
          <w:lang w:val="sr-Cyrl-RS"/>
        </w:rPr>
        <w:t xml:space="preserve"> порезима за пер</w:t>
      </w:r>
      <w:r w:rsidR="00931CFD">
        <w:rPr>
          <w:lang w:val="sr-Cyrl-RS"/>
        </w:rPr>
        <w:t>иод 01.01-31.12.2020</w:t>
      </w:r>
      <w:r w:rsidRPr="001D1ECD">
        <w:rPr>
          <w:lang w:val="sr-Cyrl-RS"/>
        </w:rPr>
        <w:t xml:space="preserve">. године). Највећи </w:t>
      </w:r>
      <w:proofErr w:type="spellStart"/>
      <w:r w:rsidRPr="001D1ECD">
        <w:rPr>
          <w:lang w:val="sr-Cyrl-RS"/>
        </w:rPr>
        <w:t>дио</w:t>
      </w:r>
      <w:proofErr w:type="spellEnd"/>
      <w:r w:rsidRPr="001D1ECD">
        <w:rPr>
          <w:lang w:val="sr-Cyrl-RS"/>
        </w:rPr>
        <w:t xml:space="preserve"> </w:t>
      </w:r>
      <w:r w:rsidR="00931CFD">
        <w:rPr>
          <w:lang w:val="sr-Cyrl-RS"/>
        </w:rPr>
        <w:t>ови потраживања односи се на потраживања по основу пореза на лична примања (13.943 КМ)</w:t>
      </w:r>
      <w:r w:rsidRPr="001D1ECD">
        <w:rPr>
          <w:lang w:val="sr-Cyrl-RS"/>
        </w:rPr>
        <w:t xml:space="preserve">. </w:t>
      </w:r>
    </w:p>
    <w:p w14:paraId="5FB74E03" w14:textId="77777777" w:rsidR="00AC145A" w:rsidRPr="001D1ECD" w:rsidRDefault="00AC145A" w:rsidP="00AC145A">
      <w:pPr>
        <w:pStyle w:val="Uvlaenjetelateksta"/>
        <w:ind w:firstLine="0"/>
      </w:pPr>
      <w:r w:rsidRPr="001D1ECD">
        <w:t xml:space="preserve">                    </w:t>
      </w:r>
    </w:p>
    <w:p w14:paraId="1638B9B6" w14:textId="77777777" w:rsidR="00AC145A" w:rsidRPr="001D1ECD" w:rsidRDefault="00AC145A" w:rsidP="00AC145A">
      <w:pPr>
        <w:ind w:left="0" w:firstLine="0"/>
        <w:rPr>
          <w:lang w:val="sr-Cyrl-RS"/>
        </w:rPr>
      </w:pPr>
      <w:r w:rsidRPr="001D1ECD">
        <w:t>АОП059</w:t>
      </w:r>
      <w:r w:rsidRPr="001D1ECD">
        <w:rPr>
          <w:lang w:val="sr-Cyrl-RS"/>
        </w:rPr>
        <w:t>, колона 4 К-БС</w:t>
      </w:r>
    </w:p>
    <w:p w14:paraId="19392ED2" w14:textId="77777777" w:rsidR="00AC145A" w:rsidRPr="001D1ECD" w:rsidRDefault="00AC145A" w:rsidP="00AC145A">
      <w:pPr>
        <w:ind w:left="284" w:firstLine="0"/>
        <w:rPr>
          <w:b/>
          <w:i/>
          <w:color w:val="FF0000"/>
        </w:rPr>
      </w:pPr>
      <w:r w:rsidRPr="001D1ECD">
        <w:rPr>
          <w:b/>
          <w:i/>
          <w:lang w:val="sr-Cyrl-RS"/>
        </w:rPr>
        <w:t xml:space="preserve">Дугорочна финансијска имовина и разграничења из трансакција између или унутар јединица власти </w:t>
      </w:r>
      <w:r w:rsidRPr="001D1ECD">
        <w:rPr>
          <w:lang w:val="sr-Cyrl-RS"/>
        </w:rPr>
        <w:t xml:space="preserve">износи </w:t>
      </w:r>
      <w:r w:rsidR="00ED378D">
        <w:rPr>
          <w:lang w:val="sr-Cyrl-RS"/>
        </w:rPr>
        <w:t>546</w:t>
      </w:r>
      <w:r w:rsidRPr="001D1ECD">
        <w:rPr>
          <w:lang w:val="sr-Cyrl-RS"/>
        </w:rPr>
        <w:t xml:space="preserve"> КМ, а односи се на обвезнице РС за измирење унутрашњег дуга према добављачима чији је општина Прњавор власник. </w:t>
      </w:r>
    </w:p>
    <w:p w14:paraId="41C5EE81" w14:textId="77777777" w:rsidR="00AC145A" w:rsidRPr="001D1ECD" w:rsidRDefault="00AC145A" w:rsidP="00AC145A">
      <w:pPr>
        <w:ind w:left="0" w:firstLine="0"/>
      </w:pPr>
    </w:p>
    <w:p w14:paraId="615B97E3" w14:textId="77777777" w:rsidR="00AC145A" w:rsidRPr="001D1ECD" w:rsidRDefault="00AC145A" w:rsidP="00AC145A">
      <w:pPr>
        <w:ind w:left="0" w:firstLine="0"/>
      </w:pPr>
      <w:r w:rsidRPr="001D1ECD">
        <w:t>АОП062, колона 4  К-БС</w:t>
      </w:r>
    </w:p>
    <w:p w14:paraId="11DED52E" w14:textId="77777777" w:rsidR="00AC145A" w:rsidRPr="001D1ECD" w:rsidRDefault="00AC145A" w:rsidP="00AC145A">
      <w:pPr>
        <w:numPr>
          <w:ilvl w:val="0"/>
          <w:numId w:val="20"/>
        </w:numPr>
        <w:ind w:left="284" w:hanging="284"/>
      </w:pPr>
      <w:proofErr w:type="spellStart"/>
      <w:r w:rsidRPr="001D1ECD">
        <w:rPr>
          <w:b/>
          <w:i/>
        </w:rPr>
        <w:t>Нефинансијска</w:t>
      </w:r>
      <w:proofErr w:type="spellEnd"/>
      <w:r w:rsidRPr="001D1ECD">
        <w:rPr>
          <w:b/>
          <w:i/>
        </w:rPr>
        <w:t xml:space="preserve"> имовина у сталним средствима </w:t>
      </w:r>
      <w:r w:rsidRPr="001D1ECD">
        <w:t>износи</w:t>
      </w:r>
      <w:r w:rsidRPr="001D1ECD">
        <w:rPr>
          <w:b/>
          <w:i/>
        </w:rPr>
        <w:t xml:space="preserve"> </w:t>
      </w:r>
      <w:r w:rsidR="00ED378D">
        <w:rPr>
          <w:lang w:val="sr-Cyrl-RS"/>
        </w:rPr>
        <w:t>131.271.609</w:t>
      </w:r>
      <w:r w:rsidRPr="001D1ECD">
        <w:t xml:space="preserve"> КМ и садржи позиције:</w:t>
      </w:r>
    </w:p>
    <w:p w14:paraId="2CA506E6" w14:textId="77777777" w:rsidR="00AC145A" w:rsidRPr="001D1ECD" w:rsidRDefault="00AC145A" w:rsidP="00AC145A">
      <w:pPr>
        <w:tabs>
          <w:tab w:val="right" w:leader="dot" w:pos="9072"/>
        </w:tabs>
        <w:ind w:right="-792"/>
        <w:rPr>
          <w:b/>
        </w:rPr>
      </w:pPr>
    </w:p>
    <w:p w14:paraId="52068071" w14:textId="77777777" w:rsidR="00AC145A" w:rsidRPr="001D1ECD" w:rsidRDefault="00AC145A" w:rsidP="00AC145A">
      <w:pPr>
        <w:tabs>
          <w:tab w:val="right" w:leader="dot" w:pos="9781"/>
        </w:tabs>
        <w:ind w:left="0" w:right="-792" w:firstLine="360"/>
      </w:pPr>
      <w:r w:rsidRPr="001D1ECD">
        <w:rPr>
          <w:b/>
        </w:rPr>
        <w:t xml:space="preserve">а) произведене сталне имовине </w:t>
      </w:r>
      <w:r w:rsidRPr="001D1ECD">
        <w:t xml:space="preserve">(АОП063), чија набавна </w:t>
      </w:r>
      <w:proofErr w:type="spellStart"/>
      <w:r w:rsidRPr="001D1ECD">
        <w:t>вриједност</w:t>
      </w:r>
      <w:proofErr w:type="spellEnd"/>
      <w:r w:rsidRPr="001D1ECD">
        <w:t xml:space="preserve"> износи</w:t>
      </w:r>
      <w:r w:rsidRPr="001D1ECD">
        <w:rPr>
          <w:lang w:val="sr-Latn-RS"/>
        </w:rPr>
        <w:t xml:space="preserve"> </w:t>
      </w:r>
      <w:r w:rsidR="00ED378D">
        <w:rPr>
          <w:lang w:val="sr-Cyrl-RS"/>
        </w:rPr>
        <w:t>102.098.836</w:t>
      </w:r>
      <w:r w:rsidRPr="001D1ECD">
        <w:t xml:space="preserve"> КМ, а исправка </w:t>
      </w:r>
      <w:proofErr w:type="spellStart"/>
      <w:r w:rsidRPr="001D1ECD">
        <w:t>вриједности</w:t>
      </w:r>
      <w:proofErr w:type="spellEnd"/>
      <w:r w:rsidRPr="001D1ECD">
        <w:t xml:space="preserve"> </w:t>
      </w:r>
      <w:r w:rsidR="00ED378D">
        <w:rPr>
          <w:lang w:val="sr-Cyrl-RS"/>
        </w:rPr>
        <w:t>37.273.889</w:t>
      </w:r>
      <w:r w:rsidRPr="001D1ECD">
        <w:t xml:space="preserve"> КМ. Неотписана </w:t>
      </w:r>
      <w:proofErr w:type="spellStart"/>
      <w:r w:rsidRPr="001D1ECD">
        <w:t>вриједност</w:t>
      </w:r>
      <w:proofErr w:type="spellEnd"/>
      <w:r w:rsidRPr="001D1ECD">
        <w:t xml:space="preserve"> произведене сталне имовине износи </w:t>
      </w:r>
      <w:r w:rsidR="00ED378D">
        <w:rPr>
          <w:lang w:val="sr-Cyrl-RS"/>
        </w:rPr>
        <w:t>64.824.947</w:t>
      </w:r>
      <w:r w:rsidRPr="001D1ECD">
        <w:t xml:space="preserve"> КМ.</w:t>
      </w:r>
    </w:p>
    <w:p w14:paraId="5E7A558D" w14:textId="77777777" w:rsidR="00AC145A" w:rsidRPr="001D1ECD" w:rsidRDefault="00AC145A" w:rsidP="00AC145A">
      <w:pPr>
        <w:pStyle w:val="Teloteksta3"/>
        <w:spacing w:after="0"/>
        <w:ind w:right="158" w:firstLine="567"/>
        <w:rPr>
          <w:sz w:val="24"/>
          <w:szCs w:val="24"/>
        </w:rPr>
      </w:pPr>
    </w:p>
    <w:p w14:paraId="1630EEA6" w14:textId="77777777" w:rsidR="00AC145A" w:rsidRPr="001D1ECD" w:rsidRDefault="00AC145A" w:rsidP="00AC145A">
      <w:pPr>
        <w:ind w:left="0" w:firstLine="709"/>
      </w:pPr>
      <w:r w:rsidRPr="001D1ECD">
        <w:t>Стање произведене сталне имовине општине</w:t>
      </w:r>
      <w:r w:rsidRPr="001D1ECD">
        <w:rPr>
          <w:lang w:val="sr-Latn-CS"/>
        </w:rPr>
        <w:t xml:space="preserve"> </w:t>
      </w:r>
      <w:r w:rsidRPr="001D1ECD">
        <w:t>и екстерних буџетских корисника на дан 31.12.20</w:t>
      </w:r>
      <w:r w:rsidR="00ED378D">
        <w:t>20</w:t>
      </w:r>
      <w:r w:rsidRPr="001D1ECD">
        <w:t>. године по групама средстава:</w:t>
      </w:r>
    </w:p>
    <w:p w14:paraId="6E400369" w14:textId="77777777" w:rsidR="00AC145A" w:rsidRPr="001D1ECD" w:rsidRDefault="00AC145A" w:rsidP="00AC145A">
      <w:pPr>
        <w:tabs>
          <w:tab w:val="right" w:leader="dot" w:pos="9072"/>
        </w:tabs>
        <w:ind w:right="-794"/>
      </w:pPr>
      <w:r w:rsidRPr="001D1ECD">
        <w:t xml:space="preserve">- Зграде и објекти </w:t>
      </w:r>
      <w:r w:rsidRPr="001D1ECD">
        <w:tab/>
      </w:r>
      <w:r w:rsidR="00ED378D">
        <w:rPr>
          <w:lang w:val="sr-Cyrl-RS"/>
        </w:rPr>
        <w:t>97.843.952</w:t>
      </w:r>
      <w:r w:rsidRPr="001D1ECD">
        <w:t xml:space="preserve"> КМ</w:t>
      </w:r>
    </w:p>
    <w:p w14:paraId="28CFBA53" w14:textId="77777777" w:rsidR="00AC145A" w:rsidRDefault="00AC145A" w:rsidP="00AC145A">
      <w:pPr>
        <w:tabs>
          <w:tab w:val="right" w:leader="dot" w:pos="9072"/>
        </w:tabs>
        <w:ind w:right="-792"/>
      </w:pPr>
      <w:r w:rsidRPr="001D1ECD">
        <w:t>- Постројења и опрема</w:t>
      </w:r>
      <w:r w:rsidRPr="001D1ECD">
        <w:tab/>
      </w:r>
      <w:r w:rsidR="00ED378D">
        <w:rPr>
          <w:lang w:val="sr-Cyrl-RS"/>
        </w:rPr>
        <w:t>4.059.780</w:t>
      </w:r>
      <w:r w:rsidRPr="001D1ECD">
        <w:t xml:space="preserve"> КМ</w:t>
      </w:r>
    </w:p>
    <w:p w14:paraId="442BBA46" w14:textId="77777777" w:rsidR="007049F7" w:rsidRPr="007049F7" w:rsidRDefault="007049F7" w:rsidP="00AC145A">
      <w:pPr>
        <w:tabs>
          <w:tab w:val="right" w:leader="dot" w:pos="9072"/>
        </w:tabs>
        <w:ind w:right="-792"/>
        <w:rPr>
          <w:lang w:val="sr-Cyrl-RS"/>
        </w:rPr>
      </w:pPr>
      <w:r>
        <w:rPr>
          <w:lang w:val="sr-Latn-RS"/>
        </w:rPr>
        <w:t xml:space="preserve">- </w:t>
      </w:r>
      <w:r>
        <w:rPr>
          <w:lang w:val="sr-Cyrl-RS"/>
        </w:rPr>
        <w:t>Инвестициона имовина</w:t>
      </w:r>
      <w:r>
        <w:rPr>
          <w:lang w:val="sr-Cyrl-RS"/>
        </w:rPr>
        <w:tab/>
        <w:t>188.377 КМ</w:t>
      </w:r>
    </w:p>
    <w:p w14:paraId="5C95EB24" w14:textId="77777777" w:rsidR="00AC145A" w:rsidRPr="001D1ECD" w:rsidRDefault="00AC145A" w:rsidP="00AC145A">
      <w:pPr>
        <w:tabs>
          <w:tab w:val="right" w:leader="dot" w:pos="9072"/>
        </w:tabs>
        <w:ind w:right="-792"/>
      </w:pPr>
      <w:r w:rsidRPr="001D1ECD">
        <w:t>- Нематеријална произведена имовина</w:t>
      </w:r>
      <w:r w:rsidRPr="001D1ECD">
        <w:tab/>
      </w:r>
      <w:r w:rsidR="007049F7">
        <w:rPr>
          <w:lang w:val="sr-Cyrl-RS"/>
        </w:rPr>
        <w:t>6.728</w:t>
      </w:r>
      <w:r w:rsidRPr="001D1ECD">
        <w:t xml:space="preserve"> КМ</w:t>
      </w:r>
    </w:p>
    <w:p w14:paraId="7E6AAA80" w14:textId="77777777" w:rsidR="00AC145A" w:rsidRPr="001D1ECD" w:rsidRDefault="00AC145A" w:rsidP="00AC145A">
      <w:pPr>
        <w:tabs>
          <w:tab w:val="right" w:leader="dot" w:pos="9072"/>
        </w:tabs>
        <w:ind w:right="-792"/>
      </w:pPr>
      <w:r w:rsidRPr="001D1ECD">
        <w:t xml:space="preserve">- Исправка </w:t>
      </w:r>
      <w:proofErr w:type="spellStart"/>
      <w:r w:rsidRPr="001D1ECD">
        <w:t>вриједности</w:t>
      </w:r>
      <w:proofErr w:type="spellEnd"/>
      <w:r w:rsidRPr="001D1ECD">
        <w:t xml:space="preserve"> - укупна</w:t>
      </w:r>
      <w:r w:rsidRPr="001D1ECD">
        <w:tab/>
        <w:t>-</w:t>
      </w:r>
      <w:r w:rsidR="00ED378D">
        <w:rPr>
          <w:lang w:val="sr-Cyrl-RS"/>
        </w:rPr>
        <w:t>37.273.889</w:t>
      </w:r>
      <w:r w:rsidRPr="001D1ECD">
        <w:t xml:space="preserve"> КМ</w:t>
      </w:r>
    </w:p>
    <w:p w14:paraId="5D1BFC51" w14:textId="77777777" w:rsidR="00AC145A" w:rsidRPr="001D1ECD" w:rsidRDefault="00AC145A" w:rsidP="00AC145A">
      <w:pPr>
        <w:tabs>
          <w:tab w:val="right" w:leader="dot" w:pos="9072"/>
        </w:tabs>
        <w:ind w:right="-792"/>
        <w:rPr>
          <w:b/>
        </w:rPr>
      </w:pPr>
      <w:r w:rsidRPr="001D1ECD">
        <w:rPr>
          <w:b/>
        </w:rPr>
        <w:t xml:space="preserve">- Садашња </w:t>
      </w:r>
      <w:proofErr w:type="spellStart"/>
      <w:r w:rsidRPr="001D1ECD">
        <w:rPr>
          <w:b/>
        </w:rPr>
        <w:t>вриједност</w:t>
      </w:r>
      <w:proofErr w:type="spellEnd"/>
      <w:r w:rsidRPr="001D1ECD">
        <w:rPr>
          <w:b/>
        </w:rPr>
        <w:t xml:space="preserve"> произведене сталне имовине</w:t>
      </w:r>
      <w:r w:rsidRPr="001D1ECD">
        <w:rPr>
          <w:b/>
        </w:rPr>
        <w:tab/>
      </w:r>
      <w:r w:rsidR="00ED378D">
        <w:rPr>
          <w:b/>
          <w:lang w:val="sr-Cyrl-RS"/>
        </w:rPr>
        <w:t>64.824.947</w:t>
      </w:r>
      <w:r w:rsidRPr="001D1ECD">
        <w:rPr>
          <w:b/>
        </w:rPr>
        <w:t xml:space="preserve"> КМ</w:t>
      </w:r>
    </w:p>
    <w:p w14:paraId="15AB872B" w14:textId="77777777" w:rsidR="00AC145A" w:rsidRPr="001D1ECD" w:rsidRDefault="00AC145A" w:rsidP="00AC145A">
      <w:pPr>
        <w:tabs>
          <w:tab w:val="right" w:leader="dot" w:pos="9072"/>
        </w:tabs>
        <w:ind w:right="-792"/>
        <w:rPr>
          <w:b/>
        </w:rPr>
      </w:pPr>
    </w:p>
    <w:p w14:paraId="706D4AFE" w14:textId="77777777" w:rsidR="00AC145A" w:rsidRPr="001D1ECD" w:rsidRDefault="00AC145A" w:rsidP="00AC145A">
      <w:pPr>
        <w:tabs>
          <w:tab w:val="left" w:pos="90"/>
          <w:tab w:val="right" w:leader="dot" w:pos="9072"/>
        </w:tabs>
        <w:ind w:left="0" w:right="-792" w:firstLine="360"/>
      </w:pPr>
      <w:r w:rsidRPr="001D1ECD">
        <w:rPr>
          <w:b/>
        </w:rPr>
        <w:t xml:space="preserve">б) </w:t>
      </w:r>
      <w:proofErr w:type="spellStart"/>
      <w:r w:rsidRPr="001D1ECD">
        <w:rPr>
          <w:b/>
        </w:rPr>
        <w:t>непроизведене</w:t>
      </w:r>
      <w:proofErr w:type="spellEnd"/>
      <w:r w:rsidRPr="001D1ECD">
        <w:rPr>
          <w:b/>
        </w:rPr>
        <w:t xml:space="preserve"> сталне имовине </w:t>
      </w:r>
      <w:r w:rsidRPr="001D1ECD">
        <w:t>(АОП07</w:t>
      </w:r>
      <w:r w:rsidRPr="001D1ECD">
        <w:rPr>
          <w:lang w:val="sr-Cyrl-RS"/>
        </w:rPr>
        <w:t>1</w:t>
      </w:r>
      <w:r w:rsidRPr="001D1ECD">
        <w:t xml:space="preserve">), коју чини земљиште које не </w:t>
      </w:r>
      <w:proofErr w:type="spellStart"/>
      <w:r w:rsidRPr="001D1ECD">
        <w:t>подлијеже</w:t>
      </w:r>
      <w:proofErr w:type="spellEnd"/>
      <w:r w:rsidRPr="001D1ECD">
        <w:t xml:space="preserve"> амортизацији, и нема</w:t>
      </w:r>
      <w:r w:rsidRPr="001D1ECD">
        <w:rPr>
          <w:b/>
        </w:rPr>
        <w:t xml:space="preserve"> </w:t>
      </w:r>
      <w:r w:rsidRPr="001D1ECD">
        <w:t xml:space="preserve">исправке </w:t>
      </w:r>
      <w:proofErr w:type="spellStart"/>
      <w:r w:rsidRPr="001D1ECD">
        <w:t>вриједности</w:t>
      </w:r>
      <w:proofErr w:type="spellEnd"/>
      <w:r w:rsidRPr="001D1ECD">
        <w:t xml:space="preserve">, а чија </w:t>
      </w:r>
      <w:proofErr w:type="spellStart"/>
      <w:r w:rsidRPr="001D1ECD">
        <w:t>вриједност</w:t>
      </w:r>
      <w:proofErr w:type="spellEnd"/>
      <w:r w:rsidRPr="001D1ECD">
        <w:t xml:space="preserve"> износи </w:t>
      </w:r>
      <w:r w:rsidRPr="001D1ECD">
        <w:rPr>
          <w:lang w:val="sr-Cyrl-RS"/>
        </w:rPr>
        <w:t>28.</w:t>
      </w:r>
      <w:r w:rsidR="00C07DF7">
        <w:rPr>
          <w:lang w:val="sr-Cyrl-RS"/>
        </w:rPr>
        <w:t>843.394</w:t>
      </w:r>
      <w:r w:rsidRPr="001D1ECD">
        <w:t xml:space="preserve"> КМ.</w:t>
      </w:r>
    </w:p>
    <w:p w14:paraId="2BE2F254" w14:textId="77777777" w:rsidR="00AC145A" w:rsidRPr="001D1ECD" w:rsidRDefault="00AC145A" w:rsidP="00AC145A">
      <w:pPr>
        <w:tabs>
          <w:tab w:val="right" w:leader="dot" w:pos="9072"/>
        </w:tabs>
        <w:ind w:right="-792"/>
        <w:rPr>
          <w:b/>
        </w:rPr>
      </w:pPr>
    </w:p>
    <w:p w14:paraId="3C774454" w14:textId="77777777" w:rsidR="00AC145A" w:rsidRPr="001D1ECD" w:rsidRDefault="00AC145A" w:rsidP="00AC145A">
      <w:pPr>
        <w:tabs>
          <w:tab w:val="right" w:leader="dot" w:pos="9072"/>
        </w:tabs>
        <w:ind w:left="0" w:right="-792" w:firstLine="360"/>
        <w:rPr>
          <w:lang w:eastAsia="en-US"/>
        </w:rPr>
      </w:pPr>
      <w:r w:rsidRPr="001D1ECD">
        <w:rPr>
          <w:b/>
        </w:rPr>
        <w:t xml:space="preserve">в) </w:t>
      </w:r>
      <w:proofErr w:type="spellStart"/>
      <w:r w:rsidRPr="001D1ECD">
        <w:rPr>
          <w:b/>
          <w:lang w:val="en-US" w:eastAsia="en-US"/>
        </w:rPr>
        <w:t>нефинансијска</w:t>
      </w:r>
      <w:proofErr w:type="spellEnd"/>
      <w:r w:rsidRPr="001D1ECD">
        <w:rPr>
          <w:b/>
          <w:lang w:val="en-US" w:eastAsia="en-US"/>
        </w:rPr>
        <w:t xml:space="preserve"> </w:t>
      </w:r>
      <w:proofErr w:type="spellStart"/>
      <w:r w:rsidRPr="001D1ECD">
        <w:rPr>
          <w:b/>
          <w:lang w:val="en-US" w:eastAsia="en-US"/>
        </w:rPr>
        <w:t>имовина</w:t>
      </w:r>
      <w:proofErr w:type="spellEnd"/>
      <w:r w:rsidRPr="001D1ECD">
        <w:rPr>
          <w:b/>
          <w:lang w:val="en-US" w:eastAsia="en-US"/>
        </w:rPr>
        <w:t xml:space="preserve"> у </w:t>
      </w:r>
      <w:proofErr w:type="spellStart"/>
      <w:r w:rsidRPr="001D1ECD">
        <w:rPr>
          <w:b/>
          <w:lang w:val="en-US" w:eastAsia="en-US"/>
        </w:rPr>
        <w:t>сталним</w:t>
      </w:r>
      <w:proofErr w:type="spellEnd"/>
      <w:r w:rsidRPr="001D1ECD">
        <w:rPr>
          <w:b/>
          <w:lang w:val="en-US" w:eastAsia="en-US"/>
        </w:rPr>
        <w:t xml:space="preserve"> </w:t>
      </w:r>
      <w:proofErr w:type="spellStart"/>
      <w:r w:rsidRPr="001D1ECD">
        <w:rPr>
          <w:b/>
          <w:lang w:val="en-US" w:eastAsia="en-US"/>
        </w:rPr>
        <w:t>средствима</w:t>
      </w:r>
      <w:proofErr w:type="spellEnd"/>
      <w:r w:rsidRPr="001D1ECD">
        <w:rPr>
          <w:b/>
          <w:lang w:val="en-US" w:eastAsia="en-US"/>
        </w:rPr>
        <w:t xml:space="preserve"> у </w:t>
      </w:r>
      <w:proofErr w:type="spellStart"/>
      <w:r w:rsidRPr="001D1ECD">
        <w:rPr>
          <w:b/>
          <w:lang w:val="en-US" w:eastAsia="en-US"/>
        </w:rPr>
        <w:t>припреми</w:t>
      </w:r>
      <w:proofErr w:type="spellEnd"/>
      <w:r w:rsidRPr="001D1ECD">
        <w:rPr>
          <w:b/>
          <w:lang w:val="en-US" w:eastAsia="en-US"/>
        </w:rPr>
        <w:t xml:space="preserve"> </w:t>
      </w:r>
      <w:r w:rsidRPr="001D1ECD">
        <w:rPr>
          <w:lang w:val="en-US" w:eastAsia="en-US"/>
        </w:rPr>
        <w:t xml:space="preserve">(АОП076) </w:t>
      </w:r>
      <w:proofErr w:type="spellStart"/>
      <w:r w:rsidRPr="001D1ECD">
        <w:rPr>
          <w:lang w:val="en-US" w:eastAsia="en-US"/>
        </w:rPr>
        <w:t>износи</w:t>
      </w:r>
      <w:proofErr w:type="spellEnd"/>
      <w:r w:rsidRPr="001D1ECD">
        <w:rPr>
          <w:lang w:val="en-US" w:eastAsia="en-US"/>
        </w:rPr>
        <w:t xml:space="preserve"> </w:t>
      </w:r>
      <w:r w:rsidRPr="001D1ECD">
        <w:rPr>
          <w:lang w:eastAsia="en-US"/>
        </w:rPr>
        <w:t xml:space="preserve">    </w:t>
      </w:r>
      <w:r w:rsidR="00C07DF7">
        <w:rPr>
          <w:lang w:val="sr-Cyrl-RS" w:eastAsia="en-US"/>
        </w:rPr>
        <w:t>329.378</w:t>
      </w:r>
      <w:r w:rsidRPr="001D1ECD">
        <w:rPr>
          <w:lang w:val="en-US" w:eastAsia="en-US"/>
        </w:rPr>
        <w:t xml:space="preserve"> КМ. </w:t>
      </w:r>
    </w:p>
    <w:p w14:paraId="46850CC1" w14:textId="77777777" w:rsidR="00AC145A" w:rsidRPr="001D1ECD" w:rsidRDefault="00AC145A" w:rsidP="00AC145A">
      <w:pPr>
        <w:ind w:left="0" w:firstLine="709"/>
        <w:rPr>
          <w:lang w:eastAsia="en-US"/>
        </w:rPr>
      </w:pPr>
      <w:proofErr w:type="spellStart"/>
      <w:r w:rsidRPr="007A5965">
        <w:rPr>
          <w:lang w:val="en-US" w:eastAsia="en-US"/>
        </w:rPr>
        <w:t>Средства</w:t>
      </w:r>
      <w:proofErr w:type="spellEnd"/>
      <w:r w:rsidRPr="007A5965">
        <w:rPr>
          <w:lang w:val="en-US" w:eastAsia="en-US"/>
        </w:rPr>
        <w:t xml:space="preserve"> у </w:t>
      </w:r>
      <w:proofErr w:type="spellStart"/>
      <w:r w:rsidRPr="007A5965">
        <w:rPr>
          <w:lang w:val="en-US" w:eastAsia="en-US"/>
        </w:rPr>
        <w:t>припреми</w:t>
      </w:r>
      <w:proofErr w:type="spellEnd"/>
      <w:r w:rsidRPr="007A5965">
        <w:rPr>
          <w:lang w:val="en-US" w:eastAsia="en-US"/>
        </w:rPr>
        <w:t xml:space="preserve"> </w:t>
      </w:r>
      <w:proofErr w:type="spellStart"/>
      <w:r w:rsidRPr="007A5965">
        <w:rPr>
          <w:lang w:val="en-US" w:eastAsia="en-US"/>
        </w:rPr>
        <w:t>се</w:t>
      </w:r>
      <w:proofErr w:type="spellEnd"/>
      <w:r w:rsidRPr="007A5965">
        <w:rPr>
          <w:lang w:val="en-US" w:eastAsia="en-US"/>
        </w:rPr>
        <w:t xml:space="preserve"> </w:t>
      </w:r>
      <w:proofErr w:type="spellStart"/>
      <w:r w:rsidRPr="007A5965">
        <w:rPr>
          <w:lang w:val="en-US" w:eastAsia="en-US"/>
        </w:rPr>
        <w:t>не</w:t>
      </w:r>
      <w:proofErr w:type="spellEnd"/>
      <w:r w:rsidRPr="007A5965">
        <w:rPr>
          <w:lang w:val="en-US" w:eastAsia="en-US"/>
        </w:rPr>
        <w:t xml:space="preserve"> </w:t>
      </w:r>
      <w:proofErr w:type="spellStart"/>
      <w:r w:rsidRPr="007A5965">
        <w:rPr>
          <w:lang w:val="en-US" w:eastAsia="en-US"/>
        </w:rPr>
        <w:t>амортизују</w:t>
      </w:r>
      <w:proofErr w:type="spellEnd"/>
      <w:r w:rsidRPr="007A5965">
        <w:rPr>
          <w:lang w:val="en-US" w:eastAsia="en-US"/>
        </w:rPr>
        <w:t xml:space="preserve"> и </w:t>
      </w:r>
      <w:proofErr w:type="spellStart"/>
      <w:r w:rsidRPr="007A5965">
        <w:rPr>
          <w:lang w:val="en-US" w:eastAsia="en-US"/>
        </w:rPr>
        <w:t>немају</w:t>
      </w:r>
      <w:proofErr w:type="spellEnd"/>
      <w:r w:rsidRPr="007A5965">
        <w:rPr>
          <w:lang w:val="en-US" w:eastAsia="en-US"/>
        </w:rPr>
        <w:t xml:space="preserve"> </w:t>
      </w:r>
      <w:proofErr w:type="spellStart"/>
      <w:r w:rsidRPr="007A5965">
        <w:rPr>
          <w:lang w:val="en-US" w:eastAsia="en-US"/>
        </w:rPr>
        <w:t>исправке</w:t>
      </w:r>
      <w:proofErr w:type="spellEnd"/>
      <w:r w:rsidRPr="007A5965">
        <w:rPr>
          <w:lang w:val="en-US" w:eastAsia="en-US"/>
        </w:rPr>
        <w:t xml:space="preserve"> </w:t>
      </w:r>
      <w:proofErr w:type="spellStart"/>
      <w:r w:rsidRPr="007A5965">
        <w:rPr>
          <w:lang w:val="en-US" w:eastAsia="en-US"/>
        </w:rPr>
        <w:t>вриједности</w:t>
      </w:r>
      <w:proofErr w:type="spellEnd"/>
      <w:r w:rsidRPr="007A5965">
        <w:rPr>
          <w:lang w:val="en-US" w:eastAsia="en-US"/>
        </w:rPr>
        <w:t xml:space="preserve">. </w:t>
      </w:r>
      <w:r w:rsidRPr="007A5965">
        <w:rPr>
          <w:lang w:eastAsia="en-US"/>
        </w:rPr>
        <w:t xml:space="preserve">Највећу </w:t>
      </w:r>
      <w:proofErr w:type="spellStart"/>
      <w:r w:rsidRPr="007A5965">
        <w:rPr>
          <w:lang w:eastAsia="en-US"/>
        </w:rPr>
        <w:t>вриједност</w:t>
      </w:r>
      <w:proofErr w:type="spellEnd"/>
      <w:r w:rsidRPr="007A5965">
        <w:rPr>
          <w:lang w:eastAsia="en-US"/>
        </w:rPr>
        <w:t xml:space="preserve"> </w:t>
      </w:r>
      <w:r w:rsidR="007A5965" w:rsidRPr="007A5965">
        <w:rPr>
          <w:lang w:eastAsia="en-US"/>
        </w:rPr>
        <w:t xml:space="preserve">инвестиција у току </w:t>
      </w:r>
      <w:proofErr w:type="spellStart"/>
      <w:r w:rsidR="007A5965" w:rsidRPr="007A5965">
        <w:rPr>
          <w:lang w:eastAsia="en-US"/>
        </w:rPr>
        <w:t>чинe</w:t>
      </w:r>
      <w:proofErr w:type="spellEnd"/>
      <w:r w:rsidR="007A5965" w:rsidRPr="007A5965">
        <w:rPr>
          <w:lang w:eastAsia="en-US"/>
        </w:rPr>
        <w:t xml:space="preserve"> </w:t>
      </w:r>
      <w:r w:rsidR="007A5965" w:rsidRPr="007A5965">
        <w:rPr>
          <w:lang w:val="sr-Cyrl-RS" w:eastAsia="en-US"/>
        </w:rPr>
        <w:t>започети</w:t>
      </w:r>
      <w:r w:rsidRPr="007A5965">
        <w:rPr>
          <w:lang w:eastAsia="en-US"/>
        </w:rPr>
        <w:t xml:space="preserve"> </w:t>
      </w:r>
      <w:r w:rsidR="007A5965" w:rsidRPr="007A5965">
        <w:rPr>
          <w:lang w:val="sr-Cyrl-RS" w:eastAsia="en-US"/>
        </w:rPr>
        <w:t>пројек</w:t>
      </w:r>
      <w:r w:rsidRPr="007A5965">
        <w:rPr>
          <w:lang w:val="sr-Cyrl-RS" w:eastAsia="en-US"/>
        </w:rPr>
        <w:t>т</w:t>
      </w:r>
      <w:r w:rsidR="007A5965" w:rsidRPr="007A5965">
        <w:rPr>
          <w:lang w:val="sr-Cyrl-RS" w:eastAsia="en-US"/>
        </w:rPr>
        <w:t>и</w:t>
      </w:r>
      <w:r w:rsidRPr="007A5965">
        <w:rPr>
          <w:lang w:eastAsia="en-US"/>
        </w:rPr>
        <w:t xml:space="preserve"> </w:t>
      </w:r>
      <w:proofErr w:type="spellStart"/>
      <w:r w:rsidRPr="007A5965">
        <w:rPr>
          <w:lang w:eastAsia="en-US"/>
        </w:rPr>
        <w:t>водоснабдијевања</w:t>
      </w:r>
      <w:proofErr w:type="spellEnd"/>
      <w:r w:rsidRPr="007A5965">
        <w:rPr>
          <w:lang w:eastAsia="en-US"/>
        </w:rPr>
        <w:t xml:space="preserve"> </w:t>
      </w:r>
      <w:r w:rsidR="007A5965" w:rsidRPr="007A5965">
        <w:rPr>
          <w:lang w:val="sr-Cyrl-RS" w:eastAsia="en-US"/>
        </w:rPr>
        <w:t>у укупном износу од</w:t>
      </w:r>
      <w:r w:rsidR="007A5965">
        <w:rPr>
          <w:lang w:val="sr-Cyrl-RS" w:eastAsia="en-US"/>
        </w:rPr>
        <w:t xml:space="preserve"> укупно</w:t>
      </w:r>
      <w:r w:rsidR="007A5965" w:rsidRPr="007A5965">
        <w:rPr>
          <w:lang w:val="sr-Cyrl-RS" w:eastAsia="en-US"/>
        </w:rPr>
        <w:t xml:space="preserve"> 271.868 КМ, од чега се на пројекат </w:t>
      </w:r>
      <w:r w:rsidRPr="007A5965">
        <w:rPr>
          <w:lang w:eastAsia="en-US"/>
        </w:rPr>
        <w:t>„</w:t>
      </w:r>
      <w:proofErr w:type="spellStart"/>
      <w:r w:rsidRPr="007A5965">
        <w:rPr>
          <w:lang w:eastAsia="en-US"/>
        </w:rPr>
        <w:t>Повелич</w:t>
      </w:r>
      <w:proofErr w:type="spellEnd"/>
      <w:r w:rsidRPr="007A5965">
        <w:rPr>
          <w:lang w:eastAsia="en-US"/>
        </w:rPr>
        <w:t xml:space="preserve">“ </w:t>
      </w:r>
      <w:r w:rsidR="007A5965" w:rsidRPr="007A5965">
        <w:rPr>
          <w:lang w:val="sr-Cyrl-RS" w:eastAsia="en-US"/>
        </w:rPr>
        <w:t xml:space="preserve">односи </w:t>
      </w:r>
      <w:r w:rsidR="007A5965" w:rsidRPr="007A5965">
        <w:rPr>
          <w:lang w:val="sr-Latn-RS" w:eastAsia="en-US"/>
        </w:rPr>
        <w:t>249.064</w:t>
      </w:r>
      <w:r w:rsidRPr="007A5965">
        <w:rPr>
          <w:lang w:eastAsia="en-US"/>
        </w:rPr>
        <w:t xml:space="preserve"> КМ </w:t>
      </w:r>
      <w:r w:rsidRPr="007A5965">
        <w:rPr>
          <w:lang w:val="sr-Cyrl-RS" w:eastAsia="en-US"/>
        </w:rPr>
        <w:t>(</w:t>
      </w:r>
      <w:r w:rsidR="007A5965" w:rsidRPr="007A5965">
        <w:rPr>
          <w:lang w:val="sr-Latn-RS" w:eastAsia="en-US"/>
        </w:rPr>
        <w:t>75,6</w:t>
      </w:r>
      <w:r w:rsidRPr="007A5965">
        <w:rPr>
          <w:lang w:eastAsia="en-US"/>
        </w:rPr>
        <w:t xml:space="preserve">% </w:t>
      </w:r>
      <w:r w:rsidRPr="007A5965">
        <w:rPr>
          <w:lang w:val="sr-Cyrl-RS" w:eastAsia="en-US"/>
        </w:rPr>
        <w:t xml:space="preserve">укупних </w:t>
      </w:r>
      <w:r w:rsidRPr="007A5965">
        <w:rPr>
          <w:lang w:eastAsia="en-US"/>
        </w:rPr>
        <w:t xml:space="preserve">инвестиција </w:t>
      </w:r>
      <w:r w:rsidRPr="007A5965">
        <w:rPr>
          <w:lang w:eastAsia="en-US"/>
        </w:rPr>
        <w:lastRenderedPageBreak/>
        <w:t>у току</w:t>
      </w:r>
      <w:r w:rsidRPr="007A5965">
        <w:rPr>
          <w:lang w:val="sr-Cyrl-RS" w:eastAsia="en-US"/>
        </w:rPr>
        <w:t>)</w:t>
      </w:r>
      <w:r w:rsidR="007A5965" w:rsidRPr="007A5965">
        <w:rPr>
          <w:lang w:eastAsia="en-US"/>
        </w:rPr>
        <w:t>. Остале инвестиције у току односе се на објекат општинске архиве, изградњу друштвених домова, изградњу градских улица и др.</w:t>
      </w:r>
    </w:p>
    <w:p w14:paraId="79471177" w14:textId="77777777" w:rsidR="00AC145A" w:rsidRPr="001D1ECD" w:rsidRDefault="00AC145A" w:rsidP="00AC145A">
      <w:pPr>
        <w:pStyle w:val="Uvlaenjetelateksta"/>
        <w:ind w:left="0" w:firstLine="0"/>
        <w:rPr>
          <w:lang w:eastAsia="en-US"/>
        </w:rPr>
      </w:pPr>
    </w:p>
    <w:p w14:paraId="3675FBC4" w14:textId="77777777" w:rsidR="00AC145A" w:rsidRPr="001D1ECD" w:rsidRDefault="00AC145A" w:rsidP="00AC145A">
      <w:pPr>
        <w:ind w:left="0" w:firstLine="0"/>
      </w:pPr>
      <w:r w:rsidRPr="001D1ECD">
        <w:t>АОП0</w:t>
      </w:r>
      <w:r w:rsidRPr="001D1ECD">
        <w:rPr>
          <w:lang w:val="sr-Cyrl-RS"/>
        </w:rPr>
        <w:t>81</w:t>
      </w:r>
      <w:r w:rsidRPr="001D1ECD">
        <w:t>, колона 4  К-БС</w:t>
      </w:r>
    </w:p>
    <w:p w14:paraId="674859A7" w14:textId="77777777" w:rsidR="00AC145A" w:rsidRPr="001D1ECD" w:rsidRDefault="00AC145A" w:rsidP="00AC145A">
      <w:pPr>
        <w:ind w:left="0" w:firstLine="0"/>
      </w:pPr>
      <w:r w:rsidRPr="001D1ECD">
        <w:rPr>
          <w:b/>
          <w:i/>
        </w:rPr>
        <w:sym w:font="Wingdings" w:char="F077"/>
      </w:r>
      <w:r w:rsidRPr="001D1ECD">
        <w:rPr>
          <w:b/>
          <w:i/>
        </w:rPr>
        <w:t xml:space="preserve"> Ванбилансна актива</w:t>
      </w:r>
      <w:r w:rsidRPr="001D1ECD">
        <w:t xml:space="preserve"> износи </w:t>
      </w:r>
      <w:r w:rsidR="00C07DF7">
        <w:rPr>
          <w:lang w:val="sr-Cyrl-RS"/>
        </w:rPr>
        <w:t>442.707</w:t>
      </w:r>
      <w:r w:rsidRPr="001D1ECD">
        <w:t xml:space="preserve"> КМ, а односи се на с</w:t>
      </w:r>
      <w:r w:rsidRPr="001D1ECD">
        <w:rPr>
          <w:lang w:val="sr-Cyrl-BA"/>
        </w:rPr>
        <w:t>љ</w:t>
      </w:r>
      <w:proofErr w:type="spellStart"/>
      <w:r w:rsidRPr="001D1ECD">
        <w:t>едеће</w:t>
      </w:r>
      <w:proofErr w:type="spellEnd"/>
      <w:r w:rsidRPr="001D1ECD">
        <w:t>:</w:t>
      </w:r>
    </w:p>
    <w:p w14:paraId="5DA4587F" w14:textId="77777777" w:rsidR="00AC145A" w:rsidRPr="001D1ECD" w:rsidRDefault="00AC145A" w:rsidP="00AC145A">
      <w:pPr>
        <w:tabs>
          <w:tab w:val="right" w:leader="dot" w:pos="9214"/>
        </w:tabs>
        <w:spacing w:before="120"/>
        <w:ind w:left="-357" w:firstLine="720"/>
      </w:pPr>
      <w:r w:rsidRPr="001D1ECD">
        <w:rPr>
          <w:lang w:val="sr-Latn-CS"/>
        </w:rPr>
        <w:t xml:space="preserve">- </w:t>
      </w:r>
      <w:proofErr w:type="spellStart"/>
      <w:r w:rsidRPr="001D1ECD">
        <w:rPr>
          <w:lang w:val="sr-Latn-CS"/>
        </w:rPr>
        <w:t>Гаранције</w:t>
      </w:r>
      <w:proofErr w:type="spellEnd"/>
      <w:r w:rsidRPr="001D1ECD">
        <w:rPr>
          <w:lang w:val="sr-Latn-CS"/>
        </w:rPr>
        <w:t xml:space="preserve"> </w:t>
      </w:r>
      <w:proofErr w:type="spellStart"/>
      <w:r w:rsidRPr="001D1ECD">
        <w:rPr>
          <w:lang w:val="sr-Latn-CS"/>
        </w:rPr>
        <w:t>дате</w:t>
      </w:r>
      <w:proofErr w:type="spellEnd"/>
      <w:r w:rsidRPr="001D1ECD">
        <w:rPr>
          <w:lang w:val="sr-Latn-CS"/>
        </w:rPr>
        <w:t xml:space="preserve"> </w:t>
      </w:r>
      <w:proofErr w:type="spellStart"/>
      <w:r w:rsidRPr="001D1ECD">
        <w:rPr>
          <w:lang w:val="sr-Latn-CS"/>
        </w:rPr>
        <w:t>за</w:t>
      </w:r>
      <w:proofErr w:type="spellEnd"/>
      <w:r w:rsidRPr="001D1ECD">
        <w:rPr>
          <w:lang w:val="sr-Latn-CS"/>
        </w:rPr>
        <w:t xml:space="preserve"> </w:t>
      </w:r>
      <w:r w:rsidRPr="001D1ECD">
        <w:t xml:space="preserve">ЈП </w:t>
      </w:r>
      <w:r w:rsidRPr="001D1ECD">
        <w:rPr>
          <w:lang w:val="sr-Latn-CS"/>
        </w:rPr>
        <w:t>“</w:t>
      </w:r>
      <w:proofErr w:type="spellStart"/>
      <w:r w:rsidRPr="001D1ECD">
        <w:rPr>
          <w:lang w:val="sr-Latn-CS"/>
        </w:rPr>
        <w:t>Деп</w:t>
      </w:r>
      <w:proofErr w:type="spellEnd"/>
      <w:r w:rsidRPr="001D1ECD">
        <w:t>-</w:t>
      </w:r>
      <w:proofErr w:type="spellStart"/>
      <w:r w:rsidRPr="001D1ECD">
        <w:rPr>
          <w:lang w:val="sr-Latn-CS"/>
        </w:rPr>
        <w:t>от</w:t>
      </w:r>
      <w:proofErr w:type="spellEnd"/>
      <w:r w:rsidRPr="001D1ECD">
        <w:rPr>
          <w:lang w:val="sr-Latn-CS"/>
        </w:rPr>
        <w:t xml:space="preserve">“ </w:t>
      </w:r>
      <w:proofErr w:type="spellStart"/>
      <w:r w:rsidRPr="001D1ECD">
        <w:rPr>
          <w:lang w:val="sr-Latn-CS"/>
        </w:rPr>
        <w:t>Бања</w:t>
      </w:r>
      <w:proofErr w:type="spellEnd"/>
      <w:r w:rsidRPr="001D1ECD">
        <w:rPr>
          <w:lang w:val="sr-Latn-CS"/>
        </w:rPr>
        <w:t xml:space="preserve"> </w:t>
      </w:r>
      <w:proofErr w:type="spellStart"/>
      <w:r w:rsidRPr="001D1ECD">
        <w:rPr>
          <w:lang w:val="sr-Latn-CS"/>
        </w:rPr>
        <w:t>Лука</w:t>
      </w:r>
      <w:proofErr w:type="spellEnd"/>
      <w:r w:rsidRPr="001D1ECD">
        <w:rPr>
          <w:lang w:val="sr-Latn-CS"/>
        </w:rPr>
        <w:t xml:space="preserve"> (150.000 €)</w:t>
      </w:r>
      <w:r w:rsidRPr="001D1ECD">
        <w:tab/>
      </w:r>
      <w:r w:rsidR="00C07DF7">
        <w:rPr>
          <w:lang w:val="sr-Cyrl-RS"/>
        </w:rPr>
        <w:t>195.595</w:t>
      </w:r>
      <w:r w:rsidRPr="001D1ECD">
        <w:rPr>
          <w:lang w:val="sr-Latn-CS"/>
        </w:rPr>
        <w:t xml:space="preserve"> КМ</w:t>
      </w:r>
    </w:p>
    <w:p w14:paraId="04E3F182" w14:textId="77777777" w:rsidR="00AC145A" w:rsidRPr="001D1ECD" w:rsidRDefault="00AC145A" w:rsidP="00AC145A">
      <w:pPr>
        <w:tabs>
          <w:tab w:val="right" w:leader="dot" w:pos="9214"/>
        </w:tabs>
        <w:ind w:left="-360" w:firstLine="720"/>
        <w:rPr>
          <w:lang w:val="sr-Latn-CS"/>
        </w:rPr>
      </w:pPr>
      <w:r w:rsidRPr="001D1ECD">
        <w:rPr>
          <w:lang w:val="sr-Latn-CS"/>
        </w:rPr>
        <w:t xml:space="preserve">- </w:t>
      </w:r>
      <w:proofErr w:type="spellStart"/>
      <w:r w:rsidRPr="001D1ECD">
        <w:rPr>
          <w:lang w:val="sr-Latn-CS"/>
        </w:rPr>
        <w:t>Примљене</w:t>
      </w:r>
      <w:proofErr w:type="spellEnd"/>
      <w:r w:rsidRPr="001D1ECD">
        <w:rPr>
          <w:lang w:val="sr-Latn-CS"/>
        </w:rPr>
        <w:t xml:space="preserve"> </w:t>
      </w:r>
      <w:proofErr w:type="spellStart"/>
      <w:r w:rsidRPr="001D1ECD">
        <w:rPr>
          <w:lang w:val="sr-Latn-CS"/>
        </w:rPr>
        <w:t>гаранције</w:t>
      </w:r>
      <w:proofErr w:type="spellEnd"/>
      <w:r w:rsidRPr="001D1ECD">
        <w:rPr>
          <w:lang w:val="sr-Latn-CS"/>
        </w:rPr>
        <w:t xml:space="preserve"> </w:t>
      </w:r>
      <w:proofErr w:type="spellStart"/>
      <w:r w:rsidRPr="001D1ECD">
        <w:rPr>
          <w:lang w:val="sr-Latn-CS"/>
        </w:rPr>
        <w:t>од</w:t>
      </w:r>
      <w:proofErr w:type="spellEnd"/>
      <w:r w:rsidRPr="001D1ECD">
        <w:rPr>
          <w:lang w:val="sr-Latn-CS"/>
        </w:rPr>
        <w:t xml:space="preserve"> </w:t>
      </w:r>
      <w:proofErr w:type="spellStart"/>
      <w:r w:rsidRPr="001D1ECD">
        <w:rPr>
          <w:lang w:val="sr-Latn-CS"/>
        </w:rPr>
        <w:t>добављача</w:t>
      </w:r>
      <w:proofErr w:type="spellEnd"/>
      <w:r w:rsidRPr="001D1ECD">
        <w:rPr>
          <w:lang w:val="sr-Latn-CS"/>
        </w:rPr>
        <w:t xml:space="preserve"> </w:t>
      </w:r>
      <w:proofErr w:type="spellStart"/>
      <w:r w:rsidRPr="001D1ECD">
        <w:rPr>
          <w:lang w:val="sr-Latn-CS"/>
        </w:rPr>
        <w:t>за</w:t>
      </w:r>
      <w:proofErr w:type="spellEnd"/>
      <w:r w:rsidRPr="001D1ECD">
        <w:rPr>
          <w:lang w:val="sr-Latn-CS"/>
        </w:rPr>
        <w:t xml:space="preserve"> </w:t>
      </w:r>
      <w:proofErr w:type="spellStart"/>
      <w:r w:rsidRPr="001D1ECD">
        <w:rPr>
          <w:lang w:val="sr-Latn-CS"/>
        </w:rPr>
        <w:t>добро</w:t>
      </w:r>
      <w:proofErr w:type="spellEnd"/>
      <w:r w:rsidRPr="001D1ECD">
        <w:rPr>
          <w:lang w:val="sr-Latn-CS"/>
        </w:rPr>
        <w:t xml:space="preserve"> </w:t>
      </w:r>
      <w:proofErr w:type="spellStart"/>
      <w:r w:rsidRPr="001D1ECD">
        <w:rPr>
          <w:lang w:val="sr-Latn-CS"/>
        </w:rPr>
        <w:t>извршење</w:t>
      </w:r>
      <w:proofErr w:type="spellEnd"/>
      <w:r w:rsidRPr="001D1ECD">
        <w:rPr>
          <w:lang w:val="sr-Latn-CS"/>
        </w:rPr>
        <w:t xml:space="preserve"> </w:t>
      </w:r>
      <w:proofErr w:type="spellStart"/>
      <w:r w:rsidRPr="001D1ECD">
        <w:rPr>
          <w:lang w:val="sr-Latn-CS"/>
        </w:rPr>
        <w:t>посла</w:t>
      </w:r>
      <w:proofErr w:type="spellEnd"/>
      <w:r w:rsidRPr="001D1ECD">
        <w:tab/>
      </w:r>
      <w:r w:rsidR="00C07DF7">
        <w:rPr>
          <w:lang w:val="sr-Cyrl-RS"/>
        </w:rPr>
        <w:t>247.112</w:t>
      </w:r>
      <w:r w:rsidRPr="001D1ECD">
        <w:rPr>
          <w:lang w:val="sr-Latn-CS"/>
        </w:rPr>
        <w:t xml:space="preserve"> КМ</w:t>
      </w:r>
    </w:p>
    <w:p w14:paraId="37B4B4E2" w14:textId="77777777" w:rsidR="00AC145A" w:rsidRPr="001D1ECD" w:rsidRDefault="00AC145A" w:rsidP="00AC145A">
      <w:pPr>
        <w:tabs>
          <w:tab w:val="right" w:leader="dot" w:pos="9214"/>
        </w:tabs>
        <w:ind w:left="-360" w:firstLine="720"/>
        <w:rPr>
          <w:b/>
          <w:lang w:val="sr-Latn-CS"/>
        </w:rPr>
      </w:pPr>
      <w:r w:rsidRPr="001D1ECD">
        <w:rPr>
          <w:b/>
          <w:lang w:val="sr-Latn-CS"/>
        </w:rPr>
        <w:t xml:space="preserve">  У к у п н о:</w:t>
      </w:r>
      <w:r w:rsidRPr="001D1ECD">
        <w:rPr>
          <w:b/>
          <w:lang w:val="sr-Latn-CS"/>
        </w:rPr>
        <w:tab/>
        <w:t xml:space="preserve"> </w:t>
      </w:r>
      <w:r w:rsidR="00C07DF7">
        <w:rPr>
          <w:b/>
          <w:lang w:val="sr-Cyrl-RS"/>
        </w:rPr>
        <w:t>442.707</w:t>
      </w:r>
      <w:r w:rsidRPr="001D1ECD">
        <w:rPr>
          <w:b/>
          <w:lang w:val="sr-Latn-CS"/>
        </w:rPr>
        <w:t xml:space="preserve"> КМ</w:t>
      </w:r>
    </w:p>
    <w:p w14:paraId="2A8C25D5" w14:textId="77777777" w:rsidR="00AC145A" w:rsidRPr="001D1ECD" w:rsidRDefault="00AC145A" w:rsidP="00AC145A">
      <w:pPr>
        <w:rPr>
          <w:lang w:val="sr-Cyrl-BA" w:eastAsia="en-US"/>
        </w:rPr>
      </w:pPr>
    </w:p>
    <w:p w14:paraId="5D942D26" w14:textId="77777777" w:rsidR="00AC145A" w:rsidRPr="001D1ECD" w:rsidRDefault="00AC145A" w:rsidP="00AC145A">
      <w:pPr>
        <w:ind w:left="0" w:firstLine="720"/>
        <w:rPr>
          <w:b/>
        </w:rPr>
      </w:pPr>
      <w:r w:rsidRPr="001D1ECD">
        <w:rPr>
          <w:b/>
        </w:rPr>
        <w:t xml:space="preserve">АОП082 исказује </w:t>
      </w:r>
      <w:proofErr w:type="spellStart"/>
      <w:r w:rsidRPr="001D1ECD">
        <w:rPr>
          <w:b/>
        </w:rPr>
        <w:t>вриједност</w:t>
      </w:r>
      <w:proofErr w:type="spellEnd"/>
      <w:r w:rsidRPr="001D1ECD">
        <w:rPr>
          <w:b/>
        </w:rPr>
        <w:t xml:space="preserve"> укупне бруто активе у износу од </w:t>
      </w:r>
      <w:r w:rsidR="00C07DF7">
        <w:rPr>
          <w:b/>
          <w:lang w:val="sr-Cyrl-RS"/>
        </w:rPr>
        <w:t>144.188.720</w:t>
      </w:r>
      <w:r w:rsidRPr="001D1ECD">
        <w:rPr>
          <w:b/>
        </w:rPr>
        <w:t xml:space="preserve"> КМ, исправке </w:t>
      </w:r>
      <w:proofErr w:type="spellStart"/>
      <w:r w:rsidRPr="001D1ECD">
        <w:rPr>
          <w:b/>
        </w:rPr>
        <w:t>вриједности</w:t>
      </w:r>
      <w:proofErr w:type="spellEnd"/>
      <w:r w:rsidRPr="001D1ECD">
        <w:rPr>
          <w:b/>
        </w:rPr>
        <w:t xml:space="preserve"> активе у износу </w:t>
      </w:r>
      <w:r w:rsidR="00C07DF7">
        <w:rPr>
          <w:b/>
          <w:lang w:val="sr-Cyrl-RS"/>
        </w:rPr>
        <w:t>42.350.833</w:t>
      </w:r>
      <w:r w:rsidRPr="001D1ECD">
        <w:rPr>
          <w:b/>
        </w:rPr>
        <w:t xml:space="preserve"> КМ, и </w:t>
      </w:r>
      <w:proofErr w:type="spellStart"/>
      <w:r w:rsidRPr="001D1ECD">
        <w:rPr>
          <w:b/>
        </w:rPr>
        <w:t>вриједност</w:t>
      </w:r>
      <w:proofErr w:type="spellEnd"/>
      <w:r w:rsidRPr="001D1ECD">
        <w:rPr>
          <w:b/>
        </w:rPr>
        <w:t xml:space="preserve"> нето активе у износу од </w:t>
      </w:r>
      <w:r w:rsidR="00C07DF7">
        <w:rPr>
          <w:b/>
          <w:lang w:val="sr-Cyrl-RS"/>
        </w:rPr>
        <w:t>101.837.887</w:t>
      </w:r>
      <w:r w:rsidRPr="001D1ECD">
        <w:rPr>
          <w:b/>
        </w:rPr>
        <w:t xml:space="preserve"> КМ. </w:t>
      </w:r>
    </w:p>
    <w:p w14:paraId="189503AB" w14:textId="77777777" w:rsidR="00AC145A" w:rsidRPr="001D1ECD" w:rsidRDefault="00AC145A" w:rsidP="00AC145A">
      <w:pPr>
        <w:tabs>
          <w:tab w:val="right" w:leader="dot" w:pos="9214"/>
        </w:tabs>
        <w:ind w:left="0" w:firstLine="0"/>
      </w:pPr>
    </w:p>
    <w:p w14:paraId="27BA6A13" w14:textId="77777777" w:rsidR="00AC145A" w:rsidRPr="001D1ECD" w:rsidRDefault="00AC145A" w:rsidP="00AC145A">
      <w:pPr>
        <w:tabs>
          <w:tab w:val="right" w:leader="dot" w:pos="9214"/>
        </w:tabs>
        <w:ind w:left="-360" w:firstLine="720"/>
        <w:rPr>
          <w:lang w:val="sr-Cyrl-BA"/>
        </w:rPr>
      </w:pPr>
    </w:p>
    <w:p w14:paraId="35842229" w14:textId="77777777" w:rsidR="00AC145A" w:rsidRPr="001D1ECD" w:rsidRDefault="00AC145A" w:rsidP="00AC145A">
      <w:pPr>
        <w:tabs>
          <w:tab w:val="right" w:leader="dot" w:pos="9072"/>
        </w:tabs>
        <w:ind w:right="-792"/>
        <w:rPr>
          <w:b/>
          <w:i/>
          <w:u w:val="single"/>
        </w:rPr>
      </w:pPr>
      <w:r w:rsidRPr="001D1ECD">
        <w:rPr>
          <w:b/>
          <w:i/>
          <w:u w:val="single"/>
        </w:rPr>
        <w:t xml:space="preserve">П А С И В А </w:t>
      </w:r>
    </w:p>
    <w:p w14:paraId="291F4EC5" w14:textId="77777777" w:rsidR="00AC145A" w:rsidRPr="001D1ECD" w:rsidRDefault="00AC145A" w:rsidP="00AC145A">
      <w:pPr>
        <w:ind w:left="-360" w:right="-801"/>
        <w:rPr>
          <w:lang w:val="sr-Latn-CS"/>
        </w:rPr>
      </w:pPr>
    </w:p>
    <w:p w14:paraId="311DA72C" w14:textId="77777777" w:rsidR="00AC145A" w:rsidRPr="001D1ECD" w:rsidRDefault="00AC145A" w:rsidP="00AC145A">
      <w:pPr>
        <w:ind w:left="0" w:right="-792" w:firstLine="0"/>
      </w:pPr>
      <w:r w:rsidRPr="001D1ECD">
        <w:t>АОП103, колона 4  К-БС</w:t>
      </w:r>
    </w:p>
    <w:p w14:paraId="59A30106" w14:textId="77777777" w:rsidR="00AC145A" w:rsidRPr="001D1ECD" w:rsidRDefault="00AC145A" w:rsidP="00AC145A">
      <w:pPr>
        <w:ind w:left="0" w:firstLine="0"/>
        <w:rPr>
          <w:lang w:val="sr-Cyrl-RS"/>
        </w:rPr>
      </w:pPr>
      <w:r w:rsidRPr="001D1ECD">
        <w:rPr>
          <w:b/>
          <w:i/>
        </w:rPr>
        <w:sym w:font="Wingdings" w:char="F077"/>
      </w:r>
      <w:r w:rsidRPr="001D1ECD">
        <w:rPr>
          <w:b/>
          <w:i/>
        </w:rPr>
        <w:t xml:space="preserve"> Краткорочне финансијске обавезе</w:t>
      </w:r>
      <w:r w:rsidRPr="001D1ECD">
        <w:t xml:space="preserve"> износе </w:t>
      </w:r>
      <w:r w:rsidR="0039200A">
        <w:rPr>
          <w:lang w:val="sr-Cyrl-RS"/>
        </w:rPr>
        <w:t>855.998</w:t>
      </w:r>
      <w:r w:rsidRPr="001D1ECD">
        <w:t xml:space="preserve"> КМ, а односе се на </w:t>
      </w:r>
      <w:proofErr w:type="spellStart"/>
      <w:r w:rsidRPr="001D1ECD">
        <w:rPr>
          <w:lang w:val="sr-Cyrl-RS"/>
        </w:rPr>
        <w:t>дио</w:t>
      </w:r>
      <w:proofErr w:type="spellEnd"/>
      <w:r w:rsidRPr="001D1ECD">
        <w:t xml:space="preserve"> главнице </w:t>
      </w:r>
      <w:r w:rsidRPr="001D1ECD">
        <w:rPr>
          <w:lang w:val="sr-Cyrl-RS"/>
        </w:rPr>
        <w:t xml:space="preserve">дуга </w:t>
      </w:r>
      <w:r w:rsidRPr="001D1ECD">
        <w:t>по дугорочном кредит</w:t>
      </w:r>
      <w:r w:rsidRPr="001D1ECD">
        <w:rPr>
          <w:lang w:val="sr-Cyrl-RS"/>
        </w:rPr>
        <w:t xml:space="preserve">у од 7 </w:t>
      </w:r>
      <w:proofErr w:type="spellStart"/>
      <w:r w:rsidRPr="001D1ECD">
        <w:rPr>
          <w:lang w:val="sr-Cyrl-RS"/>
        </w:rPr>
        <w:t>мил</w:t>
      </w:r>
      <w:proofErr w:type="spellEnd"/>
      <w:r w:rsidRPr="001D1ECD">
        <w:rPr>
          <w:lang w:val="sr-Cyrl-RS"/>
        </w:rPr>
        <w:t>. КМ</w:t>
      </w:r>
      <w:r w:rsidRPr="001D1ECD">
        <w:t xml:space="preserve"> који </w:t>
      </w:r>
      <w:proofErr w:type="spellStart"/>
      <w:r w:rsidRPr="001D1ECD">
        <w:t>доспјева</w:t>
      </w:r>
      <w:proofErr w:type="spellEnd"/>
      <w:r w:rsidRPr="001D1ECD">
        <w:t xml:space="preserve"> на </w:t>
      </w:r>
      <w:r w:rsidRPr="001D1ECD">
        <w:rPr>
          <w:lang w:val="sr-Cyrl-RS"/>
        </w:rPr>
        <w:t>наплату</w:t>
      </w:r>
      <w:r w:rsidR="0039200A">
        <w:t xml:space="preserve"> у 2021</w:t>
      </w:r>
      <w:r w:rsidRPr="001D1ECD">
        <w:t>. години.</w:t>
      </w:r>
      <w:r w:rsidRPr="001D1ECD">
        <w:rPr>
          <w:lang w:val="sr-Cyrl-RS"/>
        </w:rPr>
        <w:t xml:space="preserve"> </w:t>
      </w:r>
    </w:p>
    <w:p w14:paraId="5D6B2C4D" w14:textId="77777777" w:rsidR="00AC145A" w:rsidRPr="0039200A" w:rsidRDefault="00AC145A" w:rsidP="00AC145A">
      <w:pPr>
        <w:tabs>
          <w:tab w:val="right" w:leader="dot" w:pos="9214"/>
        </w:tabs>
        <w:ind w:left="0" w:firstLine="0"/>
        <w:rPr>
          <w:lang w:val="sr-Latn-RS"/>
        </w:rPr>
      </w:pPr>
    </w:p>
    <w:p w14:paraId="738F801A" w14:textId="77777777" w:rsidR="00AC145A" w:rsidRPr="001D1ECD" w:rsidRDefault="00AC145A" w:rsidP="00AC145A">
      <w:pPr>
        <w:ind w:left="0" w:firstLine="0"/>
      </w:pPr>
      <w:r w:rsidRPr="001D1ECD">
        <w:t>АОП109, колона 4  К-БС</w:t>
      </w:r>
    </w:p>
    <w:p w14:paraId="6332687E" w14:textId="77777777" w:rsidR="00AC145A" w:rsidRPr="001D1ECD" w:rsidRDefault="00AC145A" w:rsidP="00AC145A">
      <w:pPr>
        <w:ind w:left="0" w:firstLine="0"/>
      </w:pPr>
      <w:r w:rsidRPr="001D1ECD">
        <w:rPr>
          <w:b/>
          <w:i/>
        </w:rPr>
        <w:sym w:font="Wingdings" w:char="F077"/>
      </w:r>
      <w:r w:rsidRPr="001D1ECD">
        <w:rPr>
          <w:b/>
          <w:i/>
        </w:rPr>
        <w:t xml:space="preserve"> Обавезе за лична примања</w:t>
      </w:r>
      <w:r w:rsidRPr="001D1ECD">
        <w:t xml:space="preserve"> </w:t>
      </w:r>
      <w:r w:rsidRPr="001D1ECD">
        <w:rPr>
          <w:b/>
          <w:i/>
          <w:lang w:val="sr-Cyrl-RS"/>
        </w:rPr>
        <w:t>запослених</w:t>
      </w:r>
      <w:r w:rsidRPr="001D1ECD">
        <w:rPr>
          <w:lang w:val="sr-Cyrl-RS"/>
        </w:rPr>
        <w:t xml:space="preserve"> </w:t>
      </w:r>
      <w:r w:rsidRPr="001D1ECD">
        <w:t xml:space="preserve">износе </w:t>
      </w:r>
      <w:r w:rsidR="00F46A5B">
        <w:rPr>
          <w:lang w:val="sr-Latn-RS"/>
        </w:rPr>
        <w:t>405.458</w:t>
      </w:r>
      <w:r w:rsidRPr="001D1ECD">
        <w:t xml:space="preserve"> КМ, а састоје се од обавеза за бруто плате и накнаде </w:t>
      </w:r>
      <w:r w:rsidRPr="001D1ECD">
        <w:rPr>
          <w:lang w:val="sr-Cyrl-RS"/>
        </w:rPr>
        <w:t xml:space="preserve">трошкова и осталих личних примања </w:t>
      </w:r>
      <w:r w:rsidRPr="001D1ECD">
        <w:t>запослених</w:t>
      </w:r>
      <w:r w:rsidRPr="001D1ECD">
        <w:rPr>
          <w:lang w:val="sr-Cyrl-RS"/>
        </w:rPr>
        <w:t xml:space="preserve"> (топли</w:t>
      </w:r>
      <w:r w:rsidR="00F46A5B">
        <w:rPr>
          <w:lang w:val="sr-Cyrl-RS"/>
        </w:rPr>
        <w:t xml:space="preserve"> оброк и превоз за децембар 2020</w:t>
      </w:r>
      <w:r w:rsidRPr="001D1ECD">
        <w:rPr>
          <w:lang w:val="sr-Cyrl-RS"/>
        </w:rPr>
        <w:t>. године, једнократне помоћи радницима у складу са колективним уговором),</w:t>
      </w:r>
      <w:r w:rsidRPr="001D1ECD">
        <w:t xml:space="preserve"> и за накнаде одборницима СО-е Прњавор:</w:t>
      </w:r>
    </w:p>
    <w:p w14:paraId="1FDF9E24" w14:textId="77777777" w:rsidR="00AC145A" w:rsidRPr="001D1ECD" w:rsidRDefault="00AC145A" w:rsidP="00AC145A">
      <w:pPr>
        <w:tabs>
          <w:tab w:val="right" w:leader="dot" w:pos="9214"/>
        </w:tabs>
        <w:spacing w:before="120"/>
        <w:ind w:left="-357" w:firstLine="720"/>
      </w:pPr>
      <w:r w:rsidRPr="001D1ECD">
        <w:t xml:space="preserve">- </w:t>
      </w:r>
      <w:proofErr w:type="spellStart"/>
      <w:r w:rsidRPr="001D1ECD">
        <w:rPr>
          <w:lang w:val="sr-Latn-CS"/>
        </w:rPr>
        <w:t>Обавез</w:t>
      </w:r>
      <w:proofErr w:type="spellEnd"/>
      <w:r w:rsidRPr="001D1ECD">
        <w:t>е</w:t>
      </w:r>
      <w:r w:rsidRPr="001D1ECD">
        <w:rPr>
          <w:lang w:val="sr-Latn-CS"/>
        </w:rPr>
        <w:t xml:space="preserve"> з</w:t>
      </w:r>
      <w:r w:rsidRPr="001D1ECD">
        <w:t>а бруто плате запослених у Општинској управи</w:t>
      </w:r>
      <w:r w:rsidRPr="001D1ECD">
        <w:rPr>
          <w:i/>
        </w:rPr>
        <w:tab/>
      </w:r>
      <w:r w:rsidR="00F46A5B">
        <w:rPr>
          <w:lang w:val="sr-Latn-RS"/>
        </w:rPr>
        <w:t>249.112</w:t>
      </w:r>
      <w:r w:rsidRPr="001D1ECD">
        <w:rPr>
          <w:lang w:val="sr-Latn-CS"/>
        </w:rPr>
        <w:t xml:space="preserve"> КМ</w:t>
      </w:r>
    </w:p>
    <w:p w14:paraId="60C281ED" w14:textId="77777777" w:rsidR="00AC145A" w:rsidRPr="001D1ECD" w:rsidRDefault="00AC145A" w:rsidP="00AC145A">
      <w:pPr>
        <w:tabs>
          <w:tab w:val="right" w:leader="dot" w:pos="9214"/>
        </w:tabs>
        <w:ind w:left="-360" w:firstLine="720"/>
        <w:rPr>
          <w:lang w:val="sr-Latn-CS"/>
        </w:rPr>
      </w:pPr>
      <w:r w:rsidRPr="001D1ECD">
        <w:rPr>
          <w:lang w:val="sr-Latn-CS"/>
        </w:rPr>
        <w:t xml:space="preserve">- </w:t>
      </w:r>
      <w:proofErr w:type="spellStart"/>
      <w:r w:rsidRPr="001D1ECD">
        <w:rPr>
          <w:lang w:val="sr-Latn-CS"/>
        </w:rPr>
        <w:t>Обавез</w:t>
      </w:r>
      <w:proofErr w:type="spellEnd"/>
      <w:r w:rsidRPr="001D1ECD">
        <w:t>е</w:t>
      </w:r>
      <w:r w:rsidRPr="001D1ECD">
        <w:rPr>
          <w:lang w:val="sr-Latn-CS"/>
        </w:rPr>
        <w:t xml:space="preserve"> з</w:t>
      </w:r>
      <w:r w:rsidRPr="001D1ECD">
        <w:t>а бруто плате запослених у ЈУ Центар за социјални рад</w:t>
      </w:r>
      <w:r w:rsidRPr="001D1ECD">
        <w:tab/>
      </w:r>
      <w:r w:rsidR="00FA7F4C">
        <w:rPr>
          <w:lang w:val="sr-Latn-RS"/>
        </w:rPr>
        <w:t>19.911</w:t>
      </w:r>
      <w:r w:rsidRPr="001D1ECD">
        <w:rPr>
          <w:lang w:val="sr-Latn-CS"/>
        </w:rPr>
        <w:t xml:space="preserve"> КМ</w:t>
      </w:r>
    </w:p>
    <w:p w14:paraId="20FF3971" w14:textId="77777777" w:rsidR="00AC145A" w:rsidRPr="001D1ECD" w:rsidRDefault="00AC145A" w:rsidP="00AC145A">
      <w:pPr>
        <w:tabs>
          <w:tab w:val="right" w:leader="dot" w:pos="9214"/>
        </w:tabs>
        <w:ind w:left="-360" w:firstLine="720"/>
        <w:rPr>
          <w:lang w:val="sr-Latn-CS"/>
        </w:rPr>
      </w:pPr>
      <w:r w:rsidRPr="001D1ECD">
        <w:rPr>
          <w:lang w:val="sr-Latn-CS"/>
        </w:rPr>
        <w:t xml:space="preserve">- </w:t>
      </w:r>
      <w:proofErr w:type="spellStart"/>
      <w:r w:rsidRPr="001D1ECD">
        <w:rPr>
          <w:lang w:val="sr-Latn-CS"/>
        </w:rPr>
        <w:t>Обавез</w:t>
      </w:r>
      <w:proofErr w:type="spellEnd"/>
      <w:r w:rsidRPr="001D1ECD">
        <w:t>е</w:t>
      </w:r>
      <w:r w:rsidRPr="001D1ECD">
        <w:rPr>
          <w:lang w:val="sr-Latn-CS"/>
        </w:rPr>
        <w:t xml:space="preserve"> з</w:t>
      </w:r>
      <w:r w:rsidRPr="001D1ECD">
        <w:t>а бруто плате запослених у ЈУ Дјечији вртић „Наша радост“</w:t>
      </w:r>
      <w:r w:rsidRPr="001D1ECD">
        <w:rPr>
          <w:lang w:val="sr-Cyrl-BA"/>
        </w:rPr>
        <w:tab/>
      </w:r>
      <w:r w:rsidRPr="001D1ECD">
        <w:t xml:space="preserve"> </w:t>
      </w:r>
      <w:r w:rsidR="00731299">
        <w:rPr>
          <w:lang w:val="sr-Latn-RS"/>
        </w:rPr>
        <w:t>41.881</w:t>
      </w:r>
      <w:r w:rsidRPr="001D1ECD">
        <w:rPr>
          <w:lang w:val="sr-Latn-CS"/>
        </w:rPr>
        <w:t xml:space="preserve"> КМ</w:t>
      </w:r>
    </w:p>
    <w:p w14:paraId="7A4B5D71" w14:textId="77777777" w:rsidR="00AC145A" w:rsidRPr="001D1ECD" w:rsidRDefault="00AC145A" w:rsidP="00AC145A">
      <w:pPr>
        <w:tabs>
          <w:tab w:val="right" w:leader="dot" w:pos="9214"/>
        </w:tabs>
        <w:ind w:left="-360" w:firstLine="720"/>
      </w:pPr>
      <w:r w:rsidRPr="001D1ECD">
        <w:rPr>
          <w:lang w:val="sr-Latn-CS"/>
        </w:rPr>
        <w:t xml:space="preserve">- </w:t>
      </w:r>
      <w:proofErr w:type="spellStart"/>
      <w:r w:rsidRPr="001D1ECD">
        <w:rPr>
          <w:lang w:val="sr-Latn-CS"/>
        </w:rPr>
        <w:t>Обавез</w:t>
      </w:r>
      <w:proofErr w:type="spellEnd"/>
      <w:r w:rsidRPr="001D1ECD">
        <w:t>е</w:t>
      </w:r>
      <w:r w:rsidRPr="001D1ECD">
        <w:rPr>
          <w:lang w:val="sr-Latn-CS"/>
        </w:rPr>
        <w:t xml:space="preserve"> з</w:t>
      </w:r>
      <w:r w:rsidRPr="001D1ECD">
        <w:t>а бруто плате запослених у ЈУ Центар за културу</w:t>
      </w:r>
      <w:r w:rsidRPr="001D1ECD">
        <w:tab/>
      </w:r>
      <w:r w:rsidR="00FA7F4C">
        <w:rPr>
          <w:lang w:val="sr-Latn-RS"/>
        </w:rPr>
        <w:t>11.761</w:t>
      </w:r>
      <w:r w:rsidRPr="001D1ECD">
        <w:rPr>
          <w:lang w:val="sr-Latn-CS"/>
        </w:rPr>
        <w:t xml:space="preserve"> КМ</w:t>
      </w:r>
    </w:p>
    <w:p w14:paraId="384CBD80" w14:textId="77777777" w:rsidR="00AC145A" w:rsidRPr="001D1ECD" w:rsidRDefault="00AC145A" w:rsidP="00AC145A">
      <w:pPr>
        <w:tabs>
          <w:tab w:val="right" w:leader="dot" w:pos="9214"/>
        </w:tabs>
        <w:ind w:left="-360" w:firstLine="720"/>
        <w:rPr>
          <w:lang w:val="sr-Latn-CS"/>
        </w:rPr>
      </w:pPr>
      <w:r w:rsidRPr="001D1ECD">
        <w:rPr>
          <w:lang w:val="sr-Latn-CS"/>
        </w:rPr>
        <w:t xml:space="preserve">- </w:t>
      </w:r>
      <w:proofErr w:type="spellStart"/>
      <w:r w:rsidRPr="001D1ECD">
        <w:rPr>
          <w:lang w:val="sr-Latn-CS"/>
        </w:rPr>
        <w:t>Обавез</w:t>
      </w:r>
      <w:proofErr w:type="spellEnd"/>
      <w:r w:rsidRPr="001D1ECD">
        <w:t>е</w:t>
      </w:r>
      <w:r w:rsidRPr="001D1ECD">
        <w:rPr>
          <w:lang w:val="sr-Latn-CS"/>
        </w:rPr>
        <w:t xml:space="preserve"> з</w:t>
      </w:r>
      <w:r w:rsidRPr="001D1ECD">
        <w:t>а бруто накнаде запослених у Општинској управи</w:t>
      </w:r>
      <w:r w:rsidRPr="001D1ECD">
        <w:tab/>
      </w:r>
      <w:r w:rsidR="00FA7F4C">
        <w:rPr>
          <w:lang w:val="sr-Latn-RS"/>
        </w:rPr>
        <w:t>43.228</w:t>
      </w:r>
      <w:r w:rsidRPr="001D1ECD">
        <w:rPr>
          <w:lang w:val="sr-Latn-CS"/>
        </w:rPr>
        <w:t xml:space="preserve"> КМ</w:t>
      </w:r>
    </w:p>
    <w:p w14:paraId="730E9E4E" w14:textId="77777777" w:rsidR="00AC145A" w:rsidRPr="001D1ECD" w:rsidRDefault="00AC145A" w:rsidP="00AC145A">
      <w:pPr>
        <w:tabs>
          <w:tab w:val="right" w:leader="dot" w:pos="9214"/>
        </w:tabs>
        <w:ind w:left="-357" w:firstLine="720"/>
      </w:pPr>
      <w:r w:rsidRPr="001D1ECD">
        <w:t>- Обавезе за бруто накнаде одборницима</w:t>
      </w:r>
      <w:r w:rsidRPr="001D1ECD">
        <w:tab/>
      </w:r>
      <w:r w:rsidR="00FA7F4C">
        <w:rPr>
          <w:lang w:val="sr-Latn-RS"/>
        </w:rPr>
        <w:t>18.054</w:t>
      </w:r>
      <w:r w:rsidRPr="001D1ECD">
        <w:t xml:space="preserve"> КМ</w:t>
      </w:r>
    </w:p>
    <w:p w14:paraId="12DC0921" w14:textId="77777777" w:rsidR="00AC145A" w:rsidRPr="001D1ECD" w:rsidRDefault="00AC145A" w:rsidP="00AC145A">
      <w:pPr>
        <w:tabs>
          <w:tab w:val="right" w:leader="dot" w:pos="9214"/>
        </w:tabs>
        <w:ind w:left="-360" w:firstLine="720"/>
      </w:pPr>
      <w:r w:rsidRPr="001D1ECD">
        <w:rPr>
          <w:lang w:val="sr-Latn-CS"/>
        </w:rPr>
        <w:t xml:space="preserve">- </w:t>
      </w:r>
      <w:proofErr w:type="spellStart"/>
      <w:r w:rsidRPr="001D1ECD">
        <w:rPr>
          <w:lang w:val="sr-Latn-CS"/>
        </w:rPr>
        <w:t>Обавез</w:t>
      </w:r>
      <w:proofErr w:type="spellEnd"/>
      <w:r w:rsidRPr="001D1ECD">
        <w:t>е</w:t>
      </w:r>
      <w:r w:rsidRPr="001D1ECD">
        <w:rPr>
          <w:lang w:val="sr-Latn-CS"/>
        </w:rPr>
        <w:t xml:space="preserve"> з</w:t>
      </w:r>
      <w:r w:rsidRPr="001D1ECD">
        <w:t>а бруто накнаде запослених у ЈУ Центар за социјални рад</w:t>
      </w:r>
      <w:r w:rsidRPr="001D1ECD">
        <w:rPr>
          <w:lang w:val="sr-Cyrl-BA"/>
        </w:rPr>
        <w:tab/>
      </w:r>
      <w:r w:rsidRPr="001D1ECD">
        <w:t xml:space="preserve"> </w:t>
      </w:r>
      <w:r w:rsidRPr="001D1ECD">
        <w:rPr>
          <w:lang w:val="sr-Latn-RS"/>
        </w:rPr>
        <w:t>3.</w:t>
      </w:r>
      <w:r w:rsidR="00FA7F4C">
        <w:rPr>
          <w:lang w:val="sr-Latn-RS"/>
        </w:rPr>
        <w:t>613</w:t>
      </w:r>
      <w:r w:rsidRPr="001D1ECD">
        <w:rPr>
          <w:lang w:val="sr-Latn-CS"/>
        </w:rPr>
        <w:t xml:space="preserve"> КМ</w:t>
      </w:r>
    </w:p>
    <w:p w14:paraId="1E56F4F5" w14:textId="77777777" w:rsidR="00AC145A" w:rsidRPr="001D1ECD" w:rsidRDefault="00AC145A" w:rsidP="00AC145A">
      <w:pPr>
        <w:tabs>
          <w:tab w:val="right" w:leader="dot" w:pos="9214"/>
        </w:tabs>
        <w:ind w:left="-360" w:firstLine="720"/>
      </w:pPr>
      <w:r w:rsidRPr="001D1ECD">
        <w:rPr>
          <w:lang w:val="sr-Latn-CS"/>
        </w:rPr>
        <w:t xml:space="preserve">- </w:t>
      </w:r>
      <w:proofErr w:type="spellStart"/>
      <w:r w:rsidRPr="001D1ECD">
        <w:rPr>
          <w:lang w:val="sr-Latn-CS"/>
        </w:rPr>
        <w:t>Обаве</w:t>
      </w:r>
      <w:r w:rsidRPr="001D1ECD">
        <w:t>зе</w:t>
      </w:r>
      <w:proofErr w:type="spellEnd"/>
      <w:r w:rsidRPr="001D1ECD">
        <w:rPr>
          <w:lang w:val="sr-Latn-CS"/>
        </w:rPr>
        <w:t xml:space="preserve"> з</w:t>
      </w:r>
      <w:r w:rsidRPr="001D1ECD">
        <w:t xml:space="preserve">а бруто накнаде </w:t>
      </w:r>
      <w:proofErr w:type="spellStart"/>
      <w:r w:rsidRPr="001D1ECD">
        <w:t>запосл</w:t>
      </w:r>
      <w:proofErr w:type="spellEnd"/>
      <w:r w:rsidRPr="001D1ECD">
        <w:t>. у ЈУ Дјечији вртић „Наша радост“</w:t>
      </w:r>
      <w:r w:rsidRPr="001D1ECD">
        <w:rPr>
          <w:lang w:val="sr-Cyrl-BA"/>
        </w:rPr>
        <w:tab/>
      </w:r>
      <w:r w:rsidRPr="001D1ECD">
        <w:t xml:space="preserve"> </w:t>
      </w:r>
      <w:r w:rsidR="00731299">
        <w:rPr>
          <w:lang w:val="sr-Latn-RS"/>
        </w:rPr>
        <w:t>9.208</w:t>
      </w:r>
      <w:r w:rsidRPr="001D1ECD">
        <w:rPr>
          <w:lang w:val="sr-Latn-CS"/>
        </w:rPr>
        <w:t xml:space="preserve"> КМ</w:t>
      </w:r>
    </w:p>
    <w:p w14:paraId="090016CD" w14:textId="77777777" w:rsidR="00AC145A" w:rsidRDefault="00AC145A" w:rsidP="00AC145A">
      <w:pPr>
        <w:tabs>
          <w:tab w:val="right" w:leader="dot" w:pos="9214"/>
        </w:tabs>
        <w:ind w:left="-360" w:firstLine="720"/>
      </w:pPr>
      <w:r w:rsidRPr="001D1ECD">
        <w:t>- Обавезе за бруто накнаде запослених у ЈУ Центар за културу</w:t>
      </w:r>
      <w:r w:rsidRPr="001D1ECD">
        <w:tab/>
      </w:r>
      <w:r w:rsidR="00731299">
        <w:rPr>
          <w:lang w:val="sr-Latn-RS"/>
        </w:rPr>
        <w:t>2.571</w:t>
      </w:r>
      <w:r w:rsidRPr="001D1ECD">
        <w:t xml:space="preserve"> КМ</w:t>
      </w:r>
    </w:p>
    <w:p w14:paraId="63776800" w14:textId="77777777" w:rsidR="00731299" w:rsidRPr="00731299" w:rsidRDefault="00731299" w:rsidP="00731299">
      <w:pPr>
        <w:tabs>
          <w:tab w:val="right" w:leader="dot" w:pos="9214"/>
        </w:tabs>
        <w:ind w:left="-360" w:firstLine="720"/>
        <w:rPr>
          <w:lang w:val="sr-Latn-CS"/>
        </w:rPr>
      </w:pPr>
      <w:r w:rsidRPr="001D1ECD">
        <w:rPr>
          <w:lang w:val="sr-Latn-CS"/>
        </w:rPr>
        <w:t xml:space="preserve">- </w:t>
      </w:r>
      <w:proofErr w:type="spellStart"/>
      <w:r w:rsidRPr="001D1ECD">
        <w:rPr>
          <w:lang w:val="sr-Latn-CS"/>
        </w:rPr>
        <w:t>Обавез</w:t>
      </w:r>
      <w:proofErr w:type="spellEnd"/>
      <w:r w:rsidRPr="001D1ECD">
        <w:t>е</w:t>
      </w:r>
      <w:r w:rsidRPr="001D1ECD">
        <w:rPr>
          <w:lang w:val="sr-Latn-CS"/>
        </w:rPr>
        <w:t xml:space="preserve"> з</w:t>
      </w:r>
      <w:r w:rsidRPr="001D1ECD">
        <w:t xml:space="preserve">а накнаде </w:t>
      </w:r>
      <w:proofErr w:type="spellStart"/>
      <w:r w:rsidRPr="001D1ECD">
        <w:rPr>
          <w:lang w:val="sr-Cyrl-RS"/>
        </w:rPr>
        <w:t>тр</w:t>
      </w:r>
      <w:proofErr w:type="spellEnd"/>
      <w:r w:rsidRPr="001D1ECD">
        <w:rPr>
          <w:lang w:val="sr-Cyrl-RS"/>
        </w:rPr>
        <w:t xml:space="preserve">. </w:t>
      </w:r>
      <w:r w:rsidRPr="001D1ECD">
        <w:t>запослених у ЈУ Гимназија Прњавор</w:t>
      </w:r>
      <w:r w:rsidRPr="001D1ECD">
        <w:rPr>
          <w:lang w:val="sr-Cyrl-RS"/>
        </w:rPr>
        <w:t xml:space="preserve"> - превоз</w:t>
      </w:r>
      <w:r w:rsidRPr="001D1ECD">
        <w:tab/>
      </w:r>
      <w:r w:rsidRPr="001D1ECD">
        <w:rPr>
          <w:lang w:val="sr-Cyrl-RS"/>
        </w:rPr>
        <w:t>1.</w:t>
      </w:r>
      <w:r>
        <w:rPr>
          <w:lang w:val="sr-Latn-RS"/>
        </w:rPr>
        <w:t>319</w:t>
      </w:r>
      <w:r>
        <w:rPr>
          <w:lang w:val="sr-Latn-CS"/>
        </w:rPr>
        <w:t xml:space="preserve"> КМ</w:t>
      </w:r>
    </w:p>
    <w:p w14:paraId="76DDA44F" w14:textId="77777777" w:rsidR="00AC145A" w:rsidRPr="001D1ECD" w:rsidRDefault="00AC145A" w:rsidP="00AC145A">
      <w:pPr>
        <w:keepNext/>
        <w:tabs>
          <w:tab w:val="right" w:leader="dot" w:pos="9214"/>
        </w:tabs>
        <w:ind w:left="-357" w:firstLine="720"/>
      </w:pPr>
      <w:r w:rsidRPr="001D1ECD">
        <w:rPr>
          <w:lang w:val="sr-Latn-CS"/>
        </w:rPr>
        <w:t xml:space="preserve">- </w:t>
      </w:r>
      <w:proofErr w:type="spellStart"/>
      <w:r w:rsidRPr="001D1ECD">
        <w:rPr>
          <w:lang w:val="sr-Latn-CS"/>
        </w:rPr>
        <w:t>Обавез</w:t>
      </w:r>
      <w:proofErr w:type="spellEnd"/>
      <w:r w:rsidRPr="001D1ECD">
        <w:t>е</w:t>
      </w:r>
      <w:r w:rsidRPr="001D1ECD">
        <w:rPr>
          <w:lang w:val="sr-Latn-CS"/>
        </w:rPr>
        <w:t xml:space="preserve"> з</w:t>
      </w:r>
      <w:r w:rsidRPr="001D1ECD">
        <w:t xml:space="preserve">а накнаде </w:t>
      </w:r>
      <w:r w:rsidRPr="001D1ECD">
        <w:rPr>
          <w:lang w:val="sr-Cyrl-RS"/>
        </w:rPr>
        <w:t xml:space="preserve">трошкова </w:t>
      </w:r>
      <w:r w:rsidRPr="001D1ECD">
        <w:t>запослених у ЈУ Центар средњих школа</w:t>
      </w:r>
    </w:p>
    <w:p w14:paraId="2FF56283" w14:textId="77777777" w:rsidR="00AC145A" w:rsidRPr="001D1ECD" w:rsidRDefault="00AC145A" w:rsidP="00AC145A">
      <w:pPr>
        <w:tabs>
          <w:tab w:val="right" w:leader="dot" w:pos="9214"/>
        </w:tabs>
        <w:ind w:left="-360" w:firstLine="720"/>
      </w:pPr>
      <w:r w:rsidRPr="001D1ECD">
        <w:t xml:space="preserve">  „Иво Андрић“ Прњавор</w:t>
      </w:r>
      <w:r w:rsidRPr="001D1ECD">
        <w:rPr>
          <w:lang w:val="sr-Latn-RS"/>
        </w:rPr>
        <w:t xml:space="preserve"> - </w:t>
      </w:r>
      <w:r w:rsidRPr="001D1ECD">
        <w:rPr>
          <w:lang w:val="sr-Cyrl-RS"/>
        </w:rPr>
        <w:t>превоз</w:t>
      </w:r>
      <w:r w:rsidRPr="001D1ECD">
        <w:rPr>
          <w:lang w:val="sr-Cyrl-BA"/>
        </w:rPr>
        <w:tab/>
      </w:r>
      <w:r w:rsidRPr="001D1ECD">
        <w:rPr>
          <w:lang w:val="sr-Cyrl-RS"/>
        </w:rPr>
        <w:t>4.</w:t>
      </w:r>
      <w:r w:rsidR="00731299">
        <w:rPr>
          <w:lang w:val="sr-Latn-RS"/>
        </w:rPr>
        <w:t>309</w:t>
      </w:r>
      <w:r w:rsidRPr="001D1ECD">
        <w:rPr>
          <w:lang w:val="sr-Latn-CS"/>
        </w:rPr>
        <w:t xml:space="preserve"> КМ</w:t>
      </w:r>
    </w:p>
    <w:p w14:paraId="73D10025" w14:textId="77777777" w:rsidR="00AC145A" w:rsidRPr="001D1ECD" w:rsidRDefault="00AC145A" w:rsidP="00AC145A">
      <w:pPr>
        <w:tabs>
          <w:tab w:val="right" w:leader="dot" w:pos="9214"/>
        </w:tabs>
        <w:ind w:left="-360" w:firstLine="720"/>
        <w:rPr>
          <w:lang w:val="sr-Cyrl-RS"/>
        </w:rPr>
      </w:pPr>
      <w:r w:rsidRPr="001D1ECD">
        <w:rPr>
          <w:lang w:val="sr-Cyrl-RS"/>
        </w:rPr>
        <w:t>- Обавезе за накнаде трошкова запослених у ЈУ Музичка школа</w:t>
      </w:r>
    </w:p>
    <w:p w14:paraId="33FF935D" w14:textId="77777777" w:rsidR="00AC145A" w:rsidRPr="001D1ECD" w:rsidRDefault="00AC145A" w:rsidP="00AC145A">
      <w:pPr>
        <w:tabs>
          <w:tab w:val="right" w:leader="dot" w:pos="9214"/>
        </w:tabs>
        <w:ind w:left="-360" w:firstLine="720"/>
        <w:rPr>
          <w:lang w:val="sr-Cyrl-RS"/>
        </w:rPr>
      </w:pPr>
      <w:r w:rsidRPr="001D1ECD">
        <w:rPr>
          <w:lang w:val="sr-Cyrl-RS"/>
        </w:rPr>
        <w:t xml:space="preserve">  „Константин Бабић“ Прњавор</w:t>
      </w:r>
      <w:r w:rsidRPr="001D1ECD">
        <w:rPr>
          <w:lang w:val="sr-Latn-RS"/>
        </w:rPr>
        <w:t xml:space="preserve"> - </w:t>
      </w:r>
      <w:r w:rsidRPr="001D1ECD">
        <w:rPr>
          <w:lang w:val="sr-Cyrl-RS"/>
        </w:rPr>
        <w:t>превоз</w:t>
      </w:r>
      <w:r w:rsidRPr="001D1ECD">
        <w:rPr>
          <w:lang w:val="sr-Cyrl-RS"/>
        </w:rPr>
        <w:tab/>
      </w:r>
      <w:r w:rsidR="00731299">
        <w:rPr>
          <w:lang w:val="sr-Latn-RS"/>
        </w:rPr>
        <w:t>490</w:t>
      </w:r>
      <w:r w:rsidRPr="001D1ECD">
        <w:rPr>
          <w:lang w:val="sr-Cyrl-RS"/>
        </w:rPr>
        <w:t xml:space="preserve"> КМ</w:t>
      </w:r>
    </w:p>
    <w:p w14:paraId="6EC51D71" w14:textId="77777777" w:rsidR="00AC145A" w:rsidRPr="001D1ECD" w:rsidRDefault="00AC145A" w:rsidP="00AC145A">
      <w:pPr>
        <w:tabs>
          <w:tab w:val="right" w:leader="dot" w:pos="9214"/>
        </w:tabs>
        <w:ind w:left="-360" w:firstLine="720"/>
      </w:pPr>
      <w:r w:rsidRPr="001D1ECD">
        <w:rPr>
          <w:b/>
        </w:rPr>
        <w:t xml:space="preserve">   У </w:t>
      </w:r>
      <w:r w:rsidRPr="001D1ECD">
        <w:rPr>
          <w:b/>
          <w:lang w:val="sr-Latn-CS"/>
        </w:rPr>
        <w:t>к у п н о:</w:t>
      </w:r>
      <w:r w:rsidRPr="001D1ECD">
        <w:tab/>
      </w:r>
      <w:r w:rsidRPr="001D1ECD">
        <w:rPr>
          <w:b/>
        </w:rPr>
        <w:t xml:space="preserve"> </w:t>
      </w:r>
      <w:r w:rsidR="00731299">
        <w:rPr>
          <w:b/>
          <w:lang w:val="sr-Latn-RS"/>
        </w:rPr>
        <w:t>405.458</w:t>
      </w:r>
      <w:r w:rsidRPr="001D1ECD">
        <w:rPr>
          <w:b/>
          <w:lang w:val="sr-Latn-CS"/>
        </w:rPr>
        <w:t xml:space="preserve"> КМ</w:t>
      </w:r>
    </w:p>
    <w:p w14:paraId="1B075CE8" w14:textId="77777777" w:rsidR="00AC145A" w:rsidRPr="001D1ECD" w:rsidRDefault="00AC145A" w:rsidP="00AC145A">
      <w:pPr>
        <w:ind w:left="-360" w:right="99" w:firstLine="360"/>
      </w:pPr>
    </w:p>
    <w:p w14:paraId="0483F6A5" w14:textId="77777777" w:rsidR="00AC145A" w:rsidRPr="001D1ECD" w:rsidRDefault="00AC145A" w:rsidP="00AC145A">
      <w:pPr>
        <w:ind w:left="0" w:firstLine="0"/>
      </w:pPr>
      <w:r w:rsidRPr="001D1ECD">
        <w:t>АОП112, колона 4  К-БС</w:t>
      </w:r>
    </w:p>
    <w:p w14:paraId="5599BA8F" w14:textId="77777777" w:rsidR="00AC145A" w:rsidRPr="001D1ECD" w:rsidRDefault="00AC145A" w:rsidP="00AC145A">
      <w:pPr>
        <w:ind w:left="0" w:firstLine="0"/>
      </w:pPr>
      <w:r w:rsidRPr="001D1ECD">
        <w:rPr>
          <w:b/>
          <w:i/>
        </w:rPr>
        <w:sym w:font="Wingdings" w:char="F077"/>
      </w:r>
      <w:r w:rsidRPr="001D1ECD">
        <w:rPr>
          <w:b/>
          <w:i/>
        </w:rPr>
        <w:t xml:space="preserve"> Обавезе из пословања </w:t>
      </w:r>
      <w:r w:rsidRPr="001D1ECD">
        <w:t xml:space="preserve">износе </w:t>
      </w:r>
      <w:r w:rsidR="005618DD">
        <w:rPr>
          <w:lang w:val="sr-Latn-RS"/>
        </w:rPr>
        <w:t>1.939.021</w:t>
      </w:r>
      <w:r w:rsidRPr="001D1ECD">
        <w:t xml:space="preserve"> КМ, а односе се на:</w:t>
      </w:r>
    </w:p>
    <w:p w14:paraId="0596D6A5" w14:textId="77777777" w:rsidR="00AC145A" w:rsidRPr="001D1ECD" w:rsidRDefault="00AC145A" w:rsidP="00AC145A">
      <w:pPr>
        <w:tabs>
          <w:tab w:val="right" w:leader="dot" w:pos="9214"/>
        </w:tabs>
        <w:ind w:left="-357" w:firstLine="720"/>
        <w:rPr>
          <w:lang w:val="sr-Latn-CS"/>
        </w:rPr>
      </w:pPr>
      <w:r w:rsidRPr="001D1ECD">
        <w:t xml:space="preserve">- </w:t>
      </w:r>
      <w:proofErr w:type="spellStart"/>
      <w:r w:rsidRPr="001D1ECD">
        <w:rPr>
          <w:lang w:val="sr-Latn-CS"/>
        </w:rPr>
        <w:t>Обавезе</w:t>
      </w:r>
      <w:proofErr w:type="spellEnd"/>
      <w:r w:rsidRPr="001D1ECD">
        <w:rPr>
          <w:lang w:val="sr-Latn-CS"/>
        </w:rPr>
        <w:t xml:space="preserve"> </w:t>
      </w:r>
      <w:proofErr w:type="spellStart"/>
      <w:r w:rsidRPr="001D1ECD">
        <w:rPr>
          <w:lang w:val="sr-Latn-CS"/>
        </w:rPr>
        <w:t>за</w:t>
      </w:r>
      <w:proofErr w:type="spellEnd"/>
      <w:r w:rsidRPr="001D1ECD">
        <w:rPr>
          <w:lang w:val="sr-Latn-CS"/>
        </w:rPr>
        <w:t xml:space="preserve"> </w:t>
      </w:r>
      <w:proofErr w:type="spellStart"/>
      <w:r w:rsidRPr="001D1ECD">
        <w:rPr>
          <w:lang w:val="sr-Latn-CS"/>
        </w:rPr>
        <w:t>набавку</w:t>
      </w:r>
      <w:proofErr w:type="spellEnd"/>
      <w:r w:rsidRPr="001D1ECD">
        <w:rPr>
          <w:lang w:val="sr-Latn-CS"/>
        </w:rPr>
        <w:t xml:space="preserve"> </w:t>
      </w:r>
      <w:proofErr w:type="spellStart"/>
      <w:r w:rsidRPr="001D1ECD">
        <w:rPr>
          <w:lang w:val="sr-Latn-CS"/>
        </w:rPr>
        <w:t>роба</w:t>
      </w:r>
      <w:proofErr w:type="spellEnd"/>
      <w:r w:rsidRPr="001D1ECD">
        <w:rPr>
          <w:lang w:val="sr-Latn-CS"/>
        </w:rPr>
        <w:t xml:space="preserve"> и </w:t>
      </w:r>
      <w:proofErr w:type="spellStart"/>
      <w:r w:rsidRPr="001D1ECD">
        <w:rPr>
          <w:lang w:val="sr-Latn-CS"/>
        </w:rPr>
        <w:t>услуга</w:t>
      </w:r>
      <w:proofErr w:type="spellEnd"/>
      <w:r w:rsidRPr="001D1ECD">
        <w:rPr>
          <w:lang w:val="sr-Latn-CS"/>
        </w:rPr>
        <w:t xml:space="preserve"> у </w:t>
      </w:r>
      <w:proofErr w:type="spellStart"/>
      <w:r w:rsidRPr="001D1ECD">
        <w:rPr>
          <w:lang w:val="sr-Latn-CS"/>
        </w:rPr>
        <w:t>земљи</w:t>
      </w:r>
      <w:proofErr w:type="spellEnd"/>
      <w:r w:rsidRPr="001D1ECD">
        <w:tab/>
      </w:r>
      <w:r w:rsidR="005618DD">
        <w:rPr>
          <w:lang w:val="sr-Latn-RS"/>
        </w:rPr>
        <w:t>377.958</w:t>
      </w:r>
      <w:r w:rsidRPr="001D1ECD">
        <w:rPr>
          <w:lang w:val="sr-Latn-CS"/>
        </w:rPr>
        <w:t xml:space="preserve"> КМ</w:t>
      </w:r>
    </w:p>
    <w:p w14:paraId="06B5317D" w14:textId="77777777" w:rsidR="00AC145A" w:rsidRPr="001D1ECD" w:rsidRDefault="00AC145A" w:rsidP="00AC145A">
      <w:pPr>
        <w:tabs>
          <w:tab w:val="right" w:leader="dot" w:pos="9214"/>
        </w:tabs>
        <w:ind w:left="-360" w:firstLine="720"/>
        <w:rPr>
          <w:lang w:val="sr-Latn-CS"/>
        </w:rPr>
      </w:pPr>
      <w:r w:rsidRPr="001D1ECD">
        <w:rPr>
          <w:lang w:val="sr-Latn-CS"/>
        </w:rPr>
        <w:t xml:space="preserve">- </w:t>
      </w:r>
      <w:proofErr w:type="spellStart"/>
      <w:r w:rsidRPr="001D1ECD">
        <w:rPr>
          <w:lang w:val="sr-Latn-CS"/>
        </w:rPr>
        <w:t>Обавезе</w:t>
      </w:r>
      <w:proofErr w:type="spellEnd"/>
      <w:r w:rsidRPr="001D1ECD">
        <w:rPr>
          <w:lang w:val="sr-Latn-CS"/>
        </w:rPr>
        <w:t xml:space="preserve"> </w:t>
      </w:r>
      <w:proofErr w:type="spellStart"/>
      <w:r w:rsidRPr="001D1ECD">
        <w:rPr>
          <w:lang w:val="sr-Latn-CS"/>
        </w:rPr>
        <w:t>за</w:t>
      </w:r>
      <w:proofErr w:type="spellEnd"/>
      <w:r w:rsidRPr="001D1ECD">
        <w:rPr>
          <w:lang w:val="sr-Latn-CS"/>
        </w:rPr>
        <w:t xml:space="preserve"> </w:t>
      </w:r>
      <w:proofErr w:type="spellStart"/>
      <w:r w:rsidRPr="001D1ECD">
        <w:rPr>
          <w:lang w:val="sr-Latn-CS"/>
        </w:rPr>
        <w:t>набавку</w:t>
      </w:r>
      <w:proofErr w:type="spellEnd"/>
      <w:r w:rsidRPr="001D1ECD">
        <w:rPr>
          <w:lang w:val="sr-Latn-CS"/>
        </w:rPr>
        <w:t xml:space="preserve"> </w:t>
      </w:r>
      <w:proofErr w:type="spellStart"/>
      <w:r w:rsidRPr="001D1ECD">
        <w:rPr>
          <w:lang w:val="sr-Latn-CS"/>
        </w:rPr>
        <w:t>сталне</w:t>
      </w:r>
      <w:proofErr w:type="spellEnd"/>
      <w:r w:rsidRPr="001D1ECD">
        <w:rPr>
          <w:lang w:val="sr-Latn-CS"/>
        </w:rPr>
        <w:t xml:space="preserve"> </w:t>
      </w:r>
      <w:proofErr w:type="spellStart"/>
      <w:r w:rsidRPr="001D1ECD">
        <w:rPr>
          <w:lang w:val="sr-Latn-CS"/>
        </w:rPr>
        <w:t>имовине</w:t>
      </w:r>
      <w:proofErr w:type="spellEnd"/>
      <w:r w:rsidRPr="001D1ECD">
        <w:rPr>
          <w:lang w:val="sr-Latn-CS"/>
        </w:rPr>
        <w:t xml:space="preserve"> у </w:t>
      </w:r>
      <w:proofErr w:type="spellStart"/>
      <w:r w:rsidRPr="001D1ECD">
        <w:rPr>
          <w:lang w:val="sr-Latn-CS"/>
        </w:rPr>
        <w:t>земљи</w:t>
      </w:r>
      <w:proofErr w:type="spellEnd"/>
      <w:r w:rsidRPr="001D1ECD">
        <w:tab/>
      </w:r>
      <w:r w:rsidR="005618DD">
        <w:rPr>
          <w:lang w:val="sr-Latn-RS"/>
        </w:rPr>
        <w:t>420.779</w:t>
      </w:r>
      <w:r w:rsidRPr="001D1ECD">
        <w:rPr>
          <w:lang w:val="sr-Latn-CS"/>
        </w:rPr>
        <w:t xml:space="preserve"> КМ</w:t>
      </w:r>
    </w:p>
    <w:p w14:paraId="70384F11" w14:textId="77777777" w:rsidR="00AC145A" w:rsidRPr="001D1ECD" w:rsidRDefault="00AC145A" w:rsidP="00AC145A">
      <w:pPr>
        <w:tabs>
          <w:tab w:val="right" w:leader="dot" w:pos="9214"/>
        </w:tabs>
        <w:ind w:left="-360" w:firstLine="720"/>
        <w:rPr>
          <w:lang w:val="sr-Latn-CS"/>
        </w:rPr>
      </w:pPr>
      <w:r w:rsidRPr="001D1ECD">
        <w:rPr>
          <w:lang w:val="sr-Latn-CS"/>
        </w:rPr>
        <w:t xml:space="preserve">- </w:t>
      </w:r>
      <w:proofErr w:type="spellStart"/>
      <w:r w:rsidRPr="001D1ECD">
        <w:rPr>
          <w:lang w:val="sr-Latn-CS"/>
        </w:rPr>
        <w:t>Обавезе</w:t>
      </w:r>
      <w:proofErr w:type="spellEnd"/>
      <w:r w:rsidRPr="001D1ECD">
        <w:rPr>
          <w:lang w:val="sr-Latn-CS"/>
        </w:rPr>
        <w:t xml:space="preserve"> </w:t>
      </w:r>
      <w:proofErr w:type="spellStart"/>
      <w:r w:rsidRPr="001D1ECD">
        <w:rPr>
          <w:lang w:val="sr-Latn-CS"/>
        </w:rPr>
        <w:t>према</w:t>
      </w:r>
      <w:proofErr w:type="spellEnd"/>
      <w:r w:rsidRPr="001D1ECD">
        <w:rPr>
          <w:lang w:val="sr-Latn-CS"/>
        </w:rPr>
        <w:t xml:space="preserve"> </w:t>
      </w:r>
      <w:proofErr w:type="spellStart"/>
      <w:r w:rsidRPr="001D1ECD">
        <w:rPr>
          <w:lang w:val="sr-Latn-CS"/>
        </w:rPr>
        <w:t>физичким</w:t>
      </w:r>
      <w:proofErr w:type="spellEnd"/>
      <w:r w:rsidRPr="001D1ECD">
        <w:rPr>
          <w:lang w:val="sr-Latn-CS"/>
        </w:rPr>
        <w:t xml:space="preserve"> </w:t>
      </w:r>
      <w:proofErr w:type="spellStart"/>
      <w:r w:rsidRPr="001D1ECD">
        <w:rPr>
          <w:lang w:val="sr-Latn-CS"/>
        </w:rPr>
        <w:t>лицима</w:t>
      </w:r>
      <w:proofErr w:type="spellEnd"/>
      <w:r w:rsidRPr="001D1ECD">
        <w:tab/>
      </w:r>
      <w:r w:rsidR="005618DD">
        <w:rPr>
          <w:lang w:val="sr-Latn-RS"/>
        </w:rPr>
        <w:t>19.199</w:t>
      </w:r>
      <w:r w:rsidRPr="001D1ECD">
        <w:rPr>
          <w:lang w:val="sr-Latn-CS"/>
        </w:rPr>
        <w:t xml:space="preserve"> КМ</w:t>
      </w:r>
    </w:p>
    <w:p w14:paraId="3B3E2408" w14:textId="77777777" w:rsidR="00AC145A" w:rsidRPr="001D1ECD" w:rsidRDefault="00AC145A" w:rsidP="00AC145A">
      <w:pPr>
        <w:tabs>
          <w:tab w:val="right" w:leader="dot" w:pos="9214"/>
        </w:tabs>
        <w:ind w:left="-360" w:firstLine="720"/>
        <w:rPr>
          <w:lang w:val="sr-Cyrl-RS"/>
        </w:rPr>
      </w:pPr>
      <w:r w:rsidRPr="001D1ECD">
        <w:rPr>
          <w:lang w:val="sr-Cyrl-RS"/>
        </w:rPr>
        <w:t xml:space="preserve">- Обавезе по судским </w:t>
      </w:r>
      <w:proofErr w:type="spellStart"/>
      <w:r w:rsidRPr="001D1ECD">
        <w:rPr>
          <w:lang w:val="sr-Cyrl-RS"/>
        </w:rPr>
        <w:t>рјешењима</w:t>
      </w:r>
      <w:proofErr w:type="spellEnd"/>
      <w:r w:rsidRPr="001D1ECD">
        <w:rPr>
          <w:lang w:val="sr-Cyrl-RS"/>
        </w:rPr>
        <w:tab/>
      </w:r>
      <w:r w:rsidR="005618DD">
        <w:rPr>
          <w:lang w:val="sr-Latn-RS"/>
        </w:rPr>
        <w:t>2.631</w:t>
      </w:r>
      <w:r w:rsidRPr="001D1ECD">
        <w:rPr>
          <w:lang w:val="sr-Cyrl-RS"/>
        </w:rPr>
        <w:t xml:space="preserve"> КМ</w:t>
      </w:r>
    </w:p>
    <w:p w14:paraId="59F90D43" w14:textId="77777777" w:rsidR="00AC145A" w:rsidRPr="001D1ECD" w:rsidRDefault="00AC145A" w:rsidP="00AC145A">
      <w:pPr>
        <w:tabs>
          <w:tab w:val="right" w:leader="dot" w:pos="9214"/>
        </w:tabs>
        <w:ind w:left="-360" w:firstLine="720"/>
        <w:rPr>
          <w:lang w:val="sr-Latn-CS"/>
        </w:rPr>
      </w:pPr>
      <w:r w:rsidRPr="001D1ECD">
        <w:rPr>
          <w:lang w:val="sr-Latn-CS"/>
        </w:rPr>
        <w:t xml:space="preserve">- </w:t>
      </w:r>
      <w:proofErr w:type="spellStart"/>
      <w:r w:rsidRPr="001D1ECD">
        <w:rPr>
          <w:lang w:val="sr-Latn-CS"/>
        </w:rPr>
        <w:t>Обавезе</w:t>
      </w:r>
      <w:proofErr w:type="spellEnd"/>
      <w:r w:rsidRPr="001D1ECD">
        <w:rPr>
          <w:lang w:val="sr-Latn-CS"/>
        </w:rPr>
        <w:t xml:space="preserve"> </w:t>
      </w:r>
      <w:proofErr w:type="spellStart"/>
      <w:r w:rsidRPr="001D1ECD">
        <w:rPr>
          <w:lang w:val="sr-Latn-CS"/>
        </w:rPr>
        <w:t>за</w:t>
      </w:r>
      <w:proofErr w:type="spellEnd"/>
      <w:r w:rsidRPr="001D1ECD">
        <w:rPr>
          <w:lang w:val="sr-Latn-CS"/>
        </w:rPr>
        <w:t xml:space="preserve"> </w:t>
      </w:r>
      <w:proofErr w:type="spellStart"/>
      <w:r w:rsidRPr="001D1ECD">
        <w:rPr>
          <w:lang w:val="sr-Latn-CS"/>
        </w:rPr>
        <w:t>порезе</w:t>
      </w:r>
      <w:proofErr w:type="spellEnd"/>
      <w:r w:rsidRPr="001D1ECD">
        <w:rPr>
          <w:lang w:val="sr-Latn-CS"/>
        </w:rPr>
        <w:t xml:space="preserve"> и </w:t>
      </w:r>
      <w:proofErr w:type="spellStart"/>
      <w:r w:rsidRPr="001D1ECD">
        <w:rPr>
          <w:lang w:val="sr-Latn-CS"/>
        </w:rPr>
        <w:t>доприносе</w:t>
      </w:r>
      <w:proofErr w:type="spellEnd"/>
      <w:r w:rsidRPr="001D1ECD">
        <w:t xml:space="preserve"> на терет послодавца</w:t>
      </w:r>
      <w:r w:rsidRPr="001D1ECD">
        <w:tab/>
      </w:r>
      <w:r w:rsidR="005618DD">
        <w:rPr>
          <w:lang w:val="sr-Latn-RS"/>
        </w:rPr>
        <w:t>20.039</w:t>
      </w:r>
      <w:r w:rsidRPr="001D1ECD">
        <w:rPr>
          <w:lang w:val="sr-Latn-CS"/>
        </w:rPr>
        <w:t xml:space="preserve"> КМ</w:t>
      </w:r>
    </w:p>
    <w:p w14:paraId="427EB2AF" w14:textId="77777777" w:rsidR="00AC145A" w:rsidRPr="001D1ECD" w:rsidRDefault="00AC145A" w:rsidP="00AC145A">
      <w:pPr>
        <w:tabs>
          <w:tab w:val="right" w:leader="dot" w:pos="9214"/>
        </w:tabs>
        <w:ind w:left="-360" w:firstLine="720"/>
        <w:rPr>
          <w:lang w:val="sr-Cyrl-RS"/>
        </w:rPr>
      </w:pPr>
      <w:r w:rsidRPr="001D1ECD">
        <w:rPr>
          <w:lang w:val="sr-Cyrl-RS"/>
        </w:rPr>
        <w:lastRenderedPageBreak/>
        <w:t xml:space="preserve">- Обавезе за примљене </w:t>
      </w:r>
      <w:r w:rsidR="000B669A">
        <w:rPr>
          <w:lang w:val="sr-Cyrl-RS"/>
        </w:rPr>
        <w:t>авансе</w:t>
      </w:r>
      <w:r w:rsidRPr="001D1ECD">
        <w:rPr>
          <w:lang w:val="sr-Cyrl-RS"/>
        </w:rPr>
        <w:tab/>
      </w:r>
      <w:r w:rsidR="000B669A">
        <w:rPr>
          <w:lang w:val="sr-Cyrl-RS"/>
        </w:rPr>
        <w:t>1.098.415</w:t>
      </w:r>
      <w:r w:rsidRPr="001D1ECD">
        <w:rPr>
          <w:lang w:val="sr-Cyrl-RS"/>
        </w:rPr>
        <w:t xml:space="preserve"> КМ</w:t>
      </w:r>
    </w:p>
    <w:p w14:paraId="1199BA45" w14:textId="77777777" w:rsidR="00AC145A" w:rsidRPr="001D1ECD" w:rsidRDefault="00AC145A" w:rsidP="00AC145A">
      <w:pPr>
        <w:tabs>
          <w:tab w:val="right" w:leader="dot" w:pos="9214"/>
        </w:tabs>
        <w:ind w:left="-360" w:firstLine="720"/>
        <w:rPr>
          <w:b/>
          <w:lang w:val="sr-Latn-CS"/>
        </w:rPr>
      </w:pPr>
      <w:r w:rsidRPr="001D1ECD">
        <w:rPr>
          <w:b/>
          <w:lang w:val="sr-Latn-CS"/>
        </w:rPr>
        <w:t xml:space="preserve">  У к у п н о:</w:t>
      </w:r>
      <w:r w:rsidRPr="001D1ECD">
        <w:rPr>
          <w:b/>
          <w:lang w:val="sr-Latn-CS"/>
        </w:rPr>
        <w:tab/>
        <w:t xml:space="preserve"> </w:t>
      </w:r>
      <w:r w:rsidR="000B669A">
        <w:rPr>
          <w:b/>
          <w:lang w:val="sr-Cyrl-RS"/>
        </w:rPr>
        <w:t>1.939.021</w:t>
      </w:r>
      <w:r w:rsidRPr="001D1ECD">
        <w:rPr>
          <w:b/>
          <w:lang w:val="sr-Latn-CS"/>
        </w:rPr>
        <w:t xml:space="preserve"> КМ  </w:t>
      </w:r>
    </w:p>
    <w:p w14:paraId="518BA29C" w14:textId="77777777" w:rsidR="00AC145A" w:rsidRPr="001D1ECD" w:rsidRDefault="00AC145A" w:rsidP="00AC145A">
      <w:pPr>
        <w:tabs>
          <w:tab w:val="right" w:leader="dot" w:pos="9072"/>
        </w:tabs>
        <w:ind w:right="-792"/>
        <w:rPr>
          <w:b/>
        </w:rPr>
      </w:pPr>
      <w:r w:rsidRPr="001D1ECD">
        <w:rPr>
          <w:b/>
        </w:rPr>
        <w:t xml:space="preserve">              </w:t>
      </w:r>
    </w:p>
    <w:p w14:paraId="74EA27B1" w14:textId="77777777" w:rsidR="00AC145A" w:rsidRPr="001D1ECD" w:rsidRDefault="00AC145A" w:rsidP="00AC145A">
      <w:pPr>
        <w:ind w:left="0" w:right="-792" w:firstLine="720"/>
      </w:pPr>
      <w:r w:rsidRPr="001D1ECD">
        <w:t xml:space="preserve">Од укупно исказаних обавеза из пословања на обавезе екстерних буџетских корисника односи се </w:t>
      </w:r>
      <w:r w:rsidR="000B669A">
        <w:rPr>
          <w:lang w:val="sr-Cyrl-RS"/>
        </w:rPr>
        <w:t>184.158</w:t>
      </w:r>
      <w:r w:rsidRPr="001D1ECD">
        <w:t xml:space="preserve"> КМ, од чега се на обавезе према добављачима за набавку роба и услуга у земљи односи </w:t>
      </w:r>
      <w:r w:rsidR="000B669A">
        <w:rPr>
          <w:lang w:val="sr-Cyrl-RS"/>
        </w:rPr>
        <w:t>145.731</w:t>
      </w:r>
      <w:r w:rsidRPr="001D1ECD">
        <w:t xml:space="preserve"> КМ, обавезе према добављачима за набавку сталне имовине у земљи </w:t>
      </w:r>
      <w:r w:rsidR="000B669A">
        <w:rPr>
          <w:lang w:val="sr-Cyrl-RS"/>
        </w:rPr>
        <w:t>21.692</w:t>
      </w:r>
      <w:r w:rsidRPr="001D1ECD">
        <w:t xml:space="preserve"> КМ, обавезе према физичким лицима </w:t>
      </w:r>
      <w:r w:rsidRPr="001D1ECD">
        <w:rPr>
          <w:lang w:val="sr-Latn-RS"/>
        </w:rPr>
        <w:t>1.</w:t>
      </w:r>
      <w:r w:rsidR="000B669A">
        <w:rPr>
          <w:lang w:val="sr-Cyrl-RS"/>
        </w:rPr>
        <w:t>183</w:t>
      </w:r>
      <w:r w:rsidRPr="001D1ECD">
        <w:t xml:space="preserve"> КМ</w:t>
      </w:r>
      <w:r w:rsidR="000B669A">
        <w:rPr>
          <w:lang w:val="sr-Cyrl-RS"/>
        </w:rPr>
        <w:t xml:space="preserve">, обавезе по судским </w:t>
      </w:r>
      <w:proofErr w:type="spellStart"/>
      <w:r w:rsidR="000B669A">
        <w:rPr>
          <w:lang w:val="sr-Cyrl-RS"/>
        </w:rPr>
        <w:t>рјешењима</w:t>
      </w:r>
      <w:proofErr w:type="spellEnd"/>
      <w:r w:rsidR="000B669A">
        <w:rPr>
          <w:lang w:val="sr-Cyrl-RS"/>
        </w:rPr>
        <w:t xml:space="preserve">       1.170 КМ</w:t>
      </w:r>
      <w:r w:rsidRPr="001D1ECD">
        <w:t xml:space="preserve"> и обавезе за порезе и доприносе на терет послодавца </w:t>
      </w:r>
      <w:r w:rsidR="000B669A">
        <w:rPr>
          <w:lang w:val="sr-Cyrl-RS"/>
        </w:rPr>
        <w:t>14.382</w:t>
      </w:r>
      <w:r w:rsidRPr="001D1ECD">
        <w:t xml:space="preserve"> КМ.</w:t>
      </w:r>
    </w:p>
    <w:p w14:paraId="56019627" w14:textId="77777777" w:rsidR="00AC145A" w:rsidRPr="001D1ECD" w:rsidRDefault="00AC145A" w:rsidP="00AC145A">
      <w:pPr>
        <w:tabs>
          <w:tab w:val="right" w:leader="dot" w:pos="9072"/>
        </w:tabs>
        <w:ind w:left="0" w:right="-792" w:firstLine="0"/>
        <w:rPr>
          <w:b/>
        </w:rPr>
      </w:pPr>
      <w:r w:rsidRPr="001D1ECD">
        <w:rPr>
          <w:b/>
        </w:rPr>
        <w:t xml:space="preserve">              </w:t>
      </w:r>
    </w:p>
    <w:p w14:paraId="15EA42E4" w14:textId="77777777" w:rsidR="00AC145A" w:rsidRPr="001D1ECD" w:rsidRDefault="00AC145A" w:rsidP="00AC145A">
      <w:pPr>
        <w:ind w:left="0" w:firstLine="0"/>
      </w:pPr>
      <w:r w:rsidRPr="001D1ECD">
        <w:t>АОП120, колона 4  К-БС</w:t>
      </w:r>
    </w:p>
    <w:p w14:paraId="5714EDCF" w14:textId="77777777" w:rsidR="00AC145A" w:rsidRDefault="00AC145A" w:rsidP="00AC145A">
      <w:pPr>
        <w:ind w:left="0" w:firstLine="0"/>
        <w:rPr>
          <w:lang w:val="sr-Cyrl-RS"/>
        </w:rPr>
      </w:pPr>
      <w:r w:rsidRPr="001D1ECD">
        <w:rPr>
          <w:b/>
          <w:i/>
        </w:rPr>
        <w:sym w:font="Wingdings" w:char="F077"/>
      </w:r>
      <w:r w:rsidRPr="001D1ECD">
        <w:rPr>
          <w:b/>
          <w:i/>
        </w:rPr>
        <w:t xml:space="preserve"> Обавезе за субвенције</w:t>
      </w:r>
      <w:r w:rsidRPr="001D1ECD">
        <w:rPr>
          <w:b/>
          <w:i/>
          <w:lang w:val="sr-Cyrl-RS"/>
        </w:rPr>
        <w:t>, грантове и дознаке на име социјалне заштите</w:t>
      </w:r>
      <w:r w:rsidRPr="001D1ECD">
        <w:rPr>
          <w:b/>
          <w:i/>
        </w:rPr>
        <w:t xml:space="preserve"> </w:t>
      </w:r>
      <w:r w:rsidRPr="001D1ECD">
        <w:t>износе</w:t>
      </w:r>
      <w:r w:rsidRPr="001D1ECD">
        <w:rPr>
          <w:lang w:val="sr-Cyrl-RS"/>
        </w:rPr>
        <w:t xml:space="preserve"> </w:t>
      </w:r>
      <w:r w:rsidR="0022169D">
        <w:rPr>
          <w:lang w:val="sr-Cyrl-RS"/>
        </w:rPr>
        <w:t>476.992</w:t>
      </w:r>
      <w:r w:rsidRPr="001D1ECD">
        <w:t xml:space="preserve"> КМ, а односе се на </w:t>
      </w:r>
      <w:r w:rsidRPr="001D1ECD">
        <w:rPr>
          <w:lang w:val="sr-Cyrl-RS"/>
        </w:rPr>
        <w:t xml:space="preserve">обавезе за субвенције износ од </w:t>
      </w:r>
      <w:r w:rsidR="0022169D">
        <w:rPr>
          <w:lang w:val="sr-Cyrl-RS"/>
        </w:rPr>
        <w:t>53.264</w:t>
      </w:r>
      <w:r w:rsidRPr="001D1ECD">
        <w:rPr>
          <w:lang w:val="sr-Cyrl-RS"/>
        </w:rPr>
        <w:t xml:space="preserve"> КМ, обавезе за грантове износ од </w:t>
      </w:r>
      <w:r w:rsidR="0022169D">
        <w:rPr>
          <w:lang w:val="sr-Cyrl-RS"/>
        </w:rPr>
        <w:t xml:space="preserve">      212.409</w:t>
      </w:r>
      <w:r w:rsidRPr="001D1ECD">
        <w:rPr>
          <w:lang w:val="sr-Cyrl-RS"/>
        </w:rPr>
        <w:t xml:space="preserve"> КМ и обавезе за дознаке на име социјалне заштите износ од </w:t>
      </w:r>
      <w:r w:rsidR="0022169D">
        <w:rPr>
          <w:lang w:val="sr-Cyrl-RS"/>
        </w:rPr>
        <w:t>211.319</w:t>
      </w:r>
      <w:r w:rsidRPr="001D1ECD">
        <w:rPr>
          <w:lang w:val="sr-Cyrl-RS"/>
        </w:rPr>
        <w:t xml:space="preserve"> КМ, које се односе на обавезе према корисницима права из социјалне заштит</w:t>
      </w:r>
      <w:r w:rsidR="0022169D">
        <w:rPr>
          <w:lang w:val="sr-Cyrl-RS"/>
        </w:rPr>
        <w:t xml:space="preserve">е за </w:t>
      </w:r>
      <w:proofErr w:type="spellStart"/>
      <w:r w:rsidR="0022169D">
        <w:rPr>
          <w:lang w:val="sr-Cyrl-RS"/>
        </w:rPr>
        <w:t>мјесец</w:t>
      </w:r>
      <w:proofErr w:type="spellEnd"/>
      <w:r w:rsidR="0022169D">
        <w:rPr>
          <w:lang w:val="sr-Cyrl-RS"/>
        </w:rPr>
        <w:t xml:space="preserve"> децембар 2020</w:t>
      </w:r>
      <w:r w:rsidRPr="001D1ECD">
        <w:rPr>
          <w:lang w:val="sr-Cyrl-RS"/>
        </w:rPr>
        <w:t xml:space="preserve">. године, које се исплаћују преко </w:t>
      </w:r>
      <w:r w:rsidRPr="001D1ECD">
        <w:t>Центра за социјални рад Прњавор у складу са Законом о социјалној заштити</w:t>
      </w:r>
      <w:r w:rsidRPr="001D1ECD">
        <w:rPr>
          <w:lang w:val="sr-Cyrl-RS"/>
        </w:rPr>
        <w:t>.</w:t>
      </w:r>
    </w:p>
    <w:p w14:paraId="58F3F4E4" w14:textId="77777777" w:rsidR="0022169D" w:rsidRDefault="0022169D" w:rsidP="00AC145A">
      <w:pPr>
        <w:ind w:left="0" w:firstLine="0"/>
        <w:rPr>
          <w:lang w:val="sr-Cyrl-RS"/>
        </w:rPr>
      </w:pPr>
    </w:p>
    <w:p w14:paraId="2206AEBD" w14:textId="77777777" w:rsidR="0022169D" w:rsidRPr="001D1ECD" w:rsidRDefault="0022169D" w:rsidP="0022169D">
      <w:pPr>
        <w:ind w:left="0" w:firstLine="0"/>
      </w:pPr>
      <w:r>
        <w:t>АОП125</w:t>
      </w:r>
      <w:r w:rsidRPr="001D1ECD">
        <w:t>, колона 4  К-БС</w:t>
      </w:r>
    </w:p>
    <w:p w14:paraId="756A4F51" w14:textId="77777777" w:rsidR="0022169D" w:rsidRPr="0022169D" w:rsidRDefault="0022169D" w:rsidP="00AC145A">
      <w:pPr>
        <w:ind w:left="0" w:firstLine="0"/>
        <w:rPr>
          <w:lang w:val="sr-Cyrl-RS"/>
        </w:rPr>
      </w:pPr>
      <w:r w:rsidRPr="001D1ECD">
        <w:rPr>
          <w:b/>
          <w:i/>
        </w:rPr>
        <w:sym w:font="Wingdings" w:char="F077"/>
      </w:r>
      <w:r w:rsidRPr="001D1ECD">
        <w:rPr>
          <w:b/>
          <w:i/>
        </w:rPr>
        <w:t xml:space="preserve"> </w:t>
      </w:r>
      <w:r>
        <w:rPr>
          <w:b/>
          <w:i/>
          <w:lang w:val="sr-Cyrl-RS"/>
        </w:rPr>
        <w:t xml:space="preserve">Краткорочна резервисања и разграничења </w:t>
      </w:r>
      <w:r w:rsidRPr="0022169D">
        <w:rPr>
          <w:lang w:val="sr-Cyrl-RS"/>
        </w:rPr>
        <w:t xml:space="preserve">износе </w:t>
      </w:r>
      <w:r>
        <w:rPr>
          <w:lang w:val="sr-Cyrl-RS"/>
        </w:rPr>
        <w:t xml:space="preserve">1.203.519 КМ, а односе се на краткорочна резервисања износ од 1.200.000 КМ и остала краткорочна разграничења у износу од 3.519 КМ. </w:t>
      </w:r>
      <w:r w:rsidR="003C6298">
        <w:rPr>
          <w:lang w:val="sr-Cyrl-RS"/>
        </w:rPr>
        <w:t xml:space="preserve">Резервисање по основу обавеза у износу од 1.200,000 КМ је извршено по основу пресуде Врховног суда РС број: 57 0 </w:t>
      </w:r>
      <w:proofErr w:type="spellStart"/>
      <w:r w:rsidR="003C6298">
        <w:rPr>
          <w:lang w:val="sr-Cyrl-RS"/>
        </w:rPr>
        <w:t>Пс</w:t>
      </w:r>
      <w:proofErr w:type="spellEnd"/>
      <w:r w:rsidR="003C6298">
        <w:rPr>
          <w:lang w:val="sr-Cyrl-RS"/>
        </w:rPr>
        <w:t xml:space="preserve"> 103254 20 по основу које је покренуто извршење и блокада свих рачуна општине Прњавор у </w:t>
      </w:r>
      <w:proofErr w:type="spellStart"/>
      <w:r w:rsidR="003C6298">
        <w:rPr>
          <w:lang w:val="sr-Cyrl-RS"/>
        </w:rPr>
        <w:t>мјесецу</w:t>
      </w:r>
      <w:proofErr w:type="spellEnd"/>
      <w:r w:rsidR="003C6298">
        <w:rPr>
          <w:lang w:val="sr-Cyrl-RS"/>
        </w:rPr>
        <w:t xml:space="preserve"> марту 2021. године. Након извршења судског </w:t>
      </w:r>
      <w:proofErr w:type="spellStart"/>
      <w:r w:rsidR="003C6298">
        <w:rPr>
          <w:lang w:val="sr-Cyrl-RS"/>
        </w:rPr>
        <w:t>рјешења</w:t>
      </w:r>
      <w:proofErr w:type="spellEnd"/>
      <w:r w:rsidR="003C6298">
        <w:rPr>
          <w:lang w:val="sr-Cyrl-RS"/>
        </w:rPr>
        <w:t xml:space="preserve"> и књижења стварних расхода по пресуди, извршиће се у</w:t>
      </w:r>
      <w:r w:rsidR="009C2C3A">
        <w:rPr>
          <w:lang w:val="sr-Cyrl-RS"/>
        </w:rPr>
        <w:t>кидање резервисања.</w:t>
      </w:r>
      <w:r w:rsidR="009C2C3A">
        <w:rPr>
          <w:lang w:val="sr-Latn-RS"/>
        </w:rPr>
        <w:t xml:space="preserve"> </w:t>
      </w:r>
      <w:r w:rsidR="003C6298">
        <w:rPr>
          <w:lang w:val="sr-Cyrl-RS"/>
        </w:rPr>
        <w:t>О</w:t>
      </w:r>
      <w:r>
        <w:rPr>
          <w:lang w:val="sr-Cyrl-RS"/>
        </w:rPr>
        <w:t xml:space="preserve">стала краткорочна разграничења односе </w:t>
      </w:r>
      <w:r w:rsidR="003C6298">
        <w:rPr>
          <w:lang w:val="sr-Cyrl-RS"/>
        </w:rPr>
        <w:t xml:space="preserve">се </w:t>
      </w:r>
      <w:r>
        <w:rPr>
          <w:lang w:val="sr-Cyrl-RS"/>
        </w:rPr>
        <w:t>на аванс који је уплаћен у 2020. години, а затворен је у 2021. години.</w:t>
      </w:r>
    </w:p>
    <w:p w14:paraId="0A71BB48" w14:textId="77777777" w:rsidR="00AC145A" w:rsidRPr="001D1ECD" w:rsidRDefault="00AC145A" w:rsidP="00AC145A">
      <w:pPr>
        <w:ind w:left="0" w:right="-792" w:firstLine="0"/>
      </w:pPr>
    </w:p>
    <w:p w14:paraId="482A7F84" w14:textId="77777777" w:rsidR="00AC145A" w:rsidRPr="001D1ECD" w:rsidRDefault="00AC145A" w:rsidP="00AC145A">
      <w:pPr>
        <w:ind w:left="0" w:firstLine="0"/>
      </w:pPr>
      <w:r w:rsidRPr="001D1ECD">
        <w:t>АОП130, колона 4  К-БС</w:t>
      </w:r>
    </w:p>
    <w:p w14:paraId="216AB3EF" w14:textId="77777777" w:rsidR="00AC145A" w:rsidRPr="001D1ECD" w:rsidRDefault="00AC145A" w:rsidP="00AC145A">
      <w:pPr>
        <w:ind w:left="0" w:firstLine="0"/>
      </w:pPr>
      <w:r w:rsidRPr="001D1ECD">
        <w:rPr>
          <w:b/>
          <w:i/>
        </w:rPr>
        <w:sym w:font="Wingdings" w:char="F077"/>
      </w:r>
      <w:r w:rsidRPr="001D1ECD">
        <w:t xml:space="preserve"> </w:t>
      </w:r>
      <w:r w:rsidRPr="001D1ECD">
        <w:rPr>
          <w:b/>
          <w:i/>
        </w:rPr>
        <w:t>Остале краткорочне обавезе</w:t>
      </w:r>
      <w:r w:rsidRPr="001D1ECD">
        <w:t xml:space="preserve"> износе </w:t>
      </w:r>
      <w:r w:rsidRPr="001D1ECD">
        <w:rPr>
          <w:lang w:val="sr-Latn-RS"/>
        </w:rPr>
        <w:t>25.</w:t>
      </w:r>
      <w:r w:rsidR="00D92FA8">
        <w:rPr>
          <w:lang w:val="sr-Cyrl-RS"/>
        </w:rPr>
        <w:t>351</w:t>
      </w:r>
      <w:r w:rsidRPr="001D1ECD">
        <w:t xml:space="preserve"> КМ, </w:t>
      </w:r>
      <w:r w:rsidRPr="001D1ECD">
        <w:rPr>
          <w:lang w:val="sr-Cyrl-BA"/>
        </w:rPr>
        <w:t>и</w:t>
      </w:r>
      <w:r w:rsidRPr="001D1ECD">
        <w:t xml:space="preserve"> односе се на </w:t>
      </w:r>
      <w:r w:rsidRPr="001D1ECD">
        <w:rPr>
          <w:lang w:val="sr-Cyrl-RS"/>
        </w:rPr>
        <w:t xml:space="preserve">обавезе </w:t>
      </w:r>
      <w:r w:rsidRPr="001D1ECD">
        <w:t xml:space="preserve">по основу </w:t>
      </w:r>
      <w:r w:rsidRPr="001D1ECD">
        <w:rPr>
          <w:lang w:val="sr-Cyrl-RS"/>
        </w:rPr>
        <w:t xml:space="preserve">неутрошених </w:t>
      </w:r>
      <w:r w:rsidRPr="001D1ECD">
        <w:rPr>
          <w:iCs/>
        </w:rPr>
        <w:t>средстава</w:t>
      </w:r>
      <w:r w:rsidRPr="001D1ECD">
        <w:rPr>
          <w:iCs/>
          <w:lang w:val="sr-Cyrl-RS"/>
        </w:rPr>
        <w:t xml:space="preserve"> </w:t>
      </w:r>
      <w:proofErr w:type="spellStart"/>
      <w:r w:rsidRPr="001D1ECD">
        <w:rPr>
          <w:iCs/>
          <w:lang w:val="sr-Cyrl-RS"/>
        </w:rPr>
        <w:t>дозначених</w:t>
      </w:r>
      <w:proofErr w:type="spellEnd"/>
      <w:r w:rsidRPr="001D1ECD">
        <w:rPr>
          <w:iCs/>
          <w:lang w:val="sr-Cyrl-RS"/>
        </w:rPr>
        <w:t xml:space="preserve"> од ЦИК БиХ за одржавање Општих избора у 2018. години износ од 863 КМ и обавезе по основу средстава</w:t>
      </w:r>
      <w:r w:rsidRPr="001D1ECD">
        <w:rPr>
          <w:iCs/>
        </w:rPr>
        <w:t xml:space="preserve"> </w:t>
      </w:r>
      <w:proofErr w:type="spellStart"/>
      <w:r w:rsidRPr="001D1ECD">
        <w:rPr>
          <w:iCs/>
        </w:rPr>
        <w:t>мјесних</w:t>
      </w:r>
      <w:proofErr w:type="spellEnd"/>
      <w:r w:rsidRPr="001D1ECD">
        <w:rPr>
          <w:iCs/>
        </w:rPr>
        <w:t xml:space="preserve"> заједница пренесених на рачун посебних </w:t>
      </w:r>
      <w:proofErr w:type="spellStart"/>
      <w:r w:rsidRPr="001D1ECD">
        <w:rPr>
          <w:iCs/>
        </w:rPr>
        <w:t>намјена</w:t>
      </w:r>
      <w:proofErr w:type="spellEnd"/>
      <w:r w:rsidRPr="001D1ECD">
        <w:rPr>
          <w:iCs/>
          <w:lang w:val="sr-Cyrl-RS"/>
        </w:rPr>
        <w:t xml:space="preserve"> општине Прњавор у 2013. години када су угашени рачуни </w:t>
      </w:r>
      <w:proofErr w:type="spellStart"/>
      <w:r w:rsidRPr="001D1ECD">
        <w:rPr>
          <w:iCs/>
          <w:lang w:val="sr-Cyrl-RS"/>
        </w:rPr>
        <w:t>мјесних</w:t>
      </w:r>
      <w:proofErr w:type="spellEnd"/>
      <w:r w:rsidRPr="001D1ECD">
        <w:rPr>
          <w:iCs/>
          <w:lang w:val="sr-Cyrl-RS"/>
        </w:rPr>
        <w:t xml:space="preserve"> заједница износ од 24.</w:t>
      </w:r>
      <w:r w:rsidR="00D92FA8">
        <w:rPr>
          <w:iCs/>
          <w:lang w:val="sr-Cyrl-RS"/>
        </w:rPr>
        <w:t>488</w:t>
      </w:r>
      <w:r w:rsidRPr="001D1ECD">
        <w:rPr>
          <w:iCs/>
          <w:lang w:val="sr-Cyrl-RS"/>
        </w:rPr>
        <w:t xml:space="preserve"> КМ.</w:t>
      </w:r>
    </w:p>
    <w:p w14:paraId="1585AE85" w14:textId="77777777" w:rsidR="00AC145A" w:rsidRPr="001D1ECD" w:rsidRDefault="00AC145A" w:rsidP="00AC145A">
      <w:pPr>
        <w:ind w:left="0" w:firstLine="0"/>
      </w:pPr>
    </w:p>
    <w:p w14:paraId="4484DDDD" w14:textId="77777777" w:rsidR="00AC145A" w:rsidRPr="001D1ECD" w:rsidRDefault="00AC145A" w:rsidP="00AC145A">
      <w:pPr>
        <w:ind w:left="0" w:firstLine="0"/>
        <w:rPr>
          <w:lang w:val="sr-Cyrl-RS"/>
        </w:rPr>
      </w:pPr>
      <w:r w:rsidRPr="001D1ECD">
        <w:rPr>
          <w:lang w:val="sr-Cyrl-RS"/>
        </w:rPr>
        <w:t>АОП132, колона 4 К-БС</w:t>
      </w:r>
    </w:p>
    <w:p w14:paraId="38402DF1" w14:textId="77777777" w:rsidR="00AC145A" w:rsidRPr="001D1ECD" w:rsidRDefault="00AC145A" w:rsidP="00AC145A">
      <w:pPr>
        <w:ind w:left="0" w:firstLine="0"/>
        <w:rPr>
          <w:lang w:val="sr-Cyrl-RS"/>
        </w:rPr>
      </w:pPr>
      <w:r w:rsidRPr="001D1ECD">
        <w:rPr>
          <w:b/>
          <w:i/>
        </w:rPr>
        <w:sym w:font="Wingdings" w:char="F077"/>
      </w:r>
      <w:r w:rsidRPr="001D1ECD">
        <w:t xml:space="preserve"> </w:t>
      </w:r>
      <w:r w:rsidRPr="001D1ECD">
        <w:rPr>
          <w:b/>
          <w:i/>
          <w:lang w:val="sr-Cyrl-RS"/>
        </w:rPr>
        <w:t xml:space="preserve">Краткорочне обавезе и разграничења из трансакција између или унутар јединица власти </w:t>
      </w:r>
      <w:r w:rsidRPr="001D1ECD">
        <w:rPr>
          <w:lang w:val="sr-Cyrl-RS"/>
        </w:rPr>
        <w:t xml:space="preserve">износе </w:t>
      </w:r>
      <w:r w:rsidR="00567B40">
        <w:rPr>
          <w:lang w:val="sr-Cyrl-RS"/>
        </w:rPr>
        <w:t>187.379</w:t>
      </w:r>
      <w:r w:rsidRPr="001D1ECD">
        <w:rPr>
          <w:lang w:val="sr-Cyrl-RS"/>
        </w:rPr>
        <w:t xml:space="preserve"> КМ, а односе се на обавезе према Буџету РС за главницу дуга по кредиту Владе Краљевине Шпаније која </w:t>
      </w:r>
      <w:proofErr w:type="spellStart"/>
      <w:r w:rsidRPr="001D1ECD">
        <w:rPr>
          <w:lang w:val="sr-Cyrl-RS"/>
        </w:rPr>
        <w:t>доспијева</w:t>
      </w:r>
      <w:proofErr w:type="spellEnd"/>
      <w:r w:rsidRPr="001D1ECD">
        <w:rPr>
          <w:lang w:val="sr-Cyrl-RS"/>
        </w:rPr>
        <w:t xml:space="preserve"> на наплату у року од годину дана</w:t>
      </w:r>
      <w:r w:rsidRPr="001D1ECD">
        <w:rPr>
          <w:lang w:val="sr-Cyrl-RS"/>
        </w:rPr>
        <w:tab/>
        <w:t xml:space="preserve">износ од 176.725 КМ, обавезе према другим јединицама власти по основу записника Пореске управе о обрачуну и поравнању више или погрешно </w:t>
      </w:r>
      <w:proofErr w:type="spellStart"/>
      <w:r w:rsidRPr="001D1ECD">
        <w:rPr>
          <w:lang w:val="sr-Cyrl-RS"/>
        </w:rPr>
        <w:t>уплаћених</w:t>
      </w:r>
      <w:proofErr w:type="spellEnd"/>
      <w:r w:rsidRPr="001D1ECD">
        <w:rPr>
          <w:lang w:val="sr-Cyrl-RS"/>
        </w:rPr>
        <w:t xml:space="preserve"> јавних прихода износ од 5.</w:t>
      </w:r>
      <w:r w:rsidR="00567B40">
        <w:rPr>
          <w:lang w:val="sr-Cyrl-RS"/>
        </w:rPr>
        <w:t xml:space="preserve">341 КМ </w:t>
      </w:r>
      <w:r w:rsidRPr="001D1ECD">
        <w:rPr>
          <w:lang w:val="sr-Cyrl-RS"/>
        </w:rPr>
        <w:t xml:space="preserve">и краткорочна разграничења – Центар за социјални рад износ од </w:t>
      </w:r>
      <w:r w:rsidR="00567B40">
        <w:rPr>
          <w:lang w:val="sr-Cyrl-RS"/>
        </w:rPr>
        <w:t>5.313</w:t>
      </w:r>
      <w:r w:rsidRPr="001D1ECD">
        <w:rPr>
          <w:lang w:val="sr-Cyrl-RS"/>
        </w:rPr>
        <w:t xml:space="preserve"> КМ.</w:t>
      </w:r>
    </w:p>
    <w:p w14:paraId="112F5B68" w14:textId="77777777" w:rsidR="00AC145A" w:rsidRPr="001D1ECD" w:rsidRDefault="00AC145A" w:rsidP="00AC145A">
      <w:pPr>
        <w:ind w:left="0" w:firstLine="0"/>
      </w:pPr>
    </w:p>
    <w:p w14:paraId="60D26AFD" w14:textId="77777777" w:rsidR="00AC145A" w:rsidRPr="001D1ECD" w:rsidRDefault="00AC145A" w:rsidP="00AC145A">
      <w:pPr>
        <w:ind w:left="0" w:firstLine="0"/>
      </w:pPr>
      <w:r w:rsidRPr="001D1ECD">
        <w:t>АОП136, колона 4  К-БС</w:t>
      </w:r>
    </w:p>
    <w:p w14:paraId="035F4D52" w14:textId="77777777" w:rsidR="00AC145A" w:rsidRPr="001D1ECD" w:rsidRDefault="00AC145A" w:rsidP="00AC145A">
      <w:pPr>
        <w:ind w:left="0" w:firstLine="0"/>
      </w:pPr>
      <w:r w:rsidRPr="001D1ECD">
        <w:rPr>
          <w:b/>
          <w:i/>
        </w:rPr>
        <w:sym w:font="Wingdings" w:char="F077"/>
      </w:r>
      <w:r w:rsidRPr="001D1ECD">
        <w:t xml:space="preserve"> </w:t>
      </w:r>
      <w:r w:rsidRPr="001D1ECD">
        <w:rPr>
          <w:b/>
          <w:i/>
        </w:rPr>
        <w:t>Дугорочне финансијске обавезе</w:t>
      </w:r>
      <w:r w:rsidRPr="001D1ECD">
        <w:t xml:space="preserve"> износе </w:t>
      </w:r>
      <w:r w:rsidR="001B5A21">
        <w:rPr>
          <w:lang w:val="sr-Latn-RS"/>
        </w:rPr>
        <w:t>3.950.682</w:t>
      </w:r>
      <w:r w:rsidRPr="001D1ECD">
        <w:t xml:space="preserve"> КМ и односе се на</w:t>
      </w:r>
      <w:r w:rsidRPr="001D1ECD">
        <w:rPr>
          <w:lang w:val="sr-Cyrl-RS"/>
        </w:rPr>
        <w:t xml:space="preserve"> </w:t>
      </w:r>
      <w:proofErr w:type="spellStart"/>
      <w:r w:rsidRPr="001D1ECD">
        <w:rPr>
          <w:lang w:val="sr-Cyrl-RS"/>
        </w:rPr>
        <w:t>дио</w:t>
      </w:r>
      <w:proofErr w:type="spellEnd"/>
      <w:r w:rsidRPr="001D1ECD">
        <w:rPr>
          <w:lang w:val="sr-Cyrl-RS"/>
        </w:rPr>
        <w:t xml:space="preserve"> главнице дуга по дугорочном кредиту од 7 </w:t>
      </w:r>
      <w:proofErr w:type="spellStart"/>
      <w:r w:rsidRPr="001D1ECD">
        <w:rPr>
          <w:lang w:val="sr-Cyrl-RS"/>
        </w:rPr>
        <w:t>мил</w:t>
      </w:r>
      <w:proofErr w:type="spellEnd"/>
      <w:r w:rsidRPr="001D1ECD">
        <w:rPr>
          <w:lang w:val="sr-Cyrl-RS"/>
        </w:rPr>
        <w:t xml:space="preserve">. КМ који </w:t>
      </w:r>
      <w:proofErr w:type="spellStart"/>
      <w:r w:rsidRPr="001D1ECD">
        <w:rPr>
          <w:lang w:val="sr-Cyrl-RS"/>
        </w:rPr>
        <w:t>доспијева</w:t>
      </w:r>
      <w:proofErr w:type="spellEnd"/>
      <w:r w:rsidRPr="001D1ECD">
        <w:rPr>
          <w:lang w:val="sr-Cyrl-RS"/>
        </w:rPr>
        <w:t xml:space="preserve"> на наплату у року дужем од годину дана</w:t>
      </w:r>
      <w:r w:rsidRPr="001D1ECD">
        <w:t>.</w:t>
      </w:r>
    </w:p>
    <w:p w14:paraId="7A25FB5B" w14:textId="77777777" w:rsidR="00C41EC6" w:rsidRPr="001D1ECD" w:rsidRDefault="00C41EC6" w:rsidP="00AC145A">
      <w:pPr>
        <w:ind w:left="-360" w:right="99" w:firstLine="360"/>
      </w:pPr>
    </w:p>
    <w:p w14:paraId="1E28D795" w14:textId="77777777" w:rsidR="00AC145A" w:rsidRPr="001D1ECD" w:rsidRDefault="00AC145A" w:rsidP="00AC145A">
      <w:pPr>
        <w:ind w:left="-360" w:right="99" w:firstLine="360"/>
        <w:rPr>
          <w:lang w:val="sr-Cyrl-RS"/>
        </w:rPr>
      </w:pPr>
      <w:r w:rsidRPr="001D1ECD">
        <w:rPr>
          <w:lang w:val="sr-Cyrl-RS"/>
        </w:rPr>
        <w:t>АОП144, колона 4 К-БС</w:t>
      </w:r>
    </w:p>
    <w:p w14:paraId="1FE33CFB" w14:textId="77777777" w:rsidR="00AC145A" w:rsidRPr="001D1ECD" w:rsidRDefault="00AC145A" w:rsidP="00AC145A">
      <w:pPr>
        <w:ind w:left="0" w:firstLine="0"/>
        <w:rPr>
          <w:lang w:val="sr-Cyrl-RS"/>
        </w:rPr>
      </w:pPr>
      <w:r w:rsidRPr="001D1ECD">
        <w:rPr>
          <w:b/>
          <w:i/>
        </w:rPr>
        <w:sym w:font="Wingdings" w:char="F077"/>
      </w:r>
      <w:r w:rsidRPr="001D1ECD">
        <w:rPr>
          <w:b/>
          <w:i/>
        </w:rPr>
        <w:t xml:space="preserve"> Дугорочне</w:t>
      </w:r>
      <w:r w:rsidRPr="001D1ECD">
        <w:rPr>
          <w:b/>
          <w:i/>
          <w:lang w:val="sr-Cyrl-RS"/>
        </w:rPr>
        <w:t xml:space="preserve"> обавезе и разграничења из трансакција између или унутар јединица власти </w:t>
      </w:r>
      <w:r w:rsidRPr="001D1ECD">
        <w:rPr>
          <w:lang w:val="sr-Cyrl-RS"/>
        </w:rPr>
        <w:t>износе 3.</w:t>
      </w:r>
      <w:r w:rsidR="001B5A21">
        <w:rPr>
          <w:lang w:val="sr-Latn-RS"/>
        </w:rPr>
        <w:t>181.047</w:t>
      </w:r>
      <w:r w:rsidRPr="001D1ECD">
        <w:rPr>
          <w:lang w:val="sr-Cyrl-RS"/>
        </w:rPr>
        <w:t xml:space="preserve"> КМ, а односе се на обавезу према Буџету РС по основу </w:t>
      </w:r>
      <w:proofErr w:type="spellStart"/>
      <w:r w:rsidRPr="001D1ECD">
        <w:rPr>
          <w:lang w:val="sr-Cyrl-RS"/>
        </w:rPr>
        <w:t>дијела</w:t>
      </w:r>
      <w:proofErr w:type="spellEnd"/>
      <w:r w:rsidRPr="001D1ECD">
        <w:rPr>
          <w:lang w:val="sr-Cyrl-RS"/>
        </w:rPr>
        <w:t xml:space="preserve"> главнице дуга по кредиту Владе Краљевине Шпаније који </w:t>
      </w:r>
      <w:proofErr w:type="spellStart"/>
      <w:r w:rsidRPr="001D1ECD">
        <w:rPr>
          <w:lang w:val="sr-Cyrl-RS"/>
        </w:rPr>
        <w:t>доспијева</w:t>
      </w:r>
      <w:proofErr w:type="spellEnd"/>
      <w:r w:rsidRPr="001D1ECD">
        <w:rPr>
          <w:lang w:val="sr-Cyrl-RS"/>
        </w:rPr>
        <w:t xml:space="preserve"> у року дужем од годину дана. </w:t>
      </w:r>
    </w:p>
    <w:p w14:paraId="6BA73875" w14:textId="77777777" w:rsidR="00AC145A" w:rsidRPr="001D1ECD" w:rsidRDefault="00AC145A" w:rsidP="00AC145A">
      <w:pPr>
        <w:ind w:left="0" w:firstLine="0"/>
      </w:pPr>
    </w:p>
    <w:p w14:paraId="092DC117" w14:textId="77777777" w:rsidR="00AC145A" w:rsidRPr="001D1ECD" w:rsidRDefault="00AC145A" w:rsidP="00AC145A">
      <w:pPr>
        <w:ind w:left="0" w:firstLine="0"/>
      </w:pPr>
      <w:r w:rsidRPr="001D1ECD">
        <w:lastRenderedPageBreak/>
        <w:t>АОП150, колона 4  К-БС</w:t>
      </w:r>
    </w:p>
    <w:p w14:paraId="3B554814" w14:textId="77777777" w:rsidR="00AC145A" w:rsidRPr="001D1ECD" w:rsidRDefault="00AC145A" w:rsidP="00AC145A">
      <w:pPr>
        <w:ind w:left="0" w:firstLine="0"/>
      </w:pPr>
      <w:r w:rsidRPr="001D1ECD">
        <w:rPr>
          <w:b/>
          <w:i/>
        </w:rPr>
        <w:sym w:font="Wingdings" w:char="F077"/>
      </w:r>
      <w:r w:rsidRPr="001D1ECD">
        <w:t xml:space="preserve">  </w:t>
      </w:r>
      <w:r w:rsidRPr="001D1ECD">
        <w:rPr>
          <w:b/>
          <w:i/>
        </w:rPr>
        <w:t>Трајни извори средстава</w:t>
      </w:r>
      <w:r w:rsidRPr="001D1ECD">
        <w:t xml:space="preserve"> износе </w:t>
      </w:r>
      <w:r w:rsidR="001B5A21">
        <w:rPr>
          <w:lang w:val="sr-Latn-RS"/>
        </w:rPr>
        <w:t>18.696.499</w:t>
      </w:r>
      <w:r w:rsidRPr="001D1ECD">
        <w:t xml:space="preserve"> КМ, од чега се на изворе екстерних корисника односи 122.602 КМ. Тр</w:t>
      </w:r>
      <w:r w:rsidR="001B5A21">
        <w:t>ајни извори су (у односу на 2019</w:t>
      </w:r>
      <w:r w:rsidRPr="001D1ECD">
        <w:t xml:space="preserve">. годину) </w:t>
      </w:r>
      <w:r w:rsidR="001B5A21">
        <w:rPr>
          <w:lang w:val="sr-Cyrl-RS"/>
        </w:rPr>
        <w:t>увећани</w:t>
      </w:r>
      <w:r w:rsidRPr="001D1ECD">
        <w:t xml:space="preserve"> за </w:t>
      </w:r>
      <w:r w:rsidR="001B5A21">
        <w:rPr>
          <w:lang w:val="sr-Cyrl-RS"/>
        </w:rPr>
        <w:t>2.952.562</w:t>
      </w:r>
      <w:r w:rsidRPr="001D1ECD">
        <w:t xml:space="preserve"> КМ, </w:t>
      </w:r>
      <w:r w:rsidRPr="001D1ECD">
        <w:rPr>
          <w:lang w:val="sr-Cyrl-RS"/>
        </w:rPr>
        <w:t xml:space="preserve">а </w:t>
      </w:r>
      <w:r w:rsidR="001B5A21">
        <w:rPr>
          <w:lang w:val="sr-Cyrl-RS"/>
        </w:rPr>
        <w:t>увећање</w:t>
      </w:r>
      <w:r w:rsidRPr="001D1ECD">
        <w:rPr>
          <w:lang w:val="sr-Cyrl-RS"/>
        </w:rPr>
        <w:t xml:space="preserve"> трајних извора средстава произилази из</w:t>
      </w:r>
      <w:r w:rsidRPr="001D1ECD">
        <w:t xml:space="preserve"> </w:t>
      </w:r>
      <w:r w:rsidR="001B5A21">
        <w:rPr>
          <w:lang w:val="sr-Cyrl-RS"/>
        </w:rPr>
        <w:t>увећања</w:t>
      </w:r>
      <w:r w:rsidRPr="001D1ECD">
        <w:t xml:space="preserve"> капитала јавних предузећа (са АОП049 КБС).</w:t>
      </w:r>
    </w:p>
    <w:p w14:paraId="51BAEDFF" w14:textId="77777777" w:rsidR="00AC145A" w:rsidRDefault="00AC145A" w:rsidP="00AC145A">
      <w:pPr>
        <w:ind w:left="0" w:firstLine="0"/>
      </w:pPr>
    </w:p>
    <w:p w14:paraId="0B493B76" w14:textId="77777777" w:rsidR="001B5A21" w:rsidRDefault="001B5A21" w:rsidP="00AC145A">
      <w:pPr>
        <w:ind w:left="0" w:firstLine="0"/>
      </w:pPr>
      <w:r>
        <w:rPr>
          <w:lang w:val="sr-Cyrl-RS"/>
        </w:rPr>
        <w:t>АОП152,</w:t>
      </w:r>
      <w:r w:rsidRPr="001B5A21">
        <w:t xml:space="preserve"> </w:t>
      </w:r>
      <w:r w:rsidRPr="001D1ECD">
        <w:t>колона 4  К-БС</w:t>
      </w:r>
    </w:p>
    <w:p w14:paraId="137ADFF5" w14:textId="77777777" w:rsidR="001B5A21" w:rsidRPr="001B5A21" w:rsidRDefault="001B5A21" w:rsidP="00AC145A">
      <w:pPr>
        <w:ind w:left="0" w:firstLine="0"/>
        <w:rPr>
          <w:lang w:val="sr-Cyrl-RS"/>
        </w:rPr>
      </w:pPr>
      <w:r w:rsidRPr="001D1ECD">
        <w:rPr>
          <w:b/>
          <w:i/>
        </w:rPr>
        <w:sym w:font="Wingdings" w:char="F077"/>
      </w:r>
      <w:r w:rsidRPr="001D1ECD">
        <w:t xml:space="preserve">  </w:t>
      </w:r>
      <w:r>
        <w:rPr>
          <w:b/>
          <w:i/>
          <w:lang w:val="sr-Cyrl-RS"/>
        </w:rPr>
        <w:t xml:space="preserve">Резерве </w:t>
      </w:r>
      <w:r>
        <w:rPr>
          <w:lang w:val="sr-Cyrl-RS"/>
        </w:rPr>
        <w:t xml:space="preserve">износе 37.432 КМ, а односе се на резерве настале по основу ревалоризације </w:t>
      </w:r>
      <w:proofErr w:type="spellStart"/>
      <w:r>
        <w:rPr>
          <w:lang w:val="sr-Cyrl-RS"/>
        </w:rPr>
        <w:t>нефинансијске</w:t>
      </w:r>
      <w:proofErr w:type="spellEnd"/>
      <w:r>
        <w:rPr>
          <w:lang w:val="sr-Cyrl-RS"/>
        </w:rPr>
        <w:t xml:space="preserve"> имовине.</w:t>
      </w:r>
    </w:p>
    <w:p w14:paraId="6BEE756B" w14:textId="77777777" w:rsidR="001B5A21" w:rsidRPr="001D1ECD" w:rsidRDefault="001B5A21" w:rsidP="00AC145A">
      <w:pPr>
        <w:ind w:left="0" w:firstLine="0"/>
      </w:pPr>
    </w:p>
    <w:p w14:paraId="361B8BA6" w14:textId="77777777" w:rsidR="00AC145A" w:rsidRPr="001D1ECD" w:rsidRDefault="00AC145A" w:rsidP="00AC145A">
      <w:pPr>
        <w:tabs>
          <w:tab w:val="right" w:leader="dot" w:pos="9360"/>
        </w:tabs>
        <w:ind w:right="-990"/>
      </w:pPr>
      <w:r w:rsidRPr="001D1ECD">
        <w:t>АОП156, колона 4  К-БС</w:t>
      </w:r>
    </w:p>
    <w:p w14:paraId="59C929DB" w14:textId="77777777" w:rsidR="00AC145A" w:rsidRPr="009D1770" w:rsidRDefault="00AC145A" w:rsidP="009D1770">
      <w:pPr>
        <w:ind w:left="0" w:firstLine="0"/>
        <w:rPr>
          <w:lang w:val="sr-Latn-RS"/>
        </w:rPr>
      </w:pPr>
      <w:r w:rsidRPr="001D1ECD">
        <w:rPr>
          <w:b/>
          <w:i/>
        </w:rPr>
        <w:sym w:font="Wingdings" w:char="F077"/>
      </w:r>
      <w:r w:rsidRPr="001D1ECD">
        <w:t xml:space="preserve"> </w:t>
      </w:r>
      <w:r w:rsidRPr="001D1ECD">
        <w:rPr>
          <w:b/>
          <w:i/>
        </w:rPr>
        <w:t xml:space="preserve">Финансијски резултат ранијих година </w:t>
      </w:r>
      <w:r w:rsidRPr="001D1ECD">
        <w:t xml:space="preserve">износи </w:t>
      </w:r>
      <w:r w:rsidR="001B5A21">
        <w:rPr>
          <w:lang w:val="sr-Cyrl-RS"/>
        </w:rPr>
        <w:t>71.441.611</w:t>
      </w:r>
      <w:r w:rsidRPr="001D1ECD">
        <w:t xml:space="preserve"> КМ (АОП156, колона 4), и у односу на финанс</w:t>
      </w:r>
      <w:r w:rsidR="001B5A21">
        <w:t>ијски резултат на дан 31.12.2019</w:t>
      </w:r>
      <w:r w:rsidRPr="001D1ECD">
        <w:t xml:space="preserve">. године, који је износио </w:t>
      </w:r>
      <w:r w:rsidR="001B5A21">
        <w:rPr>
          <w:lang w:val="sr-Cyrl-RS"/>
        </w:rPr>
        <w:t>70.658.132</w:t>
      </w:r>
      <w:r w:rsidRPr="001D1ECD">
        <w:t xml:space="preserve"> КМ (АОП156 колона 5), </w:t>
      </w:r>
      <w:r w:rsidRPr="001D1ECD">
        <w:rPr>
          <w:lang w:val="sr-Cyrl-RS"/>
        </w:rPr>
        <w:t>увећан</w:t>
      </w:r>
      <w:r w:rsidRPr="001D1ECD">
        <w:t xml:space="preserve"> је за </w:t>
      </w:r>
      <w:r w:rsidR="001B5A21">
        <w:rPr>
          <w:lang w:val="sr-Cyrl-RS"/>
        </w:rPr>
        <w:t>783.479</w:t>
      </w:r>
      <w:r w:rsidRPr="001D1ECD">
        <w:t xml:space="preserve"> КМ, од чега се</w:t>
      </w:r>
      <w:r w:rsidR="009D1770">
        <w:rPr>
          <w:lang w:val="sr-Latn-RS"/>
        </w:rPr>
        <w:t xml:space="preserve"> </w:t>
      </w:r>
      <w:r w:rsidRPr="009D1770">
        <w:rPr>
          <w:lang w:val="sr-Cyrl-RS"/>
        </w:rPr>
        <w:t xml:space="preserve">износ од </w:t>
      </w:r>
      <w:r w:rsidR="002520C7" w:rsidRPr="009D1770">
        <w:rPr>
          <w:lang w:val="sr-Cyrl-RS"/>
        </w:rPr>
        <w:t>786.179</w:t>
      </w:r>
      <w:r w:rsidRPr="009D1770">
        <w:rPr>
          <w:lang w:val="sr-Cyrl-RS"/>
        </w:rPr>
        <w:t xml:space="preserve"> КМ о</w:t>
      </w:r>
      <w:r w:rsidR="002520C7" w:rsidRPr="009D1770">
        <w:rPr>
          <w:lang w:val="sr-Cyrl-RS"/>
        </w:rPr>
        <w:t>дноси на позитиван резултат 2019</w:t>
      </w:r>
      <w:r w:rsidRPr="009D1770">
        <w:rPr>
          <w:lang w:val="sr-Cyrl-RS"/>
        </w:rPr>
        <w:t>. године (АОП 157, колона 5 К-</w:t>
      </w:r>
      <w:r w:rsidR="002520C7" w:rsidRPr="009D1770">
        <w:rPr>
          <w:lang w:val="sr-Cyrl-RS"/>
        </w:rPr>
        <w:t>БС) који је у 2020</w:t>
      </w:r>
      <w:r w:rsidRPr="009D1770">
        <w:rPr>
          <w:lang w:val="sr-Cyrl-RS"/>
        </w:rPr>
        <w:t>. години увећао резултат претходних година и</w:t>
      </w:r>
      <w:r w:rsidR="009D1770">
        <w:rPr>
          <w:lang w:val="sr-Cyrl-RS"/>
        </w:rPr>
        <w:t xml:space="preserve"> умањен за износ од -2700 КМ који се односи на износе јавних прихода који су наплаћени ранијих година а </w:t>
      </w:r>
      <w:proofErr w:type="spellStart"/>
      <w:r w:rsidR="009D1770">
        <w:rPr>
          <w:lang w:val="sr-Cyrl-RS"/>
        </w:rPr>
        <w:t>поврат</w:t>
      </w:r>
      <w:proofErr w:type="spellEnd"/>
      <w:r w:rsidR="009D1770">
        <w:rPr>
          <w:lang w:val="sr-Cyrl-RS"/>
        </w:rPr>
        <w:t xml:space="preserve"> истих извршен у току 2020. године на основу </w:t>
      </w:r>
      <w:proofErr w:type="spellStart"/>
      <w:r w:rsidR="009D1770">
        <w:rPr>
          <w:lang w:val="sr-Cyrl-RS"/>
        </w:rPr>
        <w:t>рјешења</w:t>
      </w:r>
      <w:proofErr w:type="spellEnd"/>
      <w:r w:rsidR="009D1770">
        <w:rPr>
          <w:lang w:val="sr-Cyrl-RS"/>
        </w:rPr>
        <w:t xml:space="preserve"> које доноси Пореска управа Републике Српске.</w:t>
      </w:r>
    </w:p>
    <w:p w14:paraId="1557AC80" w14:textId="77777777" w:rsidR="002520C7" w:rsidRPr="001D1ECD" w:rsidRDefault="002520C7" w:rsidP="002520C7">
      <w:pPr>
        <w:pStyle w:val="Pasussalistom"/>
        <w:tabs>
          <w:tab w:val="left" w:pos="90"/>
          <w:tab w:val="right" w:leader="dot" w:pos="9360"/>
        </w:tabs>
        <w:ind w:left="0" w:right="-990" w:firstLine="0"/>
      </w:pPr>
    </w:p>
    <w:p w14:paraId="5F815A3A" w14:textId="77777777" w:rsidR="00AC145A" w:rsidRPr="001D1ECD" w:rsidRDefault="00AC145A" w:rsidP="00AC145A">
      <w:pPr>
        <w:ind w:left="0" w:firstLine="0"/>
      </w:pPr>
      <w:r w:rsidRPr="001D1ECD">
        <w:t>АОП15</w:t>
      </w:r>
      <w:r w:rsidRPr="001D1ECD">
        <w:rPr>
          <w:lang w:val="sr-Cyrl-RS"/>
        </w:rPr>
        <w:t>7</w:t>
      </w:r>
      <w:r w:rsidRPr="001D1ECD">
        <w:t>, колона 4  К-БС</w:t>
      </w:r>
    </w:p>
    <w:p w14:paraId="006F57F6" w14:textId="77777777" w:rsidR="00AC145A" w:rsidRPr="001D1ECD" w:rsidRDefault="00AC145A" w:rsidP="00AC145A">
      <w:pPr>
        <w:ind w:left="0" w:firstLine="0"/>
      </w:pPr>
      <w:r w:rsidRPr="001D1ECD">
        <w:rPr>
          <w:b/>
          <w:i/>
        </w:rPr>
        <w:sym w:font="Wingdings" w:char="F077"/>
      </w:r>
      <w:r w:rsidRPr="001D1ECD">
        <w:rPr>
          <w:b/>
          <w:i/>
        </w:rPr>
        <w:t xml:space="preserve"> Финансијски резултат текуће године</w:t>
      </w:r>
      <w:r w:rsidRPr="001D1ECD">
        <w:t xml:space="preserve"> износи </w:t>
      </w:r>
      <w:r w:rsidR="002520C7">
        <w:rPr>
          <w:lang w:val="sr-Cyrl-RS"/>
        </w:rPr>
        <w:t>-1.005.808</w:t>
      </w:r>
      <w:r w:rsidRPr="001D1ECD">
        <w:t xml:space="preserve"> КМ, и представља разлику између укупних прихода (класа 7) у износу </w:t>
      </w:r>
      <w:r w:rsidRPr="009D1770">
        <w:t xml:space="preserve">од </w:t>
      </w:r>
      <w:r w:rsidR="009D1770" w:rsidRPr="009D1770">
        <w:rPr>
          <w:lang w:val="sr-Cyrl-RS"/>
        </w:rPr>
        <w:t>1</w:t>
      </w:r>
      <w:r w:rsidR="009D1770">
        <w:rPr>
          <w:lang w:val="sr-Cyrl-RS"/>
        </w:rPr>
        <w:t xml:space="preserve">7.085.326 </w:t>
      </w:r>
      <w:r w:rsidRPr="009D1770">
        <w:t>КМ,</w:t>
      </w:r>
      <w:r w:rsidRPr="001D1ECD">
        <w:t xml:space="preserve"> и укупних расхода (класа 4) у износу од </w:t>
      </w:r>
      <w:r w:rsidR="009D1770" w:rsidRPr="009D1770">
        <w:rPr>
          <w:lang w:val="sr-Cyrl-RS"/>
        </w:rPr>
        <w:t>18.091.134</w:t>
      </w:r>
      <w:r w:rsidRPr="009D1770">
        <w:t xml:space="preserve"> КМ</w:t>
      </w:r>
      <w:r w:rsidRPr="001D1ECD">
        <w:t xml:space="preserve"> (што чини финансијски резултат исказан у БУ текуће године).</w:t>
      </w:r>
    </w:p>
    <w:p w14:paraId="4A8E39A1" w14:textId="77777777" w:rsidR="00AC145A" w:rsidRPr="001D1ECD" w:rsidRDefault="00AC145A" w:rsidP="00AC145A">
      <w:pPr>
        <w:pStyle w:val="Uvlaenjetelateksta"/>
        <w:ind w:left="0" w:firstLine="0"/>
        <w:rPr>
          <w:b/>
        </w:rPr>
      </w:pPr>
    </w:p>
    <w:p w14:paraId="4D45B758" w14:textId="77777777" w:rsidR="00AC145A" w:rsidRPr="001D1ECD" w:rsidRDefault="00AC145A" w:rsidP="00AC145A">
      <w:pPr>
        <w:ind w:left="0" w:firstLine="0"/>
      </w:pPr>
      <w:r w:rsidRPr="001D1ECD">
        <w:t>АОП15</w:t>
      </w:r>
      <w:r w:rsidRPr="001D1ECD">
        <w:rPr>
          <w:lang w:val="sr-Cyrl-RS"/>
        </w:rPr>
        <w:t>9</w:t>
      </w:r>
      <w:r w:rsidRPr="001D1ECD">
        <w:t>, колона 4  К-БС</w:t>
      </w:r>
    </w:p>
    <w:p w14:paraId="069798D1" w14:textId="77777777" w:rsidR="00AC145A" w:rsidRPr="001D1ECD" w:rsidRDefault="00AC145A" w:rsidP="00AC145A">
      <w:pPr>
        <w:ind w:left="0" w:firstLine="0"/>
        <w:rPr>
          <w:lang w:eastAsia="hr-HR"/>
        </w:rPr>
      </w:pPr>
      <w:r w:rsidRPr="001D1ECD">
        <w:rPr>
          <w:b/>
          <w:i/>
        </w:rPr>
        <w:sym w:font="Wingdings" w:char="F077"/>
      </w:r>
      <w:r w:rsidRPr="001D1ECD">
        <w:rPr>
          <w:b/>
          <w:i/>
        </w:rPr>
        <w:t xml:space="preserve"> Ванбилансна пасива </w:t>
      </w:r>
      <w:r w:rsidRPr="001D1ECD">
        <w:t xml:space="preserve">износи </w:t>
      </w:r>
      <w:r w:rsidR="002520C7">
        <w:rPr>
          <w:lang w:val="sr-Cyrl-RS"/>
        </w:rPr>
        <w:t>442.707</w:t>
      </w:r>
      <w:r w:rsidRPr="001D1ECD">
        <w:t xml:space="preserve"> КМ, и представља извор средстава за исте позиције наведене у ванбилансној активи.</w:t>
      </w:r>
    </w:p>
    <w:p w14:paraId="00CE4858" w14:textId="77777777" w:rsidR="00AC145A" w:rsidRPr="001D1ECD" w:rsidRDefault="00AC145A" w:rsidP="00AC145A">
      <w:pPr>
        <w:ind w:left="0" w:firstLine="0"/>
        <w:rPr>
          <w:rFonts w:eastAsia="Calibri"/>
          <w:i/>
          <w:lang w:val="sr-Latn-CS"/>
        </w:rPr>
      </w:pPr>
    </w:p>
    <w:p w14:paraId="04BA1736" w14:textId="77777777" w:rsidR="00AC145A" w:rsidRPr="006344E7" w:rsidRDefault="00AC145A" w:rsidP="00AC145A">
      <w:pPr>
        <w:ind w:left="0" w:firstLine="0"/>
        <w:rPr>
          <w:rFonts w:eastAsia="Calibri"/>
          <w:i/>
        </w:rPr>
      </w:pPr>
      <w:r w:rsidRPr="001D1ECD">
        <w:rPr>
          <w:b/>
        </w:rPr>
        <w:t xml:space="preserve">АОП160 исказује </w:t>
      </w:r>
      <w:proofErr w:type="spellStart"/>
      <w:r w:rsidR="002520C7">
        <w:rPr>
          <w:b/>
        </w:rPr>
        <w:t>вриједност</w:t>
      </w:r>
      <w:proofErr w:type="spellEnd"/>
      <w:r w:rsidR="002520C7">
        <w:rPr>
          <w:b/>
        </w:rPr>
        <w:t xml:space="preserve"> укупне пасиве за 2020</w:t>
      </w:r>
      <w:r w:rsidRPr="001D1ECD">
        <w:rPr>
          <w:b/>
        </w:rPr>
        <w:t xml:space="preserve">. годину у износу од </w:t>
      </w:r>
      <w:r w:rsidR="002520C7">
        <w:rPr>
          <w:b/>
          <w:lang w:val="sr-Cyrl-RS"/>
        </w:rPr>
        <w:t>101.837.887</w:t>
      </w:r>
      <w:r w:rsidRPr="001D1ECD">
        <w:rPr>
          <w:b/>
        </w:rPr>
        <w:t xml:space="preserve"> КМ.</w:t>
      </w:r>
    </w:p>
    <w:p w14:paraId="721931C8" w14:textId="77777777" w:rsidR="00AC145A" w:rsidRPr="0072479B" w:rsidRDefault="00AC145A" w:rsidP="00AC145A">
      <w:pPr>
        <w:ind w:left="0" w:firstLine="0"/>
        <w:rPr>
          <w:b/>
          <w:i/>
        </w:rPr>
      </w:pPr>
    </w:p>
    <w:p w14:paraId="4B97AFB6" w14:textId="77777777" w:rsidR="00AC145A" w:rsidRPr="00D602DD" w:rsidRDefault="00AC145A" w:rsidP="00C3532F">
      <w:pPr>
        <w:ind w:left="0" w:firstLine="0"/>
      </w:pPr>
    </w:p>
    <w:sectPr w:rsidR="00AC145A" w:rsidRPr="00D602DD" w:rsidSect="00912AF6">
      <w:footerReference w:type="default" r:id="rId11"/>
      <w:pgSz w:w="12240" w:h="15840" w:code="1"/>
      <w:pgMar w:top="907" w:right="1701" w:bottom="907" w:left="147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507A1" w14:textId="77777777" w:rsidR="00B0349C" w:rsidRDefault="00B0349C" w:rsidP="00912AF6">
      <w:r>
        <w:separator/>
      </w:r>
    </w:p>
  </w:endnote>
  <w:endnote w:type="continuationSeparator" w:id="0">
    <w:p w14:paraId="3E816411" w14:textId="77777777" w:rsidR="00B0349C" w:rsidRDefault="00B0349C" w:rsidP="0091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DD4B" w14:textId="77777777" w:rsidR="00B632B4" w:rsidRDefault="00B632B4">
    <w:pPr>
      <w:pStyle w:val="Podnojestranice"/>
      <w:jc w:val="right"/>
    </w:pPr>
    <w:r>
      <w:fldChar w:fldCharType="begin"/>
    </w:r>
    <w:r>
      <w:instrText xml:space="preserve"> PAGE   \* MERGEFORMAT </w:instrText>
    </w:r>
    <w:r>
      <w:fldChar w:fldCharType="separate"/>
    </w:r>
    <w:r w:rsidR="008A3D3D">
      <w:rPr>
        <w:noProof/>
      </w:rPr>
      <w:t>2</w:t>
    </w:r>
    <w:r>
      <w:rPr>
        <w:noProof/>
      </w:rPr>
      <w:fldChar w:fldCharType="end"/>
    </w:r>
  </w:p>
  <w:p w14:paraId="30DB4D48" w14:textId="77777777" w:rsidR="00B632B4" w:rsidRDefault="00B632B4">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54434" w14:textId="77777777" w:rsidR="00B0349C" w:rsidRDefault="00B0349C" w:rsidP="00912AF6">
      <w:r>
        <w:separator/>
      </w:r>
    </w:p>
  </w:footnote>
  <w:footnote w:type="continuationSeparator" w:id="0">
    <w:p w14:paraId="550BA564" w14:textId="77777777" w:rsidR="00B0349C" w:rsidRDefault="00B0349C" w:rsidP="00912AF6">
      <w:r>
        <w:continuationSeparator/>
      </w:r>
    </w:p>
  </w:footnote>
  <w:footnote w:id="1">
    <w:p w14:paraId="2BD6A923" w14:textId="77777777" w:rsidR="00B632B4" w:rsidRPr="00620614" w:rsidRDefault="00B632B4">
      <w:pPr>
        <w:pStyle w:val="Tekstfusnote"/>
      </w:pPr>
      <w:r>
        <w:rPr>
          <w:rStyle w:val="Referencafusnote"/>
        </w:rPr>
        <w:footnoteRef/>
      </w:r>
      <w:r>
        <w:t>ОМА билтен бр. 178/179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41C6"/>
    <w:multiLevelType w:val="hybridMultilevel"/>
    <w:tmpl w:val="752CA246"/>
    <w:lvl w:ilvl="0" w:tplc="A74444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81A39"/>
    <w:multiLevelType w:val="hybridMultilevel"/>
    <w:tmpl w:val="09E4F406"/>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360"/>
        </w:tabs>
        <w:ind w:left="36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F0471"/>
    <w:multiLevelType w:val="hybridMultilevel"/>
    <w:tmpl w:val="0B5402DE"/>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119F4062"/>
    <w:multiLevelType w:val="hybridMultilevel"/>
    <w:tmpl w:val="62386D2C"/>
    <w:lvl w:ilvl="0" w:tplc="3670CBBC">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4" w15:restartNumberingAfterBreak="0">
    <w:nsid w:val="150C169F"/>
    <w:multiLevelType w:val="hybridMultilevel"/>
    <w:tmpl w:val="DF6E1B5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15:restartNumberingAfterBreak="0">
    <w:nsid w:val="17637812"/>
    <w:multiLevelType w:val="hybridMultilevel"/>
    <w:tmpl w:val="70EC9212"/>
    <w:lvl w:ilvl="0" w:tplc="65EED4B0">
      <w:start w:val="1"/>
      <w:numFmt w:val="bullet"/>
      <w:lvlText w:val=""/>
      <w:lvlJc w:val="left"/>
      <w:pPr>
        <w:ind w:left="720" w:hanging="360"/>
      </w:pPr>
      <w:rPr>
        <w:rFonts w:ascii="Symbol" w:hAnsi="Symbol" w:hint="default"/>
      </w:rPr>
    </w:lvl>
    <w:lvl w:ilvl="1" w:tplc="4FE46C0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D3E5F"/>
    <w:multiLevelType w:val="hybridMultilevel"/>
    <w:tmpl w:val="15DCDC32"/>
    <w:lvl w:ilvl="0" w:tplc="3670CBBC">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7" w15:restartNumberingAfterBreak="0">
    <w:nsid w:val="33435BB7"/>
    <w:multiLevelType w:val="hybridMultilevel"/>
    <w:tmpl w:val="8314FBE4"/>
    <w:lvl w:ilvl="0" w:tplc="65EED4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9796F"/>
    <w:multiLevelType w:val="hybridMultilevel"/>
    <w:tmpl w:val="BB2291A0"/>
    <w:lvl w:ilvl="0" w:tplc="3670CBB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3E4A663A"/>
    <w:multiLevelType w:val="hybridMultilevel"/>
    <w:tmpl w:val="5DDE6F80"/>
    <w:lvl w:ilvl="0" w:tplc="8CB0DCCE">
      <w:start w:val="1"/>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15:restartNumberingAfterBreak="0">
    <w:nsid w:val="40C74C6F"/>
    <w:multiLevelType w:val="hybridMultilevel"/>
    <w:tmpl w:val="F2C646D6"/>
    <w:lvl w:ilvl="0" w:tplc="E870D39C">
      <w:start w:val="4"/>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C1CD1"/>
    <w:multiLevelType w:val="hybridMultilevel"/>
    <w:tmpl w:val="695675E4"/>
    <w:lvl w:ilvl="0" w:tplc="241A000B">
      <w:start w:val="1"/>
      <w:numFmt w:val="bullet"/>
      <w:lvlText w:val=""/>
      <w:lvlJc w:val="left"/>
      <w:pPr>
        <w:ind w:left="1500" w:hanging="360"/>
      </w:pPr>
      <w:rPr>
        <w:rFonts w:ascii="Wingdings" w:hAnsi="Wingdings" w:hint="default"/>
      </w:rPr>
    </w:lvl>
    <w:lvl w:ilvl="1" w:tplc="241A0003" w:tentative="1">
      <w:start w:val="1"/>
      <w:numFmt w:val="bullet"/>
      <w:lvlText w:val="o"/>
      <w:lvlJc w:val="left"/>
      <w:pPr>
        <w:ind w:left="2220" w:hanging="360"/>
      </w:pPr>
      <w:rPr>
        <w:rFonts w:ascii="Courier New" w:hAnsi="Courier New" w:cs="Courier New" w:hint="default"/>
      </w:rPr>
    </w:lvl>
    <w:lvl w:ilvl="2" w:tplc="241A0005" w:tentative="1">
      <w:start w:val="1"/>
      <w:numFmt w:val="bullet"/>
      <w:lvlText w:val=""/>
      <w:lvlJc w:val="left"/>
      <w:pPr>
        <w:ind w:left="2940" w:hanging="360"/>
      </w:pPr>
      <w:rPr>
        <w:rFonts w:ascii="Wingdings" w:hAnsi="Wingdings" w:hint="default"/>
      </w:rPr>
    </w:lvl>
    <w:lvl w:ilvl="3" w:tplc="241A0001" w:tentative="1">
      <w:start w:val="1"/>
      <w:numFmt w:val="bullet"/>
      <w:lvlText w:val=""/>
      <w:lvlJc w:val="left"/>
      <w:pPr>
        <w:ind w:left="3660" w:hanging="360"/>
      </w:pPr>
      <w:rPr>
        <w:rFonts w:ascii="Symbol" w:hAnsi="Symbol" w:hint="default"/>
      </w:rPr>
    </w:lvl>
    <w:lvl w:ilvl="4" w:tplc="241A0003" w:tentative="1">
      <w:start w:val="1"/>
      <w:numFmt w:val="bullet"/>
      <w:lvlText w:val="o"/>
      <w:lvlJc w:val="left"/>
      <w:pPr>
        <w:ind w:left="4380" w:hanging="360"/>
      </w:pPr>
      <w:rPr>
        <w:rFonts w:ascii="Courier New" w:hAnsi="Courier New" w:cs="Courier New" w:hint="default"/>
      </w:rPr>
    </w:lvl>
    <w:lvl w:ilvl="5" w:tplc="241A0005" w:tentative="1">
      <w:start w:val="1"/>
      <w:numFmt w:val="bullet"/>
      <w:lvlText w:val=""/>
      <w:lvlJc w:val="left"/>
      <w:pPr>
        <w:ind w:left="5100" w:hanging="360"/>
      </w:pPr>
      <w:rPr>
        <w:rFonts w:ascii="Wingdings" w:hAnsi="Wingdings" w:hint="default"/>
      </w:rPr>
    </w:lvl>
    <w:lvl w:ilvl="6" w:tplc="241A0001" w:tentative="1">
      <w:start w:val="1"/>
      <w:numFmt w:val="bullet"/>
      <w:lvlText w:val=""/>
      <w:lvlJc w:val="left"/>
      <w:pPr>
        <w:ind w:left="5820" w:hanging="360"/>
      </w:pPr>
      <w:rPr>
        <w:rFonts w:ascii="Symbol" w:hAnsi="Symbol" w:hint="default"/>
      </w:rPr>
    </w:lvl>
    <w:lvl w:ilvl="7" w:tplc="241A0003" w:tentative="1">
      <w:start w:val="1"/>
      <w:numFmt w:val="bullet"/>
      <w:lvlText w:val="o"/>
      <w:lvlJc w:val="left"/>
      <w:pPr>
        <w:ind w:left="6540" w:hanging="360"/>
      </w:pPr>
      <w:rPr>
        <w:rFonts w:ascii="Courier New" w:hAnsi="Courier New" w:cs="Courier New" w:hint="default"/>
      </w:rPr>
    </w:lvl>
    <w:lvl w:ilvl="8" w:tplc="241A0005" w:tentative="1">
      <w:start w:val="1"/>
      <w:numFmt w:val="bullet"/>
      <w:lvlText w:val=""/>
      <w:lvlJc w:val="left"/>
      <w:pPr>
        <w:ind w:left="7260" w:hanging="360"/>
      </w:pPr>
      <w:rPr>
        <w:rFonts w:ascii="Wingdings" w:hAnsi="Wingdings" w:hint="default"/>
      </w:rPr>
    </w:lvl>
  </w:abstractNum>
  <w:abstractNum w:abstractNumId="12" w15:restartNumberingAfterBreak="0">
    <w:nsid w:val="41FF0869"/>
    <w:multiLevelType w:val="hybridMultilevel"/>
    <w:tmpl w:val="B260B722"/>
    <w:lvl w:ilvl="0" w:tplc="241A000B">
      <w:start w:val="1"/>
      <w:numFmt w:val="bullet"/>
      <w:lvlText w:val=""/>
      <w:lvlJc w:val="left"/>
      <w:pPr>
        <w:ind w:left="780" w:hanging="360"/>
      </w:pPr>
      <w:rPr>
        <w:rFonts w:ascii="Wingdings" w:hAnsi="Wingdings"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13" w15:restartNumberingAfterBreak="0">
    <w:nsid w:val="42655146"/>
    <w:multiLevelType w:val="multilevel"/>
    <w:tmpl w:val="E8C8E7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14" w15:restartNumberingAfterBreak="0">
    <w:nsid w:val="432069D1"/>
    <w:multiLevelType w:val="multilevel"/>
    <w:tmpl w:val="A8D44E28"/>
    <w:lvl w:ilvl="0">
      <w:start w:val="1"/>
      <w:numFmt w:val="decimal"/>
      <w:lvlText w:val="%1."/>
      <w:lvlJc w:val="left"/>
      <w:pPr>
        <w:ind w:left="720" w:hanging="360"/>
      </w:pPr>
      <w:rPr>
        <w:rFonts w:hint="default"/>
      </w:rPr>
    </w:lvl>
    <w:lvl w:ilvl="1">
      <w:start w:val="3"/>
      <w:numFmt w:val="decimal"/>
      <w:isLgl/>
      <w:lvlText w:val="%1.%2."/>
      <w:lvlJc w:val="left"/>
      <w:pPr>
        <w:ind w:left="1275" w:hanging="735"/>
      </w:pPr>
      <w:rPr>
        <w:rFonts w:hint="default"/>
      </w:rPr>
    </w:lvl>
    <w:lvl w:ilvl="2">
      <w:start w:val="3"/>
      <w:numFmt w:val="decimal"/>
      <w:isLgl/>
      <w:lvlText w:val="%1.%2.%3."/>
      <w:lvlJc w:val="left"/>
      <w:pPr>
        <w:ind w:left="1445" w:hanging="7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43F42A44"/>
    <w:multiLevelType w:val="hybridMultilevel"/>
    <w:tmpl w:val="651651B6"/>
    <w:lvl w:ilvl="0" w:tplc="65EED4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F580E"/>
    <w:multiLevelType w:val="hybridMultilevel"/>
    <w:tmpl w:val="D44271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58010E"/>
    <w:multiLevelType w:val="hybridMultilevel"/>
    <w:tmpl w:val="67E4359C"/>
    <w:lvl w:ilvl="0" w:tplc="0409000B">
      <w:start w:val="1"/>
      <w:numFmt w:val="bullet"/>
      <w:lvlText w:val=""/>
      <w:lvlJc w:val="left"/>
      <w:pPr>
        <w:tabs>
          <w:tab w:val="num" w:pos="720"/>
        </w:tabs>
        <w:ind w:left="720" w:hanging="360"/>
      </w:pPr>
      <w:rPr>
        <w:rFonts w:ascii="Wingdings" w:hAnsi="Wingdings" w:hint="default"/>
      </w:rPr>
    </w:lvl>
    <w:lvl w:ilvl="1" w:tplc="D65C3BF6">
      <w:numFmt w:val="bullet"/>
      <w:lvlText w:val=""/>
      <w:lvlJc w:val="left"/>
      <w:pPr>
        <w:tabs>
          <w:tab w:val="num" w:pos="648"/>
        </w:tabs>
        <w:ind w:left="288" w:firstLine="72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4F5E09"/>
    <w:multiLevelType w:val="hybridMultilevel"/>
    <w:tmpl w:val="4C36447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60C071D2"/>
    <w:multiLevelType w:val="hybridMultilevel"/>
    <w:tmpl w:val="CF4044A8"/>
    <w:lvl w:ilvl="0" w:tplc="A288BF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DF02EF"/>
    <w:multiLevelType w:val="hybridMultilevel"/>
    <w:tmpl w:val="57862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757EB8"/>
    <w:multiLevelType w:val="hybridMultilevel"/>
    <w:tmpl w:val="3E548F70"/>
    <w:lvl w:ilvl="0" w:tplc="3670CBB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72F74E61"/>
    <w:multiLevelType w:val="multilevel"/>
    <w:tmpl w:val="D01C47E2"/>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15:restartNumberingAfterBreak="0">
    <w:nsid w:val="737B177E"/>
    <w:multiLevelType w:val="hybridMultilevel"/>
    <w:tmpl w:val="C2025E5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7F6215FC"/>
    <w:multiLevelType w:val="hybridMultilevel"/>
    <w:tmpl w:val="1EA289A2"/>
    <w:lvl w:ilvl="0" w:tplc="241A000B">
      <w:start w:val="1"/>
      <w:numFmt w:val="bullet"/>
      <w:lvlText w:val=""/>
      <w:lvlJc w:val="left"/>
      <w:pPr>
        <w:ind w:left="1434" w:hanging="360"/>
      </w:pPr>
      <w:rPr>
        <w:rFonts w:ascii="Wingdings" w:hAnsi="Wingdings" w:hint="default"/>
      </w:rPr>
    </w:lvl>
    <w:lvl w:ilvl="1" w:tplc="241A0003" w:tentative="1">
      <w:start w:val="1"/>
      <w:numFmt w:val="bullet"/>
      <w:lvlText w:val="o"/>
      <w:lvlJc w:val="left"/>
      <w:pPr>
        <w:ind w:left="2154" w:hanging="360"/>
      </w:pPr>
      <w:rPr>
        <w:rFonts w:ascii="Courier New" w:hAnsi="Courier New" w:cs="Courier New" w:hint="default"/>
      </w:rPr>
    </w:lvl>
    <w:lvl w:ilvl="2" w:tplc="241A0005" w:tentative="1">
      <w:start w:val="1"/>
      <w:numFmt w:val="bullet"/>
      <w:lvlText w:val=""/>
      <w:lvlJc w:val="left"/>
      <w:pPr>
        <w:ind w:left="2874" w:hanging="360"/>
      </w:pPr>
      <w:rPr>
        <w:rFonts w:ascii="Wingdings" w:hAnsi="Wingdings" w:hint="default"/>
      </w:rPr>
    </w:lvl>
    <w:lvl w:ilvl="3" w:tplc="241A0001" w:tentative="1">
      <w:start w:val="1"/>
      <w:numFmt w:val="bullet"/>
      <w:lvlText w:val=""/>
      <w:lvlJc w:val="left"/>
      <w:pPr>
        <w:ind w:left="3594" w:hanging="360"/>
      </w:pPr>
      <w:rPr>
        <w:rFonts w:ascii="Symbol" w:hAnsi="Symbol" w:hint="default"/>
      </w:rPr>
    </w:lvl>
    <w:lvl w:ilvl="4" w:tplc="241A0003" w:tentative="1">
      <w:start w:val="1"/>
      <w:numFmt w:val="bullet"/>
      <w:lvlText w:val="o"/>
      <w:lvlJc w:val="left"/>
      <w:pPr>
        <w:ind w:left="4314" w:hanging="360"/>
      </w:pPr>
      <w:rPr>
        <w:rFonts w:ascii="Courier New" w:hAnsi="Courier New" w:cs="Courier New" w:hint="default"/>
      </w:rPr>
    </w:lvl>
    <w:lvl w:ilvl="5" w:tplc="241A0005" w:tentative="1">
      <w:start w:val="1"/>
      <w:numFmt w:val="bullet"/>
      <w:lvlText w:val=""/>
      <w:lvlJc w:val="left"/>
      <w:pPr>
        <w:ind w:left="5034" w:hanging="360"/>
      </w:pPr>
      <w:rPr>
        <w:rFonts w:ascii="Wingdings" w:hAnsi="Wingdings" w:hint="default"/>
      </w:rPr>
    </w:lvl>
    <w:lvl w:ilvl="6" w:tplc="241A0001" w:tentative="1">
      <w:start w:val="1"/>
      <w:numFmt w:val="bullet"/>
      <w:lvlText w:val=""/>
      <w:lvlJc w:val="left"/>
      <w:pPr>
        <w:ind w:left="5754" w:hanging="360"/>
      </w:pPr>
      <w:rPr>
        <w:rFonts w:ascii="Symbol" w:hAnsi="Symbol" w:hint="default"/>
      </w:rPr>
    </w:lvl>
    <w:lvl w:ilvl="7" w:tplc="241A0003" w:tentative="1">
      <w:start w:val="1"/>
      <w:numFmt w:val="bullet"/>
      <w:lvlText w:val="o"/>
      <w:lvlJc w:val="left"/>
      <w:pPr>
        <w:ind w:left="6474" w:hanging="360"/>
      </w:pPr>
      <w:rPr>
        <w:rFonts w:ascii="Courier New" w:hAnsi="Courier New" w:cs="Courier New" w:hint="default"/>
      </w:rPr>
    </w:lvl>
    <w:lvl w:ilvl="8" w:tplc="241A0005" w:tentative="1">
      <w:start w:val="1"/>
      <w:numFmt w:val="bullet"/>
      <w:lvlText w:val=""/>
      <w:lvlJc w:val="left"/>
      <w:pPr>
        <w:ind w:left="7194" w:hanging="360"/>
      </w:pPr>
      <w:rPr>
        <w:rFonts w:ascii="Wingdings" w:hAnsi="Wingdings" w:hint="default"/>
      </w:rPr>
    </w:lvl>
  </w:abstractNum>
  <w:num w:numId="1">
    <w:abstractNumId w:val="1"/>
  </w:num>
  <w:num w:numId="2">
    <w:abstractNumId w:val="20"/>
  </w:num>
  <w:num w:numId="3">
    <w:abstractNumId w:val="17"/>
  </w:num>
  <w:num w:numId="4">
    <w:abstractNumId w:val="9"/>
  </w:num>
  <w:num w:numId="5">
    <w:abstractNumId w:val="13"/>
  </w:num>
  <w:num w:numId="6">
    <w:abstractNumId w:val="5"/>
  </w:num>
  <w:num w:numId="7">
    <w:abstractNumId w:val="16"/>
  </w:num>
  <w:num w:numId="8">
    <w:abstractNumId w:val="19"/>
  </w:num>
  <w:num w:numId="9">
    <w:abstractNumId w:val="14"/>
  </w:num>
  <w:num w:numId="10">
    <w:abstractNumId w:val="4"/>
  </w:num>
  <w:num w:numId="11">
    <w:abstractNumId w:val="23"/>
  </w:num>
  <w:num w:numId="12">
    <w:abstractNumId w:val="6"/>
  </w:num>
  <w:num w:numId="13">
    <w:abstractNumId w:val="24"/>
  </w:num>
  <w:num w:numId="14">
    <w:abstractNumId w:val="11"/>
  </w:num>
  <w:num w:numId="15">
    <w:abstractNumId w:val="18"/>
  </w:num>
  <w:num w:numId="16">
    <w:abstractNumId w:val="22"/>
  </w:num>
  <w:num w:numId="17">
    <w:abstractNumId w:val="0"/>
  </w:num>
  <w:num w:numId="18">
    <w:abstractNumId w:val="15"/>
  </w:num>
  <w:num w:numId="19">
    <w:abstractNumId w:val="7"/>
  </w:num>
  <w:num w:numId="20">
    <w:abstractNumId w:val="10"/>
  </w:num>
  <w:num w:numId="21">
    <w:abstractNumId w:val="2"/>
  </w:num>
  <w:num w:numId="22">
    <w:abstractNumId w:val="12"/>
  </w:num>
  <w:num w:numId="23">
    <w:abstractNumId w:val="8"/>
  </w:num>
  <w:num w:numId="24">
    <w:abstractNumId w:val="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EF8"/>
    <w:rsid w:val="00000033"/>
    <w:rsid w:val="0000093F"/>
    <w:rsid w:val="00005AAF"/>
    <w:rsid w:val="00006748"/>
    <w:rsid w:val="00010300"/>
    <w:rsid w:val="00010C67"/>
    <w:rsid w:val="000111E8"/>
    <w:rsid w:val="00013DF3"/>
    <w:rsid w:val="00016D71"/>
    <w:rsid w:val="000172AF"/>
    <w:rsid w:val="00017484"/>
    <w:rsid w:val="000177F1"/>
    <w:rsid w:val="00020368"/>
    <w:rsid w:val="000211C7"/>
    <w:rsid w:val="0002193B"/>
    <w:rsid w:val="00022204"/>
    <w:rsid w:val="00022DCC"/>
    <w:rsid w:val="0002342C"/>
    <w:rsid w:val="00023BD1"/>
    <w:rsid w:val="00023DCE"/>
    <w:rsid w:val="000262AE"/>
    <w:rsid w:val="000262D1"/>
    <w:rsid w:val="00027554"/>
    <w:rsid w:val="000276A2"/>
    <w:rsid w:val="00027C79"/>
    <w:rsid w:val="0003135E"/>
    <w:rsid w:val="00031537"/>
    <w:rsid w:val="00031CC9"/>
    <w:rsid w:val="000326AE"/>
    <w:rsid w:val="00032D21"/>
    <w:rsid w:val="00033772"/>
    <w:rsid w:val="00035A86"/>
    <w:rsid w:val="00036009"/>
    <w:rsid w:val="0003649D"/>
    <w:rsid w:val="0003735A"/>
    <w:rsid w:val="00037D95"/>
    <w:rsid w:val="0004020F"/>
    <w:rsid w:val="00042648"/>
    <w:rsid w:val="000438D7"/>
    <w:rsid w:val="0004477D"/>
    <w:rsid w:val="00044B25"/>
    <w:rsid w:val="00044BE1"/>
    <w:rsid w:val="00044F06"/>
    <w:rsid w:val="00044FDF"/>
    <w:rsid w:val="00045225"/>
    <w:rsid w:val="00046AFF"/>
    <w:rsid w:val="00047A54"/>
    <w:rsid w:val="00047FC1"/>
    <w:rsid w:val="00050642"/>
    <w:rsid w:val="000511E6"/>
    <w:rsid w:val="000527DE"/>
    <w:rsid w:val="00053086"/>
    <w:rsid w:val="0005326B"/>
    <w:rsid w:val="00053968"/>
    <w:rsid w:val="00054304"/>
    <w:rsid w:val="0005522C"/>
    <w:rsid w:val="00057360"/>
    <w:rsid w:val="0006152C"/>
    <w:rsid w:val="0006209B"/>
    <w:rsid w:val="00062725"/>
    <w:rsid w:val="00064D11"/>
    <w:rsid w:val="00065149"/>
    <w:rsid w:val="00065D20"/>
    <w:rsid w:val="00065E06"/>
    <w:rsid w:val="0006700D"/>
    <w:rsid w:val="00067B2F"/>
    <w:rsid w:val="00072101"/>
    <w:rsid w:val="0007218B"/>
    <w:rsid w:val="00072AD7"/>
    <w:rsid w:val="00072BC3"/>
    <w:rsid w:val="00072DCC"/>
    <w:rsid w:val="00072EF8"/>
    <w:rsid w:val="000732E2"/>
    <w:rsid w:val="00074A17"/>
    <w:rsid w:val="0007536D"/>
    <w:rsid w:val="00075A9C"/>
    <w:rsid w:val="0007763E"/>
    <w:rsid w:val="00077A11"/>
    <w:rsid w:val="000800BB"/>
    <w:rsid w:val="00080FE0"/>
    <w:rsid w:val="000812DF"/>
    <w:rsid w:val="000818AD"/>
    <w:rsid w:val="00081DC5"/>
    <w:rsid w:val="00083509"/>
    <w:rsid w:val="000845C5"/>
    <w:rsid w:val="00086875"/>
    <w:rsid w:val="00087682"/>
    <w:rsid w:val="00087C73"/>
    <w:rsid w:val="000905B9"/>
    <w:rsid w:val="0009087E"/>
    <w:rsid w:val="00090D44"/>
    <w:rsid w:val="00090F59"/>
    <w:rsid w:val="00091AD9"/>
    <w:rsid w:val="00092A3B"/>
    <w:rsid w:val="000939C5"/>
    <w:rsid w:val="00093A5F"/>
    <w:rsid w:val="0009456A"/>
    <w:rsid w:val="00094F4C"/>
    <w:rsid w:val="000969A4"/>
    <w:rsid w:val="000A05B5"/>
    <w:rsid w:val="000A1038"/>
    <w:rsid w:val="000A2976"/>
    <w:rsid w:val="000A608A"/>
    <w:rsid w:val="000A6525"/>
    <w:rsid w:val="000A7501"/>
    <w:rsid w:val="000A754D"/>
    <w:rsid w:val="000B0F3C"/>
    <w:rsid w:val="000B58AA"/>
    <w:rsid w:val="000B5AF7"/>
    <w:rsid w:val="000B5C61"/>
    <w:rsid w:val="000B669A"/>
    <w:rsid w:val="000B6A5B"/>
    <w:rsid w:val="000B7B3B"/>
    <w:rsid w:val="000C0FD3"/>
    <w:rsid w:val="000C1644"/>
    <w:rsid w:val="000C2721"/>
    <w:rsid w:val="000C3107"/>
    <w:rsid w:val="000C4103"/>
    <w:rsid w:val="000C463B"/>
    <w:rsid w:val="000C48EF"/>
    <w:rsid w:val="000D05DE"/>
    <w:rsid w:val="000D18F8"/>
    <w:rsid w:val="000D2125"/>
    <w:rsid w:val="000D25C5"/>
    <w:rsid w:val="000D27B0"/>
    <w:rsid w:val="000D3A49"/>
    <w:rsid w:val="000D545A"/>
    <w:rsid w:val="000D564C"/>
    <w:rsid w:val="000D789B"/>
    <w:rsid w:val="000E3284"/>
    <w:rsid w:val="000E36FE"/>
    <w:rsid w:val="000E3FCB"/>
    <w:rsid w:val="000E49F6"/>
    <w:rsid w:val="000E4B51"/>
    <w:rsid w:val="000E60DC"/>
    <w:rsid w:val="000E63F2"/>
    <w:rsid w:val="000E687F"/>
    <w:rsid w:val="000F023F"/>
    <w:rsid w:val="000F4C3B"/>
    <w:rsid w:val="000F5505"/>
    <w:rsid w:val="000F566C"/>
    <w:rsid w:val="00102661"/>
    <w:rsid w:val="00104FBD"/>
    <w:rsid w:val="001058D2"/>
    <w:rsid w:val="00106279"/>
    <w:rsid w:val="00107D94"/>
    <w:rsid w:val="00110702"/>
    <w:rsid w:val="00111592"/>
    <w:rsid w:val="001128CD"/>
    <w:rsid w:val="0011414B"/>
    <w:rsid w:val="00115489"/>
    <w:rsid w:val="001158BC"/>
    <w:rsid w:val="0011667C"/>
    <w:rsid w:val="00117615"/>
    <w:rsid w:val="00117D94"/>
    <w:rsid w:val="001205A9"/>
    <w:rsid w:val="00123E46"/>
    <w:rsid w:val="00124D2A"/>
    <w:rsid w:val="00125232"/>
    <w:rsid w:val="00126F15"/>
    <w:rsid w:val="001277F5"/>
    <w:rsid w:val="00127A54"/>
    <w:rsid w:val="00127F17"/>
    <w:rsid w:val="0013249D"/>
    <w:rsid w:val="001327CF"/>
    <w:rsid w:val="00132802"/>
    <w:rsid w:val="0013361B"/>
    <w:rsid w:val="00134342"/>
    <w:rsid w:val="00135128"/>
    <w:rsid w:val="0013522D"/>
    <w:rsid w:val="00135C0F"/>
    <w:rsid w:val="00137409"/>
    <w:rsid w:val="001405B3"/>
    <w:rsid w:val="001413F5"/>
    <w:rsid w:val="00141D7A"/>
    <w:rsid w:val="00142E6D"/>
    <w:rsid w:val="00146EC3"/>
    <w:rsid w:val="00147294"/>
    <w:rsid w:val="001519EA"/>
    <w:rsid w:val="0015226C"/>
    <w:rsid w:val="00153017"/>
    <w:rsid w:val="00154311"/>
    <w:rsid w:val="0015551A"/>
    <w:rsid w:val="0015680B"/>
    <w:rsid w:val="0015693F"/>
    <w:rsid w:val="00156A50"/>
    <w:rsid w:val="00157EF2"/>
    <w:rsid w:val="00166912"/>
    <w:rsid w:val="0016722B"/>
    <w:rsid w:val="00167BCD"/>
    <w:rsid w:val="0017125E"/>
    <w:rsid w:val="0017208D"/>
    <w:rsid w:val="001731C8"/>
    <w:rsid w:val="00173280"/>
    <w:rsid w:val="001749B9"/>
    <w:rsid w:val="00176D40"/>
    <w:rsid w:val="0017747C"/>
    <w:rsid w:val="0018101B"/>
    <w:rsid w:val="00181617"/>
    <w:rsid w:val="00181D9E"/>
    <w:rsid w:val="00184DAE"/>
    <w:rsid w:val="00185C02"/>
    <w:rsid w:val="0018637F"/>
    <w:rsid w:val="0019015A"/>
    <w:rsid w:val="0019032C"/>
    <w:rsid w:val="001908E2"/>
    <w:rsid w:val="00190E67"/>
    <w:rsid w:val="00191BFC"/>
    <w:rsid w:val="0019239B"/>
    <w:rsid w:val="001924E9"/>
    <w:rsid w:val="001958C6"/>
    <w:rsid w:val="00196B8D"/>
    <w:rsid w:val="00197BB8"/>
    <w:rsid w:val="001A023A"/>
    <w:rsid w:val="001A09C4"/>
    <w:rsid w:val="001A31AC"/>
    <w:rsid w:val="001A38C6"/>
    <w:rsid w:val="001A4BA0"/>
    <w:rsid w:val="001A5B1D"/>
    <w:rsid w:val="001A68E6"/>
    <w:rsid w:val="001A7226"/>
    <w:rsid w:val="001B0387"/>
    <w:rsid w:val="001B1419"/>
    <w:rsid w:val="001B1A66"/>
    <w:rsid w:val="001B1A6D"/>
    <w:rsid w:val="001B1B39"/>
    <w:rsid w:val="001B25CF"/>
    <w:rsid w:val="001B34ED"/>
    <w:rsid w:val="001B3CFC"/>
    <w:rsid w:val="001B4DED"/>
    <w:rsid w:val="001B4FB8"/>
    <w:rsid w:val="001B5A21"/>
    <w:rsid w:val="001B6065"/>
    <w:rsid w:val="001B70AB"/>
    <w:rsid w:val="001B775B"/>
    <w:rsid w:val="001C0531"/>
    <w:rsid w:val="001C1611"/>
    <w:rsid w:val="001C2A44"/>
    <w:rsid w:val="001C48B3"/>
    <w:rsid w:val="001C5772"/>
    <w:rsid w:val="001C5989"/>
    <w:rsid w:val="001C7086"/>
    <w:rsid w:val="001C7166"/>
    <w:rsid w:val="001C75C8"/>
    <w:rsid w:val="001D0496"/>
    <w:rsid w:val="001D1E26"/>
    <w:rsid w:val="001D2706"/>
    <w:rsid w:val="001D4540"/>
    <w:rsid w:val="001D66FF"/>
    <w:rsid w:val="001D7745"/>
    <w:rsid w:val="001E1471"/>
    <w:rsid w:val="001E1C3D"/>
    <w:rsid w:val="001E2664"/>
    <w:rsid w:val="001E28F6"/>
    <w:rsid w:val="001E2DF4"/>
    <w:rsid w:val="001E2F50"/>
    <w:rsid w:val="001E334A"/>
    <w:rsid w:val="001E36D5"/>
    <w:rsid w:val="001E568C"/>
    <w:rsid w:val="001E60AA"/>
    <w:rsid w:val="001E71C4"/>
    <w:rsid w:val="001E72A9"/>
    <w:rsid w:val="001F269A"/>
    <w:rsid w:val="001F3A66"/>
    <w:rsid w:val="001F5DFF"/>
    <w:rsid w:val="001F5F46"/>
    <w:rsid w:val="001F623B"/>
    <w:rsid w:val="001F7DB5"/>
    <w:rsid w:val="001F7E58"/>
    <w:rsid w:val="0020039B"/>
    <w:rsid w:val="00200798"/>
    <w:rsid w:val="00200FE8"/>
    <w:rsid w:val="0020527D"/>
    <w:rsid w:val="00211C6B"/>
    <w:rsid w:val="00212B3F"/>
    <w:rsid w:val="00212C60"/>
    <w:rsid w:val="00213512"/>
    <w:rsid w:val="00213CEC"/>
    <w:rsid w:val="00214F7E"/>
    <w:rsid w:val="00215604"/>
    <w:rsid w:val="002162B7"/>
    <w:rsid w:val="00216991"/>
    <w:rsid w:val="0021699F"/>
    <w:rsid w:val="00216D85"/>
    <w:rsid w:val="002200DA"/>
    <w:rsid w:val="002207F0"/>
    <w:rsid w:val="00220897"/>
    <w:rsid w:val="00220D39"/>
    <w:rsid w:val="00221167"/>
    <w:rsid w:val="002215D1"/>
    <w:rsid w:val="0022169D"/>
    <w:rsid w:val="00221C6F"/>
    <w:rsid w:val="0022371A"/>
    <w:rsid w:val="00225990"/>
    <w:rsid w:val="0022663A"/>
    <w:rsid w:val="0022675F"/>
    <w:rsid w:val="00226F13"/>
    <w:rsid w:val="002271E1"/>
    <w:rsid w:val="0022742A"/>
    <w:rsid w:val="002316E4"/>
    <w:rsid w:val="00232858"/>
    <w:rsid w:val="00232DF9"/>
    <w:rsid w:val="002338B3"/>
    <w:rsid w:val="00233AD2"/>
    <w:rsid w:val="00234009"/>
    <w:rsid w:val="002344F0"/>
    <w:rsid w:val="002350DC"/>
    <w:rsid w:val="0023606C"/>
    <w:rsid w:val="00236A13"/>
    <w:rsid w:val="00236ED3"/>
    <w:rsid w:val="002372D6"/>
    <w:rsid w:val="00237F31"/>
    <w:rsid w:val="002408E1"/>
    <w:rsid w:val="00240DC4"/>
    <w:rsid w:val="0024212C"/>
    <w:rsid w:val="0024253D"/>
    <w:rsid w:val="00243837"/>
    <w:rsid w:val="00243BA7"/>
    <w:rsid w:val="00243E14"/>
    <w:rsid w:val="002449DD"/>
    <w:rsid w:val="0024559C"/>
    <w:rsid w:val="00246ED2"/>
    <w:rsid w:val="0025026D"/>
    <w:rsid w:val="00250BD5"/>
    <w:rsid w:val="002520C7"/>
    <w:rsid w:val="002539C4"/>
    <w:rsid w:val="00253A1F"/>
    <w:rsid w:val="002542A0"/>
    <w:rsid w:val="002543D1"/>
    <w:rsid w:val="00254E6D"/>
    <w:rsid w:val="00255016"/>
    <w:rsid w:val="0025504E"/>
    <w:rsid w:val="00255A85"/>
    <w:rsid w:val="00256642"/>
    <w:rsid w:val="00257CAC"/>
    <w:rsid w:val="00257EB2"/>
    <w:rsid w:val="0026006F"/>
    <w:rsid w:val="00260FCE"/>
    <w:rsid w:val="00262AEB"/>
    <w:rsid w:val="00262B36"/>
    <w:rsid w:val="002631D8"/>
    <w:rsid w:val="0026424C"/>
    <w:rsid w:val="00264D9B"/>
    <w:rsid w:val="00265D97"/>
    <w:rsid w:val="002663CD"/>
    <w:rsid w:val="00266571"/>
    <w:rsid w:val="00266BDB"/>
    <w:rsid w:val="00266DAB"/>
    <w:rsid w:val="00267095"/>
    <w:rsid w:val="002673D4"/>
    <w:rsid w:val="002704D0"/>
    <w:rsid w:val="00270933"/>
    <w:rsid w:val="002710C3"/>
    <w:rsid w:val="0027147E"/>
    <w:rsid w:val="00274322"/>
    <w:rsid w:val="00274544"/>
    <w:rsid w:val="00275260"/>
    <w:rsid w:val="00277969"/>
    <w:rsid w:val="00277E8F"/>
    <w:rsid w:val="002806CE"/>
    <w:rsid w:val="002817DD"/>
    <w:rsid w:val="0028356A"/>
    <w:rsid w:val="00283CDC"/>
    <w:rsid w:val="002845EF"/>
    <w:rsid w:val="002847EE"/>
    <w:rsid w:val="0028541B"/>
    <w:rsid w:val="00285986"/>
    <w:rsid w:val="00286D77"/>
    <w:rsid w:val="00290EBB"/>
    <w:rsid w:val="00292E51"/>
    <w:rsid w:val="002937B9"/>
    <w:rsid w:val="002942B4"/>
    <w:rsid w:val="002944E2"/>
    <w:rsid w:val="002959E6"/>
    <w:rsid w:val="00296075"/>
    <w:rsid w:val="00296620"/>
    <w:rsid w:val="00296828"/>
    <w:rsid w:val="002972AA"/>
    <w:rsid w:val="002A218E"/>
    <w:rsid w:val="002A2838"/>
    <w:rsid w:val="002A3C88"/>
    <w:rsid w:val="002A40A0"/>
    <w:rsid w:val="002A5203"/>
    <w:rsid w:val="002A59A5"/>
    <w:rsid w:val="002A6DDA"/>
    <w:rsid w:val="002A74D2"/>
    <w:rsid w:val="002B0399"/>
    <w:rsid w:val="002B12C4"/>
    <w:rsid w:val="002B25BF"/>
    <w:rsid w:val="002B29C1"/>
    <w:rsid w:val="002B3A54"/>
    <w:rsid w:val="002B4168"/>
    <w:rsid w:val="002B4EA2"/>
    <w:rsid w:val="002B5546"/>
    <w:rsid w:val="002C00D5"/>
    <w:rsid w:val="002C1A28"/>
    <w:rsid w:val="002C3F86"/>
    <w:rsid w:val="002C6069"/>
    <w:rsid w:val="002C6D65"/>
    <w:rsid w:val="002C7890"/>
    <w:rsid w:val="002C7B15"/>
    <w:rsid w:val="002D10EA"/>
    <w:rsid w:val="002D16D9"/>
    <w:rsid w:val="002D281C"/>
    <w:rsid w:val="002D2D1E"/>
    <w:rsid w:val="002D4808"/>
    <w:rsid w:val="002D77D8"/>
    <w:rsid w:val="002D7BE3"/>
    <w:rsid w:val="002E0277"/>
    <w:rsid w:val="002E032F"/>
    <w:rsid w:val="002E062D"/>
    <w:rsid w:val="002E089A"/>
    <w:rsid w:val="002E08BF"/>
    <w:rsid w:val="002E20CD"/>
    <w:rsid w:val="002E2D0E"/>
    <w:rsid w:val="002E39AA"/>
    <w:rsid w:val="002E4977"/>
    <w:rsid w:val="002E51AE"/>
    <w:rsid w:val="002E602D"/>
    <w:rsid w:val="002E624C"/>
    <w:rsid w:val="002F03FC"/>
    <w:rsid w:val="002F1B2C"/>
    <w:rsid w:val="002F304E"/>
    <w:rsid w:val="002F45A8"/>
    <w:rsid w:val="002F479D"/>
    <w:rsid w:val="002F5E5C"/>
    <w:rsid w:val="002F6617"/>
    <w:rsid w:val="002F7AD8"/>
    <w:rsid w:val="003004F4"/>
    <w:rsid w:val="00300B80"/>
    <w:rsid w:val="00301109"/>
    <w:rsid w:val="003014C5"/>
    <w:rsid w:val="003028F6"/>
    <w:rsid w:val="00303A34"/>
    <w:rsid w:val="00304324"/>
    <w:rsid w:val="0030558D"/>
    <w:rsid w:val="0030613E"/>
    <w:rsid w:val="0030644E"/>
    <w:rsid w:val="00306877"/>
    <w:rsid w:val="0030730D"/>
    <w:rsid w:val="00307548"/>
    <w:rsid w:val="00310454"/>
    <w:rsid w:val="003110D0"/>
    <w:rsid w:val="00311777"/>
    <w:rsid w:val="00311CAE"/>
    <w:rsid w:val="003124CF"/>
    <w:rsid w:val="00313B75"/>
    <w:rsid w:val="003158F0"/>
    <w:rsid w:val="00315DB9"/>
    <w:rsid w:val="003160A5"/>
    <w:rsid w:val="0031614F"/>
    <w:rsid w:val="00317682"/>
    <w:rsid w:val="00317E52"/>
    <w:rsid w:val="00320109"/>
    <w:rsid w:val="0032054A"/>
    <w:rsid w:val="003228FF"/>
    <w:rsid w:val="00325D87"/>
    <w:rsid w:val="00325E40"/>
    <w:rsid w:val="00326E77"/>
    <w:rsid w:val="00327958"/>
    <w:rsid w:val="003308A3"/>
    <w:rsid w:val="00330D21"/>
    <w:rsid w:val="00332368"/>
    <w:rsid w:val="003327ED"/>
    <w:rsid w:val="0033510F"/>
    <w:rsid w:val="00335413"/>
    <w:rsid w:val="00335962"/>
    <w:rsid w:val="00335AE5"/>
    <w:rsid w:val="00336493"/>
    <w:rsid w:val="00336C1C"/>
    <w:rsid w:val="003374DE"/>
    <w:rsid w:val="00337767"/>
    <w:rsid w:val="003379B5"/>
    <w:rsid w:val="003413E6"/>
    <w:rsid w:val="0034186C"/>
    <w:rsid w:val="003421DD"/>
    <w:rsid w:val="00342817"/>
    <w:rsid w:val="00342CDC"/>
    <w:rsid w:val="00343459"/>
    <w:rsid w:val="003436CC"/>
    <w:rsid w:val="00344283"/>
    <w:rsid w:val="00344532"/>
    <w:rsid w:val="00345C82"/>
    <w:rsid w:val="00345DDC"/>
    <w:rsid w:val="00347CC0"/>
    <w:rsid w:val="00350C7D"/>
    <w:rsid w:val="0035182F"/>
    <w:rsid w:val="00351D1D"/>
    <w:rsid w:val="00351F4D"/>
    <w:rsid w:val="00352A1D"/>
    <w:rsid w:val="0035407F"/>
    <w:rsid w:val="00354451"/>
    <w:rsid w:val="00354506"/>
    <w:rsid w:val="003574FC"/>
    <w:rsid w:val="00365905"/>
    <w:rsid w:val="003668CC"/>
    <w:rsid w:val="0036767C"/>
    <w:rsid w:val="00372E3C"/>
    <w:rsid w:val="00373DAA"/>
    <w:rsid w:val="00373DB1"/>
    <w:rsid w:val="00374C9A"/>
    <w:rsid w:val="00375FA4"/>
    <w:rsid w:val="00376195"/>
    <w:rsid w:val="00376F8F"/>
    <w:rsid w:val="00380916"/>
    <w:rsid w:val="00380C58"/>
    <w:rsid w:val="00381074"/>
    <w:rsid w:val="003813B4"/>
    <w:rsid w:val="00381574"/>
    <w:rsid w:val="003818C6"/>
    <w:rsid w:val="00383573"/>
    <w:rsid w:val="00383D4F"/>
    <w:rsid w:val="00383FAD"/>
    <w:rsid w:val="00384D1F"/>
    <w:rsid w:val="003860A0"/>
    <w:rsid w:val="003861EE"/>
    <w:rsid w:val="003864F6"/>
    <w:rsid w:val="00387B25"/>
    <w:rsid w:val="00391242"/>
    <w:rsid w:val="003919AC"/>
    <w:rsid w:val="0039200A"/>
    <w:rsid w:val="0039224F"/>
    <w:rsid w:val="0039226D"/>
    <w:rsid w:val="00392BB0"/>
    <w:rsid w:val="00393076"/>
    <w:rsid w:val="00393F2F"/>
    <w:rsid w:val="00395A31"/>
    <w:rsid w:val="003960D3"/>
    <w:rsid w:val="003972C6"/>
    <w:rsid w:val="00397652"/>
    <w:rsid w:val="003979A8"/>
    <w:rsid w:val="003A0287"/>
    <w:rsid w:val="003A04EF"/>
    <w:rsid w:val="003A0FE3"/>
    <w:rsid w:val="003A1312"/>
    <w:rsid w:val="003A2A85"/>
    <w:rsid w:val="003A4322"/>
    <w:rsid w:val="003A690B"/>
    <w:rsid w:val="003A6E15"/>
    <w:rsid w:val="003A7C2F"/>
    <w:rsid w:val="003A7F1B"/>
    <w:rsid w:val="003B061D"/>
    <w:rsid w:val="003B09AA"/>
    <w:rsid w:val="003B1B62"/>
    <w:rsid w:val="003B1E01"/>
    <w:rsid w:val="003B2530"/>
    <w:rsid w:val="003B4D05"/>
    <w:rsid w:val="003B51DF"/>
    <w:rsid w:val="003B5258"/>
    <w:rsid w:val="003B6292"/>
    <w:rsid w:val="003B6D12"/>
    <w:rsid w:val="003B6D1D"/>
    <w:rsid w:val="003B745B"/>
    <w:rsid w:val="003C0CC7"/>
    <w:rsid w:val="003C14C0"/>
    <w:rsid w:val="003C3235"/>
    <w:rsid w:val="003C366E"/>
    <w:rsid w:val="003C3F7B"/>
    <w:rsid w:val="003C40B3"/>
    <w:rsid w:val="003C438C"/>
    <w:rsid w:val="003C55A3"/>
    <w:rsid w:val="003C6149"/>
    <w:rsid w:val="003C6298"/>
    <w:rsid w:val="003C6718"/>
    <w:rsid w:val="003C7443"/>
    <w:rsid w:val="003D04E1"/>
    <w:rsid w:val="003D0C8C"/>
    <w:rsid w:val="003D0F12"/>
    <w:rsid w:val="003D2063"/>
    <w:rsid w:val="003D2695"/>
    <w:rsid w:val="003D3353"/>
    <w:rsid w:val="003D33F9"/>
    <w:rsid w:val="003D3D38"/>
    <w:rsid w:val="003D3FDD"/>
    <w:rsid w:val="003D4B7B"/>
    <w:rsid w:val="003D754F"/>
    <w:rsid w:val="003D7F5D"/>
    <w:rsid w:val="003E0BA8"/>
    <w:rsid w:val="003E18CE"/>
    <w:rsid w:val="003E1AAD"/>
    <w:rsid w:val="003E30A0"/>
    <w:rsid w:val="003E4AAB"/>
    <w:rsid w:val="003E51B6"/>
    <w:rsid w:val="003E5B9B"/>
    <w:rsid w:val="003E5FCC"/>
    <w:rsid w:val="003E692E"/>
    <w:rsid w:val="003E7990"/>
    <w:rsid w:val="003E7B7A"/>
    <w:rsid w:val="003F02C3"/>
    <w:rsid w:val="003F0804"/>
    <w:rsid w:val="003F084E"/>
    <w:rsid w:val="003F1B50"/>
    <w:rsid w:val="003F1DBF"/>
    <w:rsid w:val="003F2B7E"/>
    <w:rsid w:val="003F4585"/>
    <w:rsid w:val="003F70C4"/>
    <w:rsid w:val="003F7318"/>
    <w:rsid w:val="003F74A8"/>
    <w:rsid w:val="003F77FC"/>
    <w:rsid w:val="0040287B"/>
    <w:rsid w:val="00404F38"/>
    <w:rsid w:val="004059CE"/>
    <w:rsid w:val="00405F1B"/>
    <w:rsid w:val="004079CB"/>
    <w:rsid w:val="00411A78"/>
    <w:rsid w:val="00411C36"/>
    <w:rsid w:val="00411F83"/>
    <w:rsid w:val="00411F95"/>
    <w:rsid w:val="004120D4"/>
    <w:rsid w:val="00412D72"/>
    <w:rsid w:val="0041378B"/>
    <w:rsid w:val="00413B25"/>
    <w:rsid w:val="00417157"/>
    <w:rsid w:val="00420224"/>
    <w:rsid w:val="00420E4C"/>
    <w:rsid w:val="00421C2D"/>
    <w:rsid w:val="00422124"/>
    <w:rsid w:val="0042316E"/>
    <w:rsid w:val="00423749"/>
    <w:rsid w:val="00423870"/>
    <w:rsid w:val="00426157"/>
    <w:rsid w:val="004268BD"/>
    <w:rsid w:val="00427B28"/>
    <w:rsid w:val="004303B4"/>
    <w:rsid w:val="00430D37"/>
    <w:rsid w:val="00430DEB"/>
    <w:rsid w:val="00431428"/>
    <w:rsid w:val="00431C10"/>
    <w:rsid w:val="004321DC"/>
    <w:rsid w:val="0043339A"/>
    <w:rsid w:val="004334B3"/>
    <w:rsid w:val="00434123"/>
    <w:rsid w:val="00434892"/>
    <w:rsid w:val="004352F7"/>
    <w:rsid w:val="00437C2A"/>
    <w:rsid w:val="00441D63"/>
    <w:rsid w:val="00443295"/>
    <w:rsid w:val="00445A70"/>
    <w:rsid w:val="004461EB"/>
    <w:rsid w:val="004468FB"/>
    <w:rsid w:val="00447481"/>
    <w:rsid w:val="00451420"/>
    <w:rsid w:val="0045179B"/>
    <w:rsid w:val="004527EC"/>
    <w:rsid w:val="00452E65"/>
    <w:rsid w:val="00452E75"/>
    <w:rsid w:val="00453F4D"/>
    <w:rsid w:val="004541B0"/>
    <w:rsid w:val="00454485"/>
    <w:rsid w:val="00454AF3"/>
    <w:rsid w:val="004550C6"/>
    <w:rsid w:val="00455AB8"/>
    <w:rsid w:val="00456439"/>
    <w:rsid w:val="00456999"/>
    <w:rsid w:val="00456BB5"/>
    <w:rsid w:val="00457025"/>
    <w:rsid w:val="00462D89"/>
    <w:rsid w:val="00464A3C"/>
    <w:rsid w:val="0046618E"/>
    <w:rsid w:val="00467656"/>
    <w:rsid w:val="00470953"/>
    <w:rsid w:val="00470F0F"/>
    <w:rsid w:val="004740B3"/>
    <w:rsid w:val="00474F74"/>
    <w:rsid w:val="004761E2"/>
    <w:rsid w:val="0047690D"/>
    <w:rsid w:val="00476B43"/>
    <w:rsid w:val="0048393E"/>
    <w:rsid w:val="00483CF0"/>
    <w:rsid w:val="00484B67"/>
    <w:rsid w:val="00487D0F"/>
    <w:rsid w:val="00487F31"/>
    <w:rsid w:val="00490968"/>
    <w:rsid w:val="004A078B"/>
    <w:rsid w:val="004A0AA3"/>
    <w:rsid w:val="004A1430"/>
    <w:rsid w:val="004A1A66"/>
    <w:rsid w:val="004A221A"/>
    <w:rsid w:val="004A3DFC"/>
    <w:rsid w:val="004A3E2D"/>
    <w:rsid w:val="004A473F"/>
    <w:rsid w:val="004A52C0"/>
    <w:rsid w:val="004A5314"/>
    <w:rsid w:val="004A5AA9"/>
    <w:rsid w:val="004A6D63"/>
    <w:rsid w:val="004A6FB6"/>
    <w:rsid w:val="004B06B9"/>
    <w:rsid w:val="004B0A19"/>
    <w:rsid w:val="004B0F71"/>
    <w:rsid w:val="004B1ED0"/>
    <w:rsid w:val="004B364D"/>
    <w:rsid w:val="004B3912"/>
    <w:rsid w:val="004B3A1B"/>
    <w:rsid w:val="004B4858"/>
    <w:rsid w:val="004B49F4"/>
    <w:rsid w:val="004B4E43"/>
    <w:rsid w:val="004B5019"/>
    <w:rsid w:val="004B589A"/>
    <w:rsid w:val="004B6B04"/>
    <w:rsid w:val="004B6F9D"/>
    <w:rsid w:val="004B7970"/>
    <w:rsid w:val="004C03AB"/>
    <w:rsid w:val="004C12DE"/>
    <w:rsid w:val="004C1DA1"/>
    <w:rsid w:val="004C320B"/>
    <w:rsid w:val="004C346A"/>
    <w:rsid w:val="004C3EA2"/>
    <w:rsid w:val="004C4B95"/>
    <w:rsid w:val="004C585F"/>
    <w:rsid w:val="004C5884"/>
    <w:rsid w:val="004C5DEB"/>
    <w:rsid w:val="004C6522"/>
    <w:rsid w:val="004C673B"/>
    <w:rsid w:val="004C70BB"/>
    <w:rsid w:val="004D0371"/>
    <w:rsid w:val="004D07F1"/>
    <w:rsid w:val="004D0EAD"/>
    <w:rsid w:val="004D1E24"/>
    <w:rsid w:val="004D2C10"/>
    <w:rsid w:val="004D3734"/>
    <w:rsid w:val="004D5E5E"/>
    <w:rsid w:val="004D63CF"/>
    <w:rsid w:val="004D6DF7"/>
    <w:rsid w:val="004D754C"/>
    <w:rsid w:val="004E0133"/>
    <w:rsid w:val="004E0745"/>
    <w:rsid w:val="004E0C0B"/>
    <w:rsid w:val="004E56A4"/>
    <w:rsid w:val="004E5823"/>
    <w:rsid w:val="004E65AF"/>
    <w:rsid w:val="004E66FB"/>
    <w:rsid w:val="004E71FB"/>
    <w:rsid w:val="004E7663"/>
    <w:rsid w:val="004F03E7"/>
    <w:rsid w:val="004F0AA2"/>
    <w:rsid w:val="004F1904"/>
    <w:rsid w:val="004F1E67"/>
    <w:rsid w:val="004F2589"/>
    <w:rsid w:val="004F2A77"/>
    <w:rsid w:val="004F32BF"/>
    <w:rsid w:val="004F4441"/>
    <w:rsid w:val="004F4959"/>
    <w:rsid w:val="004F5D64"/>
    <w:rsid w:val="004F7346"/>
    <w:rsid w:val="004F7769"/>
    <w:rsid w:val="00500985"/>
    <w:rsid w:val="00500D64"/>
    <w:rsid w:val="00500E2E"/>
    <w:rsid w:val="0050173D"/>
    <w:rsid w:val="00501795"/>
    <w:rsid w:val="005021C6"/>
    <w:rsid w:val="0050650E"/>
    <w:rsid w:val="00506904"/>
    <w:rsid w:val="00507273"/>
    <w:rsid w:val="00511B12"/>
    <w:rsid w:val="00511B45"/>
    <w:rsid w:val="00514308"/>
    <w:rsid w:val="00514B13"/>
    <w:rsid w:val="00515358"/>
    <w:rsid w:val="00516066"/>
    <w:rsid w:val="00520A02"/>
    <w:rsid w:val="005225A0"/>
    <w:rsid w:val="00522D75"/>
    <w:rsid w:val="00522DF9"/>
    <w:rsid w:val="00523870"/>
    <w:rsid w:val="005269BD"/>
    <w:rsid w:val="0052732E"/>
    <w:rsid w:val="00527DCC"/>
    <w:rsid w:val="005301BE"/>
    <w:rsid w:val="00531015"/>
    <w:rsid w:val="005338B5"/>
    <w:rsid w:val="00535D55"/>
    <w:rsid w:val="005366C4"/>
    <w:rsid w:val="00536C36"/>
    <w:rsid w:val="00540572"/>
    <w:rsid w:val="00541FEB"/>
    <w:rsid w:val="00542CB4"/>
    <w:rsid w:val="00543750"/>
    <w:rsid w:val="00543F51"/>
    <w:rsid w:val="005447D8"/>
    <w:rsid w:val="0054649A"/>
    <w:rsid w:val="00546C88"/>
    <w:rsid w:val="00547396"/>
    <w:rsid w:val="00547ABD"/>
    <w:rsid w:val="00550083"/>
    <w:rsid w:val="00550263"/>
    <w:rsid w:val="00550BB9"/>
    <w:rsid w:val="00550C53"/>
    <w:rsid w:val="00551ADA"/>
    <w:rsid w:val="0055246E"/>
    <w:rsid w:val="00552833"/>
    <w:rsid w:val="00552F9E"/>
    <w:rsid w:val="00553317"/>
    <w:rsid w:val="00553CC5"/>
    <w:rsid w:val="00553E95"/>
    <w:rsid w:val="00554692"/>
    <w:rsid w:val="005552E0"/>
    <w:rsid w:val="00555ACF"/>
    <w:rsid w:val="00555DDE"/>
    <w:rsid w:val="0055669F"/>
    <w:rsid w:val="005604AE"/>
    <w:rsid w:val="005618DD"/>
    <w:rsid w:val="00562B0D"/>
    <w:rsid w:val="00563836"/>
    <w:rsid w:val="005646D4"/>
    <w:rsid w:val="00564A5E"/>
    <w:rsid w:val="0056558A"/>
    <w:rsid w:val="005660DD"/>
    <w:rsid w:val="00567B40"/>
    <w:rsid w:val="005708A7"/>
    <w:rsid w:val="00570C2D"/>
    <w:rsid w:val="00570EBD"/>
    <w:rsid w:val="00571F89"/>
    <w:rsid w:val="005725F5"/>
    <w:rsid w:val="0057369F"/>
    <w:rsid w:val="005757D4"/>
    <w:rsid w:val="00575818"/>
    <w:rsid w:val="00575FB4"/>
    <w:rsid w:val="0057711E"/>
    <w:rsid w:val="00577AF5"/>
    <w:rsid w:val="005816E1"/>
    <w:rsid w:val="00581D2B"/>
    <w:rsid w:val="005820E4"/>
    <w:rsid w:val="005828F6"/>
    <w:rsid w:val="00583769"/>
    <w:rsid w:val="00585337"/>
    <w:rsid w:val="0058541D"/>
    <w:rsid w:val="005855A1"/>
    <w:rsid w:val="00585CD5"/>
    <w:rsid w:val="00586DCE"/>
    <w:rsid w:val="005871C3"/>
    <w:rsid w:val="0058781F"/>
    <w:rsid w:val="00587840"/>
    <w:rsid w:val="00590B6F"/>
    <w:rsid w:val="00590F76"/>
    <w:rsid w:val="00592A11"/>
    <w:rsid w:val="00593F70"/>
    <w:rsid w:val="00595401"/>
    <w:rsid w:val="00595F86"/>
    <w:rsid w:val="00597A7C"/>
    <w:rsid w:val="005A0241"/>
    <w:rsid w:val="005A174D"/>
    <w:rsid w:val="005A1FC9"/>
    <w:rsid w:val="005A2992"/>
    <w:rsid w:val="005A2D75"/>
    <w:rsid w:val="005A3F6C"/>
    <w:rsid w:val="005A525F"/>
    <w:rsid w:val="005A6162"/>
    <w:rsid w:val="005A7BA6"/>
    <w:rsid w:val="005B1747"/>
    <w:rsid w:val="005B199D"/>
    <w:rsid w:val="005B1A21"/>
    <w:rsid w:val="005B3ABB"/>
    <w:rsid w:val="005B3AE9"/>
    <w:rsid w:val="005B42FB"/>
    <w:rsid w:val="005B578E"/>
    <w:rsid w:val="005B5EDB"/>
    <w:rsid w:val="005B7836"/>
    <w:rsid w:val="005C03E5"/>
    <w:rsid w:val="005C0D1C"/>
    <w:rsid w:val="005C2684"/>
    <w:rsid w:val="005C38FC"/>
    <w:rsid w:val="005C42EA"/>
    <w:rsid w:val="005C44B7"/>
    <w:rsid w:val="005C49BE"/>
    <w:rsid w:val="005C4F76"/>
    <w:rsid w:val="005C547F"/>
    <w:rsid w:val="005C615C"/>
    <w:rsid w:val="005C6BEC"/>
    <w:rsid w:val="005D0900"/>
    <w:rsid w:val="005D0FF9"/>
    <w:rsid w:val="005D288A"/>
    <w:rsid w:val="005D3A26"/>
    <w:rsid w:val="005D4A59"/>
    <w:rsid w:val="005D659A"/>
    <w:rsid w:val="005D70D5"/>
    <w:rsid w:val="005E0557"/>
    <w:rsid w:val="005E0C0D"/>
    <w:rsid w:val="005E0E9A"/>
    <w:rsid w:val="005E228B"/>
    <w:rsid w:val="005E2AD5"/>
    <w:rsid w:val="005E3CDD"/>
    <w:rsid w:val="005E42BF"/>
    <w:rsid w:val="005E4B2A"/>
    <w:rsid w:val="005E4C1D"/>
    <w:rsid w:val="005E4CC3"/>
    <w:rsid w:val="005E6BE8"/>
    <w:rsid w:val="005E7C80"/>
    <w:rsid w:val="005F0674"/>
    <w:rsid w:val="005F0818"/>
    <w:rsid w:val="005F1607"/>
    <w:rsid w:val="005F1777"/>
    <w:rsid w:val="005F2D7C"/>
    <w:rsid w:val="005F495B"/>
    <w:rsid w:val="005F7FCF"/>
    <w:rsid w:val="00600384"/>
    <w:rsid w:val="0060157F"/>
    <w:rsid w:val="00601977"/>
    <w:rsid w:val="0060234A"/>
    <w:rsid w:val="00603352"/>
    <w:rsid w:val="006047A2"/>
    <w:rsid w:val="006055CF"/>
    <w:rsid w:val="00607378"/>
    <w:rsid w:val="00607A7D"/>
    <w:rsid w:val="00612105"/>
    <w:rsid w:val="00613500"/>
    <w:rsid w:val="006143CB"/>
    <w:rsid w:val="00614CCB"/>
    <w:rsid w:val="00617323"/>
    <w:rsid w:val="006177A8"/>
    <w:rsid w:val="006203E5"/>
    <w:rsid w:val="0062042F"/>
    <w:rsid w:val="00620614"/>
    <w:rsid w:val="006229DF"/>
    <w:rsid w:val="00622C31"/>
    <w:rsid w:val="00623C91"/>
    <w:rsid w:val="006267A9"/>
    <w:rsid w:val="006300A6"/>
    <w:rsid w:val="006301DF"/>
    <w:rsid w:val="00631181"/>
    <w:rsid w:val="006319AE"/>
    <w:rsid w:val="00632066"/>
    <w:rsid w:val="00632B4C"/>
    <w:rsid w:val="00633117"/>
    <w:rsid w:val="0063340F"/>
    <w:rsid w:val="00634543"/>
    <w:rsid w:val="00634CB0"/>
    <w:rsid w:val="00634FD0"/>
    <w:rsid w:val="00640B94"/>
    <w:rsid w:val="00640DE2"/>
    <w:rsid w:val="00641276"/>
    <w:rsid w:val="006424D3"/>
    <w:rsid w:val="006437C9"/>
    <w:rsid w:val="00644986"/>
    <w:rsid w:val="006451AD"/>
    <w:rsid w:val="006457AB"/>
    <w:rsid w:val="00645BDE"/>
    <w:rsid w:val="00645FC1"/>
    <w:rsid w:val="0064625C"/>
    <w:rsid w:val="00646F22"/>
    <w:rsid w:val="006472AF"/>
    <w:rsid w:val="00650D9A"/>
    <w:rsid w:val="00650EE3"/>
    <w:rsid w:val="0065172B"/>
    <w:rsid w:val="00651F74"/>
    <w:rsid w:val="00654099"/>
    <w:rsid w:val="00654B49"/>
    <w:rsid w:val="00654B4A"/>
    <w:rsid w:val="00655445"/>
    <w:rsid w:val="006559FF"/>
    <w:rsid w:val="00655F07"/>
    <w:rsid w:val="00655FD5"/>
    <w:rsid w:val="006561F4"/>
    <w:rsid w:val="006576E7"/>
    <w:rsid w:val="0066161D"/>
    <w:rsid w:val="00663165"/>
    <w:rsid w:val="006642B7"/>
    <w:rsid w:val="006649C1"/>
    <w:rsid w:val="00665FAB"/>
    <w:rsid w:val="006661A9"/>
    <w:rsid w:val="00666924"/>
    <w:rsid w:val="006725D7"/>
    <w:rsid w:val="00673550"/>
    <w:rsid w:val="00673C32"/>
    <w:rsid w:val="006757B1"/>
    <w:rsid w:val="00675910"/>
    <w:rsid w:val="00675C5A"/>
    <w:rsid w:val="00675FA9"/>
    <w:rsid w:val="006761E3"/>
    <w:rsid w:val="00677610"/>
    <w:rsid w:val="00681406"/>
    <w:rsid w:val="006824AE"/>
    <w:rsid w:val="006848F4"/>
    <w:rsid w:val="00686013"/>
    <w:rsid w:val="00690BC8"/>
    <w:rsid w:val="00690D88"/>
    <w:rsid w:val="00691B4E"/>
    <w:rsid w:val="00691FFF"/>
    <w:rsid w:val="00693289"/>
    <w:rsid w:val="0069384F"/>
    <w:rsid w:val="00695501"/>
    <w:rsid w:val="00695A2C"/>
    <w:rsid w:val="00695B49"/>
    <w:rsid w:val="00695FB3"/>
    <w:rsid w:val="00697D44"/>
    <w:rsid w:val="006A037C"/>
    <w:rsid w:val="006A1232"/>
    <w:rsid w:val="006A1CCC"/>
    <w:rsid w:val="006A20A9"/>
    <w:rsid w:val="006A5258"/>
    <w:rsid w:val="006A5A68"/>
    <w:rsid w:val="006A60B4"/>
    <w:rsid w:val="006A6FBA"/>
    <w:rsid w:val="006A7495"/>
    <w:rsid w:val="006A7C3E"/>
    <w:rsid w:val="006B0641"/>
    <w:rsid w:val="006B08C1"/>
    <w:rsid w:val="006B0EFA"/>
    <w:rsid w:val="006B1568"/>
    <w:rsid w:val="006B21FF"/>
    <w:rsid w:val="006B3FA0"/>
    <w:rsid w:val="006B474F"/>
    <w:rsid w:val="006B48B5"/>
    <w:rsid w:val="006B56B2"/>
    <w:rsid w:val="006B5709"/>
    <w:rsid w:val="006B5943"/>
    <w:rsid w:val="006B75FA"/>
    <w:rsid w:val="006C176C"/>
    <w:rsid w:val="006C1DAA"/>
    <w:rsid w:val="006C39C0"/>
    <w:rsid w:val="006C4206"/>
    <w:rsid w:val="006C498B"/>
    <w:rsid w:val="006C56EC"/>
    <w:rsid w:val="006C5A9C"/>
    <w:rsid w:val="006C69F8"/>
    <w:rsid w:val="006C7FE6"/>
    <w:rsid w:val="006D003B"/>
    <w:rsid w:val="006D0953"/>
    <w:rsid w:val="006D23FC"/>
    <w:rsid w:val="006D317C"/>
    <w:rsid w:val="006D34A1"/>
    <w:rsid w:val="006D3FBA"/>
    <w:rsid w:val="006D72CE"/>
    <w:rsid w:val="006D772D"/>
    <w:rsid w:val="006E04BC"/>
    <w:rsid w:val="006E0CBA"/>
    <w:rsid w:val="006E1829"/>
    <w:rsid w:val="006E1891"/>
    <w:rsid w:val="006E487C"/>
    <w:rsid w:val="006E491B"/>
    <w:rsid w:val="006E4E19"/>
    <w:rsid w:val="006E5959"/>
    <w:rsid w:val="006E5994"/>
    <w:rsid w:val="006E6A1A"/>
    <w:rsid w:val="006E71DB"/>
    <w:rsid w:val="006E7AF4"/>
    <w:rsid w:val="006F0F33"/>
    <w:rsid w:val="006F111D"/>
    <w:rsid w:val="006F29AC"/>
    <w:rsid w:val="006F325D"/>
    <w:rsid w:val="006F5A21"/>
    <w:rsid w:val="006F6499"/>
    <w:rsid w:val="006F716F"/>
    <w:rsid w:val="007005D5"/>
    <w:rsid w:val="007021BF"/>
    <w:rsid w:val="007034F4"/>
    <w:rsid w:val="00703796"/>
    <w:rsid w:val="00703D8B"/>
    <w:rsid w:val="007049F7"/>
    <w:rsid w:val="00707E30"/>
    <w:rsid w:val="00707F8F"/>
    <w:rsid w:val="0071062C"/>
    <w:rsid w:val="007108A2"/>
    <w:rsid w:val="00710A21"/>
    <w:rsid w:val="00712CFF"/>
    <w:rsid w:val="00713E9A"/>
    <w:rsid w:val="0071454C"/>
    <w:rsid w:val="00716212"/>
    <w:rsid w:val="007170EB"/>
    <w:rsid w:val="00717431"/>
    <w:rsid w:val="0071772F"/>
    <w:rsid w:val="00720317"/>
    <w:rsid w:val="007229E7"/>
    <w:rsid w:val="0072479B"/>
    <w:rsid w:val="00724A45"/>
    <w:rsid w:val="00724B68"/>
    <w:rsid w:val="00724C38"/>
    <w:rsid w:val="00725CC6"/>
    <w:rsid w:val="0073095A"/>
    <w:rsid w:val="00730975"/>
    <w:rsid w:val="00731299"/>
    <w:rsid w:val="00733833"/>
    <w:rsid w:val="00733BC1"/>
    <w:rsid w:val="007356C4"/>
    <w:rsid w:val="00736183"/>
    <w:rsid w:val="007369F5"/>
    <w:rsid w:val="00736C02"/>
    <w:rsid w:val="00736F97"/>
    <w:rsid w:val="00737EEF"/>
    <w:rsid w:val="00737FB5"/>
    <w:rsid w:val="00740789"/>
    <w:rsid w:val="00740C6A"/>
    <w:rsid w:val="0074186E"/>
    <w:rsid w:val="00741B4D"/>
    <w:rsid w:val="00741E6A"/>
    <w:rsid w:val="00742174"/>
    <w:rsid w:val="00743538"/>
    <w:rsid w:val="0074382C"/>
    <w:rsid w:val="007446FF"/>
    <w:rsid w:val="0074730B"/>
    <w:rsid w:val="00750E1F"/>
    <w:rsid w:val="00751313"/>
    <w:rsid w:val="0075201D"/>
    <w:rsid w:val="007527C3"/>
    <w:rsid w:val="00753B5F"/>
    <w:rsid w:val="00753DB9"/>
    <w:rsid w:val="00753E24"/>
    <w:rsid w:val="00754407"/>
    <w:rsid w:val="00755C73"/>
    <w:rsid w:val="00757189"/>
    <w:rsid w:val="00761B9B"/>
    <w:rsid w:val="0076200A"/>
    <w:rsid w:val="0076268B"/>
    <w:rsid w:val="0076586D"/>
    <w:rsid w:val="007659BC"/>
    <w:rsid w:val="00765DF0"/>
    <w:rsid w:val="00767747"/>
    <w:rsid w:val="0076792C"/>
    <w:rsid w:val="00770673"/>
    <w:rsid w:val="007709DF"/>
    <w:rsid w:val="00770E46"/>
    <w:rsid w:val="00771870"/>
    <w:rsid w:val="00771BEC"/>
    <w:rsid w:val="00772E98"/>
    <w:rsid w:val="00774D08"/>
    <w:rsid w:val="00774E3E"/>
    <w:rsid w:val="00775C5D"/>
    <w:rsid w:val="00775CE4"/>
    <w:rsid w:val="00776064"/>
    <w:rsid w:val="007766DE"/>
    <w:rsid w:val="00782A91"/>
    <w:rsid w:val="00782E60"/>
    <w:rsid w:val="0078377B"/>
    <w:rsid w:val="007838AA"/>
    <w:rsid w:val="00783959"/>
    <w:rsid w:val="007849A4"/>
    <w:rsid w:val="007853FF"/>
    <w:rsid w:val="007866D5"/>
    <w:rsid w:val="00786FE6"/>
    <w:rsid w:val="00791505"/>
    <w:rsid w:val="007919DF"/>
    <w:rsid w:val="00792357"/>
    <w:rsid w:val="00792824"/>
    <w:rsid w:val="00794B30"/>
    <w:rsid w:val="007A049A"/>
    <w:rsid w:val="007A0BFD"/>
    <w:rsid w:val="007A1B41"/>
    <w:rsid w:val="007A3D4C"/>
    <w:rsid w:val="007A4D63"/>
    <w:rsid w:val="007A5071"/>
    <w:rsid w:val="007A5892"/>
    <w:rsid w:val="007A5965"/>
    <w:rsid w:val="007B06E0"/>
    <w:rsid w:val="007B0CE6"/>
    <w:rsid w:val="007B1F5B"/>
    <w:rsid w:val="007B2182"/>
    <w:rsid w:val="007B25AE"/>
    <w:rsid w:val="007B2722"/>
    <w:rsid w:val="007B2B85"/>
    <w:rsid w:val="007B322F"/>
    <w:rsid w:val="007B6ADC"/>
    <w:rsid w:val="007C06AE"/>
    <w:rsid w:val="007C2522"/>
    <w:rsid w:val="007C48AB"/>
    <w:rsid w:val="007C56D9"/>
    <w:rsid w:val="007C5B42"/>
    <w:rsid w:val="007C5FD2"/>
    <w:rsid w:val="007C760D"/>
    <w:rsid w:val="007C7694"/>
    <w:rsid w:val="007C7896"/>
    <w:rsid w:val="007D06AC"/>
    <w:rsid w:val="007D1A63"/>
    <w:rsid w:val="007D2CD6"/>
    <w:rsid w:val="007D396D"/>
    <w:rsid w:val="007D43CD"/>
    <w:rsid w:val="007D60B7"/>
    <w:rsid w:val="007D6C63"/>
    <w:rsid w:val="007E0360"/>
    <w:rsid w:val="007E044D"/>
    <w:rsid w:val="007E2A55"/>
    <w:rsid w:val="007E32E5"/>
    <w:rsid w:val="007E33BC"/>
    <w:rsid w:val="007E49EF"/>
    <w:rsid w:val="007E5E1E"/>
    <w:rsid w:val="007E61EA"/>
    <w:rsid w:val="007E665F"/>
    <w:rsid w:val="007F03CE"/>
    <w:rsid w:val="007F1C6A"/>
    <w:rsid w:val="007F31A8"/>
    <w:rsid w:val="007F4DB4"/>
    <w:rsid w:val="007F6583"/>
    <w:rsid w:val="007F7808"/>
    <w:rsid w:val="0080083B"/>
    <w:rsid w:val="00800D8F"/>
    <w:rsid w:val="0080123E"/>
    <w:rsid w:val="0080516D"/>
    <w:rsid w:val="00807492"/>
    <w:rsid w:val="00810C8B"/>
    <w:rsid w:val="00810E5C"/>
    <w:rsid w:val="008111E2"/>
    <w:rsid w:val="00811B6E"/>
    <w:rsid w:val="008138DD"/>
    <w:rsid w:val="00813AE7"/>
    <w:rsid w:val="00813CD3"/>
    <w:rsid w:val="00813EB7"/>
    <w:rsid w:val="00815788"/>
    <w:rsid w:val="008163D4"/>
    <w:rsid w:val="008165B3"/>
    <w:rsid w:val="00820064"/>
    <w:rsid w:val="008216CC"/>
    <w:rsid w:val="00821838"/>
    <w:rsid w:val="00822C35"/>
    <w:rsid w:val="00824B4B"/>
    <w:rsid w:val="00826C8B"/>
    <w:rsid w:val="008271D0"/>
    <w:rsid w:val="008277EA"/>
    <w:rsid w:val="008300AF"/>
    <w:rsid w:val="00834045"/>
    <w:rsid w:val="0083457E"/>
    <w:rsid w:val="00834D5D"/>
    <w:rsid w:val="008372E3"/>
    <w:rsid w:val="0083734C"/>
    <w:rsid w:val="0084134E"/>
    <w:rsid w:val="0084260A"/>
    <w:rsid w:val="0084301D"/>
    <w:rsid w:val="0084321A"/>
    <w:rsid w:val="008437A6"/>
    <w:rsid w:val="00843C83"/>
    <w:rsid w:val="0084550A"/>
    <w:rsid w:val="00846A2A"/>
    <w:rsid w:val="00847615"/>
    <w:rsid w:val="00851508"/>
    <w:rsid w:val="008516A1"/>
    <w:rsid w:val="00851712"/>
    <w:rsid w:val="00851C6A"/>
    <w:rsid w:val="00852756"/>
    <w:rsid w:val="008531AF"/>
    <w:rsid w:val="00853348"/>
    <w:rsid w:val="00853D2D"/>
    <w:rsid w:val="0085458B"/>
    <w:rsid w:val="00856FA5"/>
    <w:rsid w:val="00857715"/>
    <w:rsid w:val="0085789F"/>
    <w:rsid w:val="00857D0A"/>
    <w:rsid w:val="00861E24"/>
    <w:rsid w:val="00862022"/>
    <w:rsid w:val="0086217A"/>
    <w:rsid w:val="008626F3"/>
    <w:rsid w:val="00863397"/>
    <w:rsid w:val="00866099"/>
    <w:rsid w:val="00866476"/>
    <w:rsid w:val="008669AC"/>
    <w:rsid w:val="008673C6"/>
    <w:rsid w:val="00867CDE"/>
    <w:rsid w:val="00870079"/>
    <w:rsid w:val="00871061"/>
    <w:rsid w:val="00871384"/>
    <w:rsid w:val="00872F3E"/>
    <w:rsid w:val="008745FB"/>
    <w:rsid w:val="0087673A"/>
    <w:rsid w:val="00876960"/>
    <w:rsid w:val="00877003"/>
    <w:rsid w:val="00880471"/>
    <w:rsid w:val="00881588"/>
    <w:rsid w:val="0088167A"/>
    <w:rsid w:val="008823B8"/>
    <w:rsid w:val="008828A9"/>
    <w:rsid w:val="008829DC"/>
    <w:rsid w:val="00882C4D"/>
    <w:rsid w:val="00882C69"/>
    <w:rsid w:val="008832B0"/>
    <w:rsid w:val="00883433"/>
    <w:rsid w:val="0088401F"/>
    <w:rsid w:val="00884C14"/>
    <w:rsid w:val="00886362"/>
    <w:rsid w:val="00886961"/>
    <w:rsid w:val="00886AA5"/>
    <w:rsid w:val="00886EEE"/>
    <w:rsid w:val="00890456"/>
    <w:rsid w:val="0089056E"/>
    <w:rsid w:val="00890C32"/>
    <w:rsid w:val="00890C8F"/>
    <w:rsid w:val="00891BFB"/>
    <w:rsid w:val="0089361C"/>
    <w:rsid w:val="00894098"/>
    <w:rsid w:val="00894508"/>
    <w:rsid w:val="00896793"/>
    <w:rsid w:val="008A02E8"/>
    <w:rsid w:val="008A044F"/>
    <w:rsid w:val="008A2DCB"/>
    <w:rsid w:val="008A3D3D"/>
    <w:rsid w:val="008A5335"/>
    <w:rsid w:val="008A72BC"/>
    <w:rsid w:val="008B0266"/>
    <w:rsid w:val="008B1667"/>
    <w:rsid w:val="008B1746"/>
    <w:rsid w:val="008B2414"/>
    <w:rsid w:val="008B3914"/>
    <w:rsid w:val="008B4B28"/>
    <w:rsid w:val="008B4BFE"/>
    <w:rsid w:val="008B5B8A"/>
    <w:rsid w:val="008B5C75"/>
    <w:rsid w:val="008B6DEB"/>
    <w:rsid w:val="008C0EDC"/>
    <w:rsid w:val="008C12D1"/>
    <w:rsid w:val="008C238F"/>
    <w:rsid w:val="008C2BDC"/>
    <w:rsid w:val="008C4A74"/>
    <w:rsid w:val="008C4B3C"/>
    <w:rsid w:val="008C65F2"/>
    <w:rsid w:val="008C7D7D"/>
    <w:rsid w:val="008D0C74"/>
    <w:rsid w:val="008D0F41"/>
    <w:rsid w:val="008D1A8A"/>
    <w:rsid w:val="008D33F1"/>
    <w:rsid w:val="008D49BE"/>
    <w:rsid w:val="008E00B1"/>
    <w:rsid w:val="008E1930"/>
    <w:rsid w:val="008E2ABE"/>
    <w:rsid w:val="008E320B"/>
    <w:rsid w:val="008E3EA3"/>
    <w:rsid w:val="008E6410"/>
    <w:rsid w:val="008E6E7D"/>
    <w:rsid w:val="008E7C22"/>
    <w:rsid w:val="008E7F1D"/>
    <w:rsid w:val="008F0A63"/>
    <w:rsid w:val="008F0DDA"/>
    <w:rsid w:val="008F146D"/>
    <w:rsid w:val="008F2FE0"/>
    <w:rsid w:val="008F3A8C"/>
    <w:rsid w:val="008F46CB"/>
    <w:rsid w:val="008F4C12"/>
    <w:rsid w:val="008F4DA4"/>
    <w:rsid w:val="008F56CD"/>
    <w:rsid w:val="008F6C23"/>
    <w:rsid w:val="008F7FDB"/>
    <w:rsid w:val="00900418"/>
    <w:rsid w:val="009018D6"/>
    <w:rsid w:val="00901BE1"/>
    <w:rsid w:val="00902FF2"/>
    <w:rsid w:val="009046F4"/>
    <w:rsid w:val="00904B3B"/>
    <w:rsid w:val="00905617"/>
    <w:rsid w:val="00905CE2"/>
    <w:rsid w:val="00905E22"/>
    <w:rsid w:val="00906603"/>
    <w:rsid w:val="00907AC4"/>
    <w:rsid w:val="00907F4F"/>
    <w:rsid w:val="00910EF0"/>
    <w:rsid w:val="00911D1D"/>
    <w:rsid w:val="00912AF6"/>
    <w:rsid w:val="00913B29"/>
    <w:rsid w:val="00913BC7"/>
    <w:rsid w:val="00914324"/>
    <w:rsid w:val="0091691D"/>
    <w:rsid w:val="00917DE4"/>
    <w:rsid w:val="00917EF3"/>
    <w:rsid w:val="00922180"/>
    <w:rsid w:val="009228CF"/>
    <w:rsid w:val="009231DE"/>
    <w:rsid w:val="00923D8F"/>
    <w:rsid w:val="009241CE"/>
    <w:rsid w:val="009241F4"/>
    <w:rsid w:val="00924F25"/>
    <w:rsid w:val="009258D7"/>
    <w:rsid w:val="00927B7C"/>
    <w:rsid w:val="0093004B"/>
    <w:rsid w:val="00931452"/>
    <w:rsid w:val="00931898"/>
    <w:rsid w:val="009318A2"/>
    <w:rsid w:val="00931CFD"/>
    <w:rsid w:val="00932712"/>
    <w:rsid w:val="00933D97"/>
    <w:rsid w:val="00934C6B"/>
    <w:rsid w:val="00935AF4"/>
    <w:rsid w:val="009368D7"/>
    <w:rsid w:val="00936940"/>
    <w:rsid w:val="00937A5B"/>
    <w:rsid w:val="00940B4D"/>
    <w:rsid w:val="0094146B"/>
    <w:rsid w:val="009414C7"/>
    <w:rsid w:val="00941A2F"/>
    <w:rsid w:val="009427F3"/>
    <w:rsid w:val="00944C6C"/>
    <w:rsid w:val="00945526"/>
    <w:rsid w:val="0094734D"/>
    <w:rsid w:val="009516BE"/>
    <w:rsid w:val="00951FF7"/>
    <w:rsid w:val="009534A3"/>
    <w:rsid w:val="00953CBA"/>
    <w:rsid w:val="0095423B"/>
    <w:rsid w:val="0095494A"/>
    <w:rsid w:val="0095513D"/>
    <w:rsid w:val="00955AB0"/>
    <w:rsid w:val="00955DA3"/>
    <w:rsid w:val="0095645B"/>
    <w:rsid w:val="00960588"/>
    <w:rsid w:val="00960B57"/>
    <w:rsid w:val="00960E57"/>
    <w:rsid w:val="00961679"/>
    <w:rsid w:val="009634D3"/>
    <w:rsid w:val="00964C3C"/>
    <w:rsid w:val="00965149"/>
    <w:rsid w:val="009669FF"/>
    <w:rsid w:val="00967A01"/>
    <w:rsid w:val="009709C0"/>
    <w:rsid w:val="00970B21"/>
    <w:rsid w:val="00971102"/>
    <w:rsid w:val="0097136A"/>
    <w:rsid w:val="00971DD8"/>
    <w:rsid w:val="00972DAF"/>
    <w:rsid w:val="00972F0B"/>
    <w:rsid w:val="009746D4"/>
    <w:rsid w:val="00975147"/>
    <w:rsid w:val="00976316"/>
    <w:rsid w:val="00976437"/>
    <w:rsid w:val="00976455"/>
    <w:rsid w:val="00976608"/>
    <w:rsid w:val="0098098E"/>
    <w:rsid w:val="009810AB"/>
    <w:rsid w:val="00981B87"/>
    <w:rsid w:val="009831DC"/>
    <w:rsid w:val="00983D42"/>
    <w:rsid w:val="00984D0E"/>
    <w:rsid w:val="0098670E"/>
    <w:rsid w:val="00987B8E"/>
    <w:rsid w:val="00990DF8"/>
    <w:rsid w:val="0099124D"/>
    <w:rsid w:val="00991834"/>
    <w:rsid w:val="00995C3D"/>
    <w:rsid w:val="00995CAF"/>
    <w:rsid w:val="00996840"/>
    <w:rsid w:val="009A022F"/>
    <w:rsid w:val="009A0363"/>
    <w:rsid w:val="009A18CB"/>
    <w:rsid w:val="009A1EFE"/>
    <w:rsid w:val="009A1F38"/>
    <w:rsid w:val="009A3003"/>
    <w:rsid w:val="009A43A6"/>
    <w:rsid w:val="009A642B"/>
    <w:rsid w:val="009B270A"/>
    <w:rsid w:val="009B3E50"/>
    <w:rsid w:val="009B4882"/>
    <w:rsid w:val="009B533F"/>
    <w:rsid w:val="009B67A2"/>
    <w:rsid w:val="009B71BB"/>
    <w:rsid w:val="009B723A"/>
    <w:rsid w:val="009C0186"/>
    <w:rsid w:val="009C04B9"/>
    <w:rsid w:val="009C0A88"/>
    <w:rsid w:val="009C0D45"/>
    <w:rsid w:val="009C1422"/>
    <w:rsid w:val="009C19B8"/>
    <w:rsid w:val="009C2254"/>
    <w:rsid w:val="009C2C3A"/>
    <w:rsid w:val="009C2F95"/>
    <w:rsid w:val="009C360E"/>
    <w:rsid w:val="009C4411"/>
    <w:rsid w:val="009C4D88"/>
    <w:rsid w:val="009C516C"/>
    <w:rsid w:val="009C5FBD"/>
    <w:rsid w:val="009C6D29"/>
    <w:rsid w:val="009C76AF"/>
    <w:rsid w:val="009C78CF"/>
    <w:rsid w:val="009D1770"/>
    <w:rsid w:val="009D1D54"/>
    <w:rsid w:val="009D275F"/>
    <w:rsid w:val="009D2777"/>
    <w:rsid w:val="009D28BB"/>
    <w:rsid w:val="009D28BE"/>
    <w:rsid w:val="009D3A0D"/>
    <w:rsid w:val="009D4DD2"/>
    <w:rsid w:val="009D5002"/>
    <w:rsid w:val="009D5446"/>
    <w:rsid w:val="009D5B3C"/>
    <w:rsid w:val="009D7E67"/>
    <w:rsid w:val="009E0060"/>
    <w:rsid w:val="009E17F2"/>
    <w:rsid w:val="009E25AB"/>
    <w:rsid w:val="009E2ECA"/>
    <w:rsid w:val="009E3404"/>
    <w:rsid w:val="009E415C"/>
    <w:rsid w:val="009E435E"/>
    <w:rsid w:val="009E4FA8"/>
    <w:rsid w:val="009E5C8A"/>
    <w:rsid w:val="009E6EAF"/>
    <w:rsid w:val="009F1969"/>
    <w:rsid w:val="009F1BC0"/>
    <w:rsid w:val="009F1D39"/>
    <w:rsid w:val="009F42D9"/>
    <w:rsid w:val="009F558B"/>
    <w:rsid w:val="009F5F18"/>
    <w:rsid w:val="009F6089"/>
    <w:rsid w:val="009F762B"/>
    <w:rsid w:val="009F76E2"/>
    <w:rsid w:val="009F77CE"/>
    <w:rsid w:val="009F7A6E"/>
    <w:rsid w:val="00A01B4C"/>
    <w:rsid w:val="00A01CE9"/>
    <w:rsid w:val="00A02418"/>
    <w:rsid w:val="00A047D4"/>
    <w:rsid w:val="00A053AC"/>
    <w:rsid w:val="00A059FA"/>
    <w:rsid w:val="00A05A35"/>
    <w:rsid w:val="00A061B6"/>
    <w:rsid w:val="00A110B6"/>
    <w:rsid w:val="00A13080"/>
    <w:rsid w:val="00A13105"/>
    <w:rsid w:val="00A133C4"/>
    <w:rsid w:val="00A14F62"/>
    <w:rsid w:val="00A1555F"/>
    <w:rsid w:val="00A205A4"/>
    <w:rsid w:val="00A23399"/>
    <w:rsid w:val="00A27CE6"/>
    <w:rsid w:val="00A32AA2"/>
    <w:rsid w:val="00A3530D"/>
    <w:rsid w:val="00A3554E"/>
    <w:rsid w:val="00A3658E"/>
    <w:rsid w:val="00A3702B"/>
    <w:rsid w:val="00A37FCF"/>
    <w:rsid w:val="00A40BAD"/>
    <w:rsid w:val="00A42226"/>
    <w:rsid w:val="00A431BE"/>
    <w:rsid w:val="00A43B1D"/>
    <w:rsid w:val="00A43BDD"/>
    <w:rsid w:val="00A445A6"/>
    <w:rsid w:val="00A464AC"/>
    <w:rsid w:val="00A50A2E"/>
    <w:rsid w:val="00A52759"/>
    <w:rsid w:val="00A529EE"/>
    <w:rsid w:val="00A52E42"/>
    <w:rsid w:val="00A54222"/>
    <w:rsid w:val="00A5515A"/>
    <w:rsid w:val="00A55D62"/>
    <w:rsid w:val="00A57687"/>
    <w:rsid w:val="00A60EC2"/>
    <w:rsid w:val="00A63050"/>
    <w:rsid w:val="00A64059"/>
    <w:rsid w:val="00A64C0C"/>
    <w:rsid w:val="00A64DBB"/>
    <w:rsid w:val="00A65D26"/>
    <w:rsid w:val="00A66352"/>
    <w:rsid w:val="00A663F4"/>
    <w:rsid w:val="00A6727B"/>
    <w:rsid w:val="00A67B5D"/>
    <w:rsid w:val="00A71070"/>
    <w:rsid w:val="00A73798"/>
    <w:rsid w:val="00A73B12"/>
    <w:rsid w:val="00A7446D"/>
    <w:rsid w:val="00A75E72"/>
    <w:rsid w:val="00A75F20"/>
    <w:rsid w:val="00A760AE"/>
    <w:rsid w:val="00A767D7"/>
    <w:rsid w:val="00A76A25"/>
    <w:rsid w:val="00A8017B"/>
    <w:rsid w:val="00A80782"/>
    <w:rsid w:val="00A80BC3"/>
    <w:rsid w:val="00A819BE"/>
    <w:rsid w:val="00A81E8C"/>
    <w:rsid w:val="00A8243A"/>
    <w:rsid w:val="00A85D48"/>
    <w:rsid w:val="00A8653D"/>
    <w:rsid w:val="00A875B1"/>
    <w:rsid w:val="00A87ED0"/>
    <w:rsid w:val="00A90040"/>
    <w:rsid w:val="00A9019F"/>
    <w:rsid w:val="00A90326"/>
    <w:rsid w:val="00A90562"/>
    <w:rsid w:val="00A907AE"/>
    <w:rsid w:val="00A92A07"/>
    <w:rsid w:val="00A934DF"/>
    <w:rsid w:val="00A93E4E"/>
    <w:rsid w:val="00A940D5"/>
    <w:rsid w:val="00A95442"/>
    <w:rsid w:val="00A95DC4"/>
    <w:rsid w:val="00AA0EBE"/>
    <w:rsid w:val="00AA1006"/>
    <w:rsid w:val="00AA2097"/>
    <w:rsid w:val="00AA26D5"/>
    <w:rsid w:val="00AA2924"/>
    <w:rsid w:val="00AA2CB8"/>
    <w:rsid w:val="00AA3961"/>
    <w:rsid w:val="00AA5CB3"/>
    <w:rsid w:val="00AA7013"/>
    <w:rsid w:val="00AA7B15"/>
    <w:rsid w:val="00AB04AD"/>
    <w:rsid w:val="00AB144E"/>
    <w:rsid w:val="00AB2C07"/>
    <w:rsid w:val="00AB371B"/>
    <w:rsid w:val="00AB432E"/>
    <w:rsid w:val="00AB48F6"/>
    <w:rsid w:val="00AB55A7"/>
    <w:rsid w:val="00AB5ABD"/>
    <w:rsid w:val="00AB5C33"/>
    <w:rsid w:val="00AB5F73"/>
    <w:rsid w:val="00AB7374"/>
    <w:rsid w:val="00AC145A"/>
    <w:rsid w:val="00AC27BE"/>
    <w:rsid w:val="00AC3273"/>
    <w:rsid w:val="00AC3E5F"/>
    <w:rsid w:val="00AC4233"/>
    <w:rsid w:val="00AC4476"/>
    <w:rsid w:val="00AC474E"/>
    <w:rsid w:val="00AC50CF"/>
    <w:rsid w:val="00AC5D2D"/>
    <w:rsid w:val="00AC752D"/>
    <w:rsid w:val="00AC7AFA"/>
    <w:rsid w:val="00AC7F17"/>
    <w:rsid w:val="00AD03E3"/>
    <w:rsid w:val="00AD0B19"/>
    <w:rsid w:val="00AD1975"/>
    <w:rsid w:val="00AD1DD4"/>
    <w:rsid w:val="00AD30E5"/>
    <w:rsid w:val="00AD32C0"/>
    <w:rsid w:val="00AD3F59"/>
    <w:rsid w:val="00AD4B3E"/>
    <w:rsid w:val="00AD55F5"/>
    <w:rsid w:val="00AD61DA"/>
    <w:rsid w:val="00AD65AB"/>
    <w:rsid w:val="00AE1C74"/>
    <w:rsid w:val="00AE234A"/>
    <w:rsid w:val="00AE2559"/>
    <w:rsid w:val="00AE27ED"/>
    <w:rsid w:val="00AE3829"/>
    <w:rsid w:val="00AE4709"/>
    <w:rsid w:val="00AE4C45"/>
    <w:rsid w:val="00AE5320"/>
    <w:rsid w:val="00AE53D3"/>
    <w:rsid w:val="00AE6BE4"/>
    <w:rsid w:val="00AE72D3"/>
    <w:rsid w:val="00AE768F"/>
    <w:rsid w:val="00AE7940"/>
    <w:rsid w:val="00AF1443"/>
    <w:rsid w:val="00AF15A3"/>
    <w:rsid w:val="00AF4434"/>
    <w:rsid w:val="00AF4F20"/>
    <w:rsid w:val="00AF58F1"/>
    <w:rsid w:val="00AF68A0"/>
    <w:rsid w:val="00AF6B0E"/>
    <w:rsid w:val="00AF6E9E"/>
    <w:rsid w:val="00AF7255"/>
    <w:rsid w:val="00AF7B97"/>
    <w:rsid w:val="00B0185F"/>
    <w:rsid w:val="00B01B55"/>
    <w:rsid w:val="00B01FE5"/>
    <w:rsid w:val="00B02AB0"/>
    <w:rsid w:val="00B0349C"/>
    <w:rsid w:val="00B03AB7"/>
    <w:rsid w:val="00B049C6"/>
    <w:rsid w:val="00B0538B"/>
    <w:rsid w:val="00B05549"/>
    <w:rsid w:val="00B0595E"/>
    <w:rsid w:val="00B06946"/>
    <w:rsid w:val="00B06FF4"/>
    <w:rsid w:val="00B07139"/>
    <w:rsid w:val="00B11942"/>
    <w:rsid w:val="00B12176"/>
    <w:rsid w:val="00B12264"/>
    <w:rsid w:val="00B12919"/>
    <w:rsid w:val="00B13B40"/>
    <w:rsid w:val="00B13EA7"/>
    <w:rsid w:val="00B14F1B"/>
    <w:rsid w:val="00B1585D"/>
    <w:rsid w:val="00B16727"/>
    <w:rsid w:val="00B2023B"/>
    <w:rsid w:val="00B21878"/>
    <w:rsid w:val="00B22EB5"/>
    <w:rsid w:val="00B230A3"/>
    <w:rsid w:val="00B24108"/>
    <w:rsid w:val="00B24BAB"/>
    <w:rsid w:val="00B24D95"/>
    <w:rsid w:val="00B26DEE"/>
    <w:rsid w:val="00B27A39"/>
    <w:rsid w:val="00B30473"/>
    <w:rsid w:val="00B308AB"/>
    <w:rsid w:val="00B30F44"/>
    <w:rsid w:val="00B31F57"/>
    <w:rsid w:val="00B329C5"/>
    <w:rsid w:val="00B329F5"/>
    <w:rsid w:val="00B33315"/>
    <w:rsid w:val="00B3492F"/>
    <w:rsid w:val="00B34D0C"/>
    <w:rsid w:val="00B34DF9"/>
    <w:rsid w:val="00B353A1"/>
    <w:rsid w:val="00B35DFF"/>
    <w:rsid w:val="00B3660C"/>
    <w:rsid w:val="00B36FD4"/>
    <w:rsid w:val="00B374D4"/>
    <w:rsid w:val="00B4020F"/>
    <w:rsid w:val="00B4158E"/>
    <w:rsid w:val="00B41AF4"/>
    <w:rsid w:val="00B42354"/>
    <w:rsid w:val="00B42B84"/>
    <w:rsid w:val="00B4308D"/>
    <w:rsid w:val="00B43AFD"/>
    <w:rsid w:val="00B44227"/>
    <w:rsid w:val="00B45B2B"/>
    <w:rsid w:val="00B45CB2"/>
    <w:rsid w:val="00B45D08"/>
    <w:rsid w:val="00B4693A"/>
    <w:rsid w:val="00B51468"/>
    <w:rsid w:val="00B5170B"/>
    <w:rsid w:val="00B52B23"/>
    <w:rsid w:val="00B53E5D"/>
    <w:rsid w:val="00B544E1"/>
    <w:rsid w:val="00B55509"/>
    <w:rsid w:val="00B558E6"/>
    <w:rsid w:val="00B558FD"/>
    <w:rsid w:val="00B55D28"/>
    <w:rsid w:val="00B56224"/>
    <w:rsid w:val="00B60A6F"/>
    <w:rsid w:val="00B6114D"/>
    <w:rsid w:val="00B613A4"/>
    <w:rsid w:val="00B613FC"/>
    <w:rsid w:val="00B632B4"/>
    <w:rsid w:val="00B63B6A"/>
    <w:rsid w:val="00B70375"/>
    <w:rsid w:val="00B70476"/>
    <w:rsid w:val="00B70AA7"/>
    <w:rsid w:val="00B72520"/>
    <w:rsid w:val="00B7321A"/>
    <w:rsid w:val="00B73E61"/>
    <w:rsid w:val="00B745D8"/>
    <w:rsid w:val="00B7558B"/>
    <w:rsid w:val="00B76953"/>
    <w:rsid w:val="00B76AEC"/>
    <w:rsid w:val="00B775DC"/>
    <w:rsid w:val="00B801D4"/>
    <w:rsid w:val="00B81991"/>
    <w:rsid w:val="00B821A3"/>
    <w:rsid w:val="00B83E4D"/>
    <w:rsid w:val="00B8495D"/>
    <w:rsid w:val="00B8591D"/>
    <w:rsid w:val="00B85A68"/>
    <w:rsid w:val="00B862F4"/>
    <w:rsid w:val="00B874A7"/>
    <w:rsid w:val="00B87C6C"/>
    <w:rsid w:val="00B91330"/>
    <w:rsid w:val="00B91597"/>
    <w:rsid w:val="00B91D03"/>
    <w:rsid w:val="00B9213C"/>
    <w:rsid w:val="00B9247D"/>
    <w:rsid w:val="00B92BF8"/>
    <w:rsid w:val="00B942AA"/>
    <w:rsid w:val="00B95254"/>
    <w:rsid w:val="00B95638"/>
    <w:rsid w:val="00B95E9B"/>
    <w:rsid w:val="00B9740F"/>
    <w:rsid w:val="00BA0272"/>
    <w:rsid w:val="00BA1274"/>
    <w:rsid w:val="00BA27BD"/>
    <w:rsid w:val="00BA3069"/>
    <w:rsid w:val="00BA32C9"/>
    <w:rsid w:val="00BA341E"/>
    <w:rsid w:val="00BA4C5C"/>
    <w:rsid w:val="00BA5129"/>
    <w:rsid w:val="00BA5DAF"/>
    <w:rsid w:val="00BA7CCF"/>
    <w:rsid w:val="00BB087A"/>
    <w:rsid w:val="00BB113C"/>
    <w:rsid w:val="00BB17DD"/>
    <w:rsid w:val="00BB3B34"/>
    <w:rsid w:val="00BB4F90"/>
    <w:rsid w:val="00BB54B5"/>
    <w:rsid w:val="00BC32B4"/>
    <w:rsid w:val="00BC3399"/>
    <w:rsid w:val="00BC3F36"/>
    <w:rsid w:val="00BC53B8"/>
    <w:rsid w:val="00BC58A2"/>
    <w:rsid w:val="00BC5A54"/>
    <w:rsid w:val="00BC5DDB"/>
    <w:rsid w:val="00BC637A"/>
    <w:rsid w:val="00BC6FFA"/>
    <w:rsid w:val="00BC76B6"/>
    <w:rsid w:val="00BD145A"/>
    <w:rsid w:val="00BD2211"/>
    <w:rsid w:val="00BD3C98"/>
    <w:rsid w:val="00BD66DD"/>
    <w:rsid w:val="00BD6712"/>
    <w:rsid w:val="00BE012D"/>
    <w:rsid w:val="00BE025C"/>
    <w:rsid w:val="00BE090C"/>
    <w:rsid w:val="00BE0D0E"/>
    <w:rsid w:val="00BE1C59"/>
    <w:rsid w:val="00BE2171"/>
    <w:rsid w:val="00BE2262"/>
    <w:rsid w:val="00BE51AE"/>
    <w:rsid w:val="00BE5257"/>
    <w:rsid w:val="00BE6300"/>
    <w:rsid w:val="00BF05A3"/>
    <w:rsid w:val="00BF0EA8"/>
    <w:rsid w:val="00BF4728"/>
    <w:rsid w:val="00BF6DCB"/>
    <w:rsid w:val="00BF7281"/>
    <w:rsid w:val="00C00579"/>
    <w:rsid w:val="00C009FA"/>
    <w:rsid w:val="00C01337"/>
    <w:rsid w:val="00C02996"/>
    <w:rsid w:val="00C04338"/>
    <w:rsid w:val="00C05381"/>
    <w:rsid w:val="00C05DE6"/>
    <w:rsid w:val="00C05F8F"/>
    <w:rsid w:val="00C06813"/>
    <w:rsid w:val="00C06EF3"/>
    <w:rsid w:val="00C070B9"/>
    <w:rsid w:val="00C07424"/>
    <w:rsid w:val="00C07836"/>
    <w:rsid w:val="00C079EA"/>
    <w:rsid w:val="00C07DF7"/>
    <w:rsid w:val="00C1103F"/>
    <w:rsid w:val="00C114FE"/>
    <w:rsid w:val="00C11947"/>
    <w:rsid w:val="00C11978"/>
    <w:rsid w:val="00C1218C"/>
    <w:rsid w:val="00C14C5A"/>
    <w:rsid w:val="00C14FD5"/>
    <w:rsid w:val="00C159A7"/>
    <w:rsid w:val="00C2022D"/>
    <w:rsid w:val="00C204CC"/>
    <w:rsid w:val="00C217A9"/>
    <w:rsid w:val="00C2228C"/>
    <w:rsid w:val="00C23CE2"/>
    <w:rsid w:val="00C23ED0"/>
    <w:rsid w:val="00C24DCC"/>
    <w:rsid w:val="00C25F0B"/>
    <w:rsid w:val="00C26315"/>
    <w:rsid w:val="00C31AEE"/>
    <w:rsid w:val="00C31F80"/>
    <w:rsid w:val="00C325AA"/>
    <w:rsid w:val="00C32783"/>
    <w:rsid w:val="00C32EDA"/>
    <w:rsid w:val="00C3300A"/>
    <w:rsid w:val="00C338CE"/>
    <w:rsid w:val="00C3532F"/>
    <w:rsid w:val="00C3592D"/>
    <w:rsid w:val="00C36909"/>
    <w:rsid w:val="00C40BD0"/>
    <w:rsid w:val="00C410E9"/>
    <w:rsid w:val="00C41AA7"/>
    <w:rsid w:val="00C41EC6"/>
    <w:rsid w:val="00C424BD"/>
    <w:rsid w:val="00C4520D"/>
    <w:rsid w:val="00C455A8"/>
    <w:rsid w:val="00C45C81"/>
    <w:rsid w:val="00C46EB3"/>
    <w:rsid w:val="00C47E1A"/>
    <w:rsid w:val="00C501A1"/>
    <w:rsid w:val="00C50A44"/>
    <w:rsid w:val="00C5195C"/>
    <w:rsid w:val="00C519DF"/>
    <w:rsid w:val="00C53BC3"/>
    <w:rsid w:val="00C5439E"/>
    <w:rsid w:val="00C54BD7"/>
    <w:rsid w:val="00C55334"/>
    <w:rsid w:val="00C55862"/>
    <w:rsid w:val="00C55F33"/>
    <w:rsid w:val="00C560E4"/>
    <w:rsid w:val="00C562F5"/>
    <w:rsid w:val="00C60479"/>
    <w:rsid w:val="00C60AAF"/>
    <w:rsid w:val="00C60F13"/>
    <w:rsid w:val="00C64706"/>
    <w:rsid w:val="00C649D8"/>
    <w:rsid w:val="00C65C48"/>
    <w:rsid w:val="00C65FA5"/>
    <w:rsid w:val="00C66036"/>
    <w:rsid w:val="00C66C04"/>
    <w:rsid w:val="00C671B5"/>
    <w:rsid w:val="00C71122"/>
    <w:rsid w:val="00C726CF"/>
    <w:rsid w:val="00C727AA"/>
    <w:rsid w:val="00C72D28"/>
    <w:rsid w:val="00C72EB2"/>
    <w:rsid w:val="00C73EB8"/>
    <w:rsid w:val="00C744E0"/>
    <w:rsid w:val="00C753D8"/>
    <w:rsid w:val="00C75824"/>
    <w:rsid w:val="00C777C6"/>
    <w:rsid w:val="00C801CA"/>
    <w:rsid w:val="00C80EED"/>
    <w:rsid w:val="00C8169A"/>
    <w:rsid w:val="00C81EDE"/>
    <w:rsid w:val="00C82518"/>
    <w:rsid w:val="00C82E7D"/>
    <w:rsid w:val="00C837EB"/>
    <w:rsid w:val="00C842B0"/>
    <w:rsid w:val="00C84BC0"/>
    <w:rsid w:val="00C85B84"/>
    <w:rsid w:val="00C85D2C"/>
    <w:rsid w:val="00C87796"/>
    <w:rsid w:val="00C8797F"/>
    <w:rsid w:val="00C879AF"/>
    <w:rsid w:val="00C90AC5"/>
    <w:rsid w:val="00C91564"/>
    <w:rsid w:val="00C93185"/>
    <w:rsid w:val="00C93602"/>
    <w:rsid w:val="00C93D89"/>
    <w:rsid w:val="00C93FC2"/>
    <w:rsid w:val="00C945ED"/>
    <w:rsid w:val="00C9474C"/>
    <w:rsid w:val="00C94A58"/>
    <w:rsid w:val="00C9609F"/>
    <w:rsid w:val="00C9677C"/>
    <w:rsid w:val="00C96DA7"/>
    <w:rsid w:val="00C9766F"/>
    <w:rsid w:val="00C97D1B"/>
    <w:rsid w:val="00CA03FE"/>
    <w:rsid w:val="00CA12D2"/>
    <w:rsid w:val="00CA1BE6"/>
    <w:rsid w:val="00CA2C2E"/>
    <w:rsid w:val="00CA4034"/>
    <w:rsid w:val="00CA45AA"/>
    <w:rsid w:val="00CA5571"/>
    <w:rsid w:val="00CA5C6F"/>
    <w:rsid w:val="00CA6AC7"/>
    <w:rsid w:val="00CA7F6E"/>
    <w:rsid w:val="00CB04B7"/>
    <w:rsid w:val="00CB0F57"/>
    <w:rsid w:val="00CB1C5D"/>
    <w:rsid w:val="00CB325A"/>
    <w:rsid w:val="00CB3376"/>
    <w:rsid w:val="00CB3A99"/>
    <w:rsid w:val="00CB4229"/>
    <w:rsid w:val="00CB4E0A"/>
    <w:rsid w:val="00CB556C"/>
    <w:rsid w:val="00CB725C"/>
    <w:rsid w:val="00CC11A5"/>
    <w:rsid w:val="00CC2400"/>
    <w:rsid w:val="00CC2FE8"/>
    <w:rsid w:val="00CC47AC"/>
    <w:rsid w:val="00CC48AD"/>
    <w:rsid w:val="00CC5EF1"/>
    <w:rsid w:val="00CC6323"/>
    <w:rsid w:val="00CC6DBA"/>
    <w:rsid w:val="00CC762E"/>
    <w:rsid w:val="00CC769C"/>
    <w:rsid w:val="00CD02E6"/>
    <w:rsid w:val="00CD0981"/>
    <w:rsid w:val="00CD0AF3"/>
    <w:rsid w:val="00CD0C74"/>
    <w:rsid w:val="00CD3097"/>
    <w:rsid w:val="00CD39FC"/>
    <w:rsid w:val="00CD3ED8"/>
    <w:rsid w:val="00CD7D67"/>
    <w:rsid w:val="00CE1E53"/>
    <w:rsid w:val="00CE25D8"/>
    <w:rsid w:val="00CE30AC"/>
    <w:rsid w:val="00CE318B"/>
    <w:rsid w:val="00CE326D"/>
    <w:rsid w:val="00CE3605"/>
    <w:rsid w:val="00CE3AF2"/>
    <w:rsid w:val="00CE3F6B"/>
    <w:rsid w:val="00CE516D"/>
    <w:rsid w:val="00CE5326"/>
    <w:rsid w:val="00CE7F87"/>
    <w:rsid w:val="00CF11CE"/>
    <w:rsid w:val="00CF32B9"/>
    <w:rsid w:val="00CF3360"/>
    <w:rsid w:val="00CF38CE"/>
    <w:rsid w:val="00CF5D3E"/>
    <w:rsid w:val="00CF7BF8"/>
    <w:rsid w:val="00D012BA"/>
    <w:rsid w:val="00D024B2"/>
    <w:rsid w:val="00D0489E"/>
    <w:rsid w:val="00D05094"/>
    <w:rsid w:val="00D0660D"/>
    <w:rsid w:val="00D07B2E"/>
    <w:rsid w:val="00D10FDB"/>
    <w:rsid w:val="00D1125E"/>
    <w:rsid w:val="00D124D2"/>
    <w:rsid w:val="00D13066"/>
    <w:rsid w:val="00D16F37"/>
    <w:rsid w:val="00D17AA6"/>
    <w:rsid w:val="00D2056B"/>
    <w:rsid w:val="00D205A4"/>
    <w:rsid w:val="00D209E5"/>
    <w:rsid w:val="00D20CA1"/>
    <w:rsid w:val="00D20F0F"/>
    <w:rsid w:val="00D21931"/>
    <w:rsid w:val="00D24D2A"/>
    <w:rsid w:val="00D24D98"/>
    <w:rsid w:val="00D262C4"/>
    <w:rsid w:val="00D302EC"/>
    <w:rsid w:val="00D30FA9"/>
    <w:rsid w:val="00D31047"/>
    <w:rsid w:val="00D31621"/>
    <w:rsid w:val="00D31626"/>
    <w:rsid w:val="00D3347D"/>
    <w:rsid w:val="00D3423F"/>
    <w:rsid w:val="00D35A77"/>
    <w:rsid w:val="00D35CA2"/>
    <w:rsid w:val="00D401DB"/>
    <w:rsid w:val="00D40FA2"/>
    <w:rsid w:val="00D42922"/>
    <w:rsid w:val="00D43879"/>
    <w:rsid w:val="00D43DC6"/>
    <w:rsid w:val="00D44036"/>
    <w:rsid w:val="00D44992"/>
    <w:rsid w:val="00D4507E"/>
    <w:rsid w:val="00D45898"/>
    <w:rsid w:val="00D47AD1"/>
    <w:rsid w:val="00D519CE"/>
    <w:rsid w:val="00D52069"/>
    <w:rsid w:val="00D522BC"/>
    <w:rsid w:val="00D52930"/>
    <w:rsid w:val="00D5313A"/>
    <w:rsid w:val="00D532E0"/>
    <w:rsid w:val="00D53C6A"/>
    <w:rsid w:val="00D53D6B"/>
    <w:rsid w:val="00D543F3"/>
    <w:rsid w:val="00D55503"/>
    <w:rsid w:val="00D55AE9"/>
    <w:rsid w:val="00D56801"/>
    <w:rsid w:val="00D56934"/>
    <w:rsid w:val="00D56EB1"/>
    <w:rsid w:val="00D579FE"/>
    <w:rsid w:val="00D602DD"/>
    <w:rsid w:val="00D6065D"/>
    <w:rsid w:val="00D61F20"/>
    <w:rsid w:val="00D631C3"/>
    <w:rsid w:val="00D637C3"/>
    <w:rsid w:val="00D63B84"/>
    <w:rsid w:val="00D63E83"/>
    <w:rsid w:val="00D64D76"/>
    <w:rsid w:val="00D65B1C"/>
    <w:rsid w:val="00D67171"/>
    <w:rsid w:val="00D67323"/>
    <w:rsid w:val="00D67EB1"/>
    <w:rsid w:val="00D7298D"/>
    <w:rsid w:val="00D72EFC"/>
    <w:rsid w:val="00D7339A"/>
    <w:rsid w:val="00D73451"/>
    <w:rsid w:val="00D75BF5"/>
    <w:rsid w:val="00D7650F"/>
    <w:rsid w:val="00D77649"/>
    <w:rsid w:val="00D80AE1"/>
    <w:rsid w:val="00D80CB1"/>
    <w:rsid w:val="00D82AD8"/>
    <w:rsid w:val="00D835D4"/>
    <w:rsid w:val="00D84EC0"/>
    <w:rsid w:val="00D85980"/>
    <w:rsid w:val="00D87F50"/>
    <w:rsid w:val="00D906AC"/>
    <w:rsid w:val="00D91579"/>
    <w:rsid w:val="00D92553"/>
    <w:rsid w:val="00D92FA8"/>
    <w:rsid w:val="00D945A9"/>
    <w:rsid w:val="00D94864"/>
    <w:rsid w:val="00D94FCB"/>
    <w:rsid w:val="00D95FA0"/>
    <w:rsid w:val="00D960EE"/>
    <w:rsid w:val="00D967A2"/>
    <w:rsid w:val="00D967E3"/>
    <w:rsid w:val="00D97B55"/>
    <w:rsid w:val="00DA09AC"/>
    <w:rsid w:val="00DA1352"/>
    <w:rsid w:val="00DA1790"/>
    <w:rsid w:val="00DA2E1A"/>
    <w:rsid w:val="00DA3E30"/>
    <w:rsid w:val="00DA4692"/>
    <w:rsid w:val="00DA4BBC"/>
    <w:rsid w:val="00DA568F"/>
    <w:rsid w:val="00DA5EFE"/>
    <w:rsid w:val="00DB06C0"/>
    <w:rsid w:val="00DB0CE1"/>
    <w:rsid w:val="00DB0FA8"/>
    <w:rsid w:val="00DB5D10"/>
    <w:rsid w:val="00DB5F1D"/>
    <w:rsid w:val="00DB659D"/>
    <w:rsid w:val="00DB6F5D"/>
    <w:rsid w:val="00DC0939"/>
    <w:rsid w:val="00DC1685"/>
    <w:rsid w:val="00DC1A3F"/>
    <w:rsid w:val="00DC35A7"/>
    <w:rsid w:val="00DC42EE"/>
    <w:rsid w:val="00DC4696"/>
    <w:rsid w:val="00DC4794"/>
    <w:rsid w:val="00DC4A9D"/>
    <w:rsid w:val="00DC67B2"/>
    <w:rsid w:val="00DC6AF4"/>
    <w:rsid w:val="00DC6D82"/>
    <w:rsid w:val="00DC745C"/>
    <w:rsid w:val="00DC7906"/>
    <w:rsid w:val="00DD0561"/>
    <w:rsid w:val="00DD114F"/>
    <w:rsid w:val="00DD1796"/>
    <w:rsid w:val="00DD1DAC"/>
    <w:rsid w:val="00DD2BDC"/>
    <w:rsid w:val="00DD5331"/>
    <w:rsid w:val="00DD5F91"/>
    <w:rsid w:val="00DD6E89"/>
    <w:rsid w:val="00DD79B2"/>
    <w:rsid w:val="00DE0920"/>
    <w:rsid w:val="00DE105D"/>
    <w:rsid w:val="00DE14C8"/>
    <w:rsid w:val="00DE1B57"/>
    <w:rsid w:val="00DE1F2C"/>
    <w:rsid w:val="00DE3E77"/>
    <w:rsid w:val="00DE5D34"/>
    <w:rsid w:val="00DE631A"/>
    <w:rsid w:val="00DE6AF0"/>
    <w:rsid w:val="00DE6EA0"/>
    <w:rsid w:val="00DF153B"/>
    <w:rsid w:val="00DF2C94"/>
    <w:rsid w:val="00E00124"/>
    <w:rsid w:val="00E00E75"/>
    <w:rsid w:val="00E02986"/>
    <w:rsid w:val="00E03149"/>
    <w:rsid w:val="00E03C79"/>
    <w:rsid w:val="00E03FB6"/>
    <w:rsid w:val="00E043EA"/>
    <w:rsid w:val="00E072B8"/>
    <w:rsid w:val="00E0746A"/>
    <w:rsid w:val="00E07BDE"/>
    <w:rsid w:val="00E07D00"/>
    <w:rsid w:val="00E1159E"/>
    <w:rsid w:val="00E11A80"/>
    <w:rsid w:val="00E1215E"/>
    <w:rsid w:val="00E12745"/>
    <w:rsid w:val="00E12A49"/>
    <w:rsid w:val="00E14347"/>
    <w:rsid w:val="00E14861"/>
    <w:rsid w:val="00E148C9"/>
    <w:rsid w:val="00E14DD5"/>
    <w:rsid w:val="00E14EF3"/>
    <w:rsid w:val="00E14FF1"/>
    <w:rsid w:val="00E15647"/>
    <w:rsid w:val="00E15798"/>
    <w:rsid w:val="00E166EC"/>
    <w:rsid w:val="00E17B8D"/>
    <w:rsid w:val="00E20184"/>
    <w:rsid w:val="00E21927"/>
    <w:rsid w:val="00E22C72"/>
    <w:rsid w:val="00E244DD"/>
    <w:rsid w:val="00E253A2"/>
    <w:rsid w:val="00E265D8"/>
    <w:rsid w:val="00E27E5B"/>
    <w:rsid w:val="00E312F9"/>
    <w:rsid w:val="00E3136E"/>
    <w:rsid w:val="00E31721"/>
    <w:rsid w:val="00E31D81"/>
    <w:rsid w:val="00E32C8A"/>
    <w:rsid w:val="00E337AE"/>
    <w:rsid w:val="00E339BE"/>
    <w:rsid w:val="00E35631"/>
    <w:rsid w:val="00E36246"/>
    <w:rsid w:val="00E37D38"/>
    <w:rsid w:val="00E4169F"/>
    <w:rsid w:val="00E42B15"/>
    <w:rsid w:val="00E42D50"/>
    <w:rsid w:val="00E44232"/>
    <w:rsid w:val="00E44373"/>
    <w:rsid w:val="00E445EE"/>
    <w:rsid w:val="00E472EB"/>
    <w:rsid w:val="00E520FB"/>
    <w:rsid w:val="00E52503"/>
    <w:rsid w:val="00E52C21"/>
    <w:rsid w:val="00E538EF"/>
    <w:rsid w:val="00E53931"/>
    <w:rsid w:val="00E54868"/>
    <w:rsid w:val="00E5580B"/>
    <w:rsid w:val="00E55842"/>
    <w:rsid w:val="00E56654"/>
    <w:rsid w:val="00E574CD"/>
    <w:rsid w:val="00E60B41"/>
    <w:rsid w:val="00E60F10"/>
    <w:rsid w:val="00E61827"/>
    <w:rsid w:val="00E61FB7"/>
    <w:rsid w:val="00E63627"/>
    <w:rsid w:val="00E64B0B"/>
    <w:rsid w:val="00E6559E"/>
    <w:rsid w:val="00E6589A"/>
    <w:rsid w:val="00E65ADD"/>
    <w:rsid w:val="00E66CBB"/>
    <w:rsid w:val="00E7086F"/>
    <w:rsid w:val="00E713EF"/>
    <w:rsid w:val="00E7161F"/>
    <w:rsid w:val="00E7180D"/>
    <w:rsid w:val="00E7284E"/>
    <w:rsid w:val="00E73E12"/>
    <w:rsid w:val="00E740BB"/>
    <w:rsid w:val="00E75466"/>
    <w:rsid w:val="00E77150"/>
    <w:rsid w:val="00E7769E"/>
    <w:rsid w:val="00E77B77"/>
    <w:rsid w:val="00E81436"/>
    <w:rsid w:val="00E817F2"/>
    <w:rsid w:val="00E81B7D"/>
    <w:rsid w:val="00E83433"/>
    <w:rsid w:val="00E83494"/>
    <w:rsid w:val="00E84355"/>
    <w:rsid w:val="00E90489"/>
    <w:rsid w:val="00E910C9"/>
    <w:rsid w:val="00E91175"/>
    <w:rsid w:val="00E912EF"/>
    <w:rsid w:val="00E93793"/>
    <w:rsid w:val="00E94818"/>
    <w:rsid w:val="00E94B76"/>
    <w:rsid w:val="00E94FAF"/>
    <w:rsid w:val="00E954E3"/>
    <w:rsid w:val="00E966FD"/>
    <w:rsid w:val="00E97428"/>
    <w:rsid w:val="00EA0CAE"/>
    <w:rsid w:val="00EA4EE3"/>
    <w:rsid w:val="00EA5980"/>
    <w:rsid w:val="00EA59B0"/>
    <w:rsid w:val="00EA6278"/>
    <w:rsid w:val="00EB0600"/>
    <w:rsid w:val="00EB22E9"/>
    <w:rsid w:val="00EB3C82"/>
    <w:rsid w:val="00EB456E"/>
    <w:rsid w:val="00EB6738"/>
    <w:rsid w:val="00EB7DBE"/>
    <w:rsid w:val="00EC102E"/>
    <w:rsid w:val="00EC12F2"/>
    <w:rsid w:val="00EC1A8F"/>
    <w:rsid w:val="00EC2AF9"/>
    <w:rsid w:val="00EC47CC"/>
    <w:rsid w:val="00EC49B5"/>
    <w:rsid w:val="00EC4C40"/>
    <w:rsid w:val="00EC5F33"/>
    <w:rsid w:val="00EC6143"/>
    <w:rsid w:val="00EC6C4F"/>
    <w:rsid w:val="00ED1A07"/>
    <w:rsid w:val="00ED1C4A"/>
    <w:rsid w:val="00ED1CF3"/>
    <w:rsid w:val="00ED285D"/>
    <w:rsid w:val="00ED2974"/>
    <w:rsid w:val="00ED378D"/>
    <w:rsid w:val="00ED4218"/>
    <w:rsid w:val="00ED4C88"/>
    <w:rsid w:val="00ED4F84"/>
    <w:rsid w:val="00ED5D24"/>
    <w:rsid w:val="00ED5F8D"/>
    <w:rsid w:val="00ED6A64"/>
    <w:rsid w:val="00ED70EC"/>
    <w:rsid w:val="00ED770C"/>
    <w:rsid w:val="00ED78BC"/>
    <w:rsid w:val="00ED7D9A"/>
    <w:rsid w:val="00EE0019"/>
    <w:rsid w:val="00EE1F41"/>
    <w:rsid w:val="00EE2D1E"/>
    <w:rsid w:val="00EE3FAA"/>
    <w:rsid w:val="00EE41B9"/>
    <w:rsid w:val="00EE5F20"/>
    <w:rsid w:val="00EE65BD"/>
    <w:rsid w:val="00EE7A00"/>
    <w:rsid w:val="00EE7A7E"/>
    <w:rsid w:val="00EF004B"/>
    <w:rsid w:val="00EF0066"/>
    <w:rsid w:val="00EF0BCE"/>
    <w:rsid w:val="00EF1224"/>
    <w:rsid w:val="00EF1926"/>
    <w:rsid w:val="00EF1A90"/>
    <w:rsid w:val="00EF3A1F"/>
    <w:rsid w:val="00EF4808"/>
    <w:rsid w:val="00EF72BE"/>
    <w:rsid w:val="00F01D0D"/>
    <w:rsid w:val="00F02B23"/>
    <w:rsid w:val="00F03C2E"/>
    <w:rsid w:val="00F059B8"/>
    <w:rsid w:val="00F05A9A"/>
    <w:rsid w:val="00F05B4E"/>
    <w:rsid w:val="00F06E96"/>
    <w:rsid w:val="00F10775"/>
    <w:rsid w:val="00F1167D"/>
    <w:rsid w:val="00F137BB"/>
    <w:rsid w:val="00F16947"/>
    <w:rsid w:val="00F20289"/>
    <w:rsid w:val="00F21ABD"/>
    <w:rsid w:val="00F22A24"/>
    <w:rsid w:val="00F2461A"/>
    <w:rsid w:val="00F2475E"/>
    <w:rsid w:val="00F248F1"/>
    <w:rsid w:val="00F24FEE"/>
    <w:rsid w:val="00F25F0D"/>
    <w:rsid w:val="00F26C8D"/>
    <w:rsid w:val="00F273DA"/>
    <w:rsid w:val="00F276A1"/>
    <w:rsid w:val="00F27D57"/>
    <w:rsid w:val="00F3152A"/>
    <w:rsid w:val="00F31EB2"/>
    <w:rsid w:val="00F322B2"/>
    <w:rsid w:val="00F3282C"/>
    <w:rsid w:val="00F3521F"/>
    <w:rsid w:val="00F3647B"/>
    <w:rsid w:val="00F369DA"/>
    <w:rsid w:val="00F37DB1"/>
    <w:rsid w:val="00F40143"/>
    <w:rsid w:val="00F401DE"/>
    <w:rsid w:val="00F40464"/>
    <w:rsid w:val="00F413D1"/>
    <w:rsid w:val="00F431E8"/>
    <w:rsid w:val="00F44033"/>
    <w:rsid w:val="00F4413B"/>
    <w:rsid w:val="00F44FD5"/>
    <w:rsid w:val="00F453E5"/>
    <w:rsid w:val="00F454AE"/>
    <w:rsid w:val="00F45855"/>
    <w:rsid w:val="00F45CD0"/>
    <w:rsid w:val="00F464C9"/>
    <w:rsid w:val="00F46A5B"/>
    <w:rsid w:val="00F46F36"/>
    <w:rsid w:val="00F46FB0"/>
    <w:rsid w:val="00F50F14"/>
    <w:rsid w:val="00F51582"/>
    <w:rsid w:val="00F5230D"/>
    <w:rsid w:val="00F52EFC"/>
    <w:rsid w:val="00F53D59"/>
    <w:rsid w:val="00F54CE8"/>
    <w:rsid w:val="00F55673"/>
    <w:rsid w:val="00F5749E"/>
    <w:rsid w:val="00F57B38"/>
    <w:rsid w:val="00F63033"/>
    <w:rsid w:val="00F630B1"/>
    <w:rsid w:val="00F647C8"/>
    <w:rsid w:val="00F65685"/>
    <w:rsid w:val="00F66C6E"/>
    <w:rsid w:val="00F7064C"/>
    <w:rsid w:val="00F72792"/>
    <w:rsid w:val="00F7363C"/>
    <w:rsid w:val="00F739EB"/>
    <w:rsid w:val="00F73EC3"/>
    <w:rsid w:val="00F73F77"/>
    <w:rsid w:val="00F764D1"/>
    <w:rsid w:val="00F8009C"/>
    <w:rsid w:val="00F803B2"/>
    <w:rsid w:val="00F8074B"/>
    <w:rsid w:val="00F824B5"/>
    <w:rsid w:val="00F8517D"/>
    <w:rsid w:val="00F85633"/>
    <w:rsid w:val="00F862E6"/>
    <w:rsid w:val="00F91123"/>
    <w:rsid w:val="00F91CA4"/>
    <w:rsid w:val="00F93F97"/>
    <w:rsid w:val="00F95CDB"/>
    <w:rsid w:val="00FA07A2"/>
    <w:rsid w:val="00FA1706"/>
    <w:rsid w:val="00FA2152"/>
    <w:rsid w:val="00FA35C1"/>
    <w:rsid w:val="00FA3EE9"/>
    <w:rsid w:val="00FA4661"/>
    <w:rsid w:val="00FA4F90"/>
    <w:rsid w:val="00FA6D60"/>
    <w:rsid w:val="00FA73CB"/>
    <w:rsid w:val="00FA7E69"/>
    <w:rsid w:val="00FA7F4C"/>
    <w:rsid w:val="00FB31E3"/>
    <w:rsid w:val="00FB3E5E"/>
    <w:rsid w:val="00FB5473"/>
    <w:rsid w:val="00FB579C"/>
    <w:rsid w:val="00FB6C86"/>
    <w:rsid w:val="00FB7726"/>
    <w:rsid w:val="00FC19B4"/>
    <w:rsid w:val="00FC21B6"/>
    <w:rsid w:val="00FC26C1"/>
    <w:rsid w:val="00FC4240"/>
    <w:rsid w:val="00FC5B63"/>
    <w:rsid w:val="00FC6399"/>
    <w:rsid w:val="00FD1300"/>
    <w:rsid w:val="00FD1ACB"/>
    <w:rsid w:val="00FD344D"/>
    <w:rsid w:val="00FD3BB4"/>
    <w:rsid w:val="00FD4B64"/>
    <w:rsid w:val="00FE0044"/>
    <w:rsid w:val="00FE0AE4"/>
    <w:rsid w:val="00FE1044"/>
    <w:rsid w:val="00FE23ED"/>
    <w:rsid w:val="00FE2ADE"/>
    <w:rsid w:val="00FE33C6"/>
    <w:rsid w:val="00FE39D0"/>
    <w:rsid w:val="00FE3CE4"/>
    <w:rsid w:val="00FE45C4"/>
    <w:rsid w:val="00FE4BA5"/>
    <w:rsid w:val="00FE7264"/>
    <w:rsid w:val="00FF0388"/>
    <w:rsid w:val="00FF106C"/>
    <w:rsid w:val="00FF263D"/>
    <w:rsid w:val="00FF39A5"/>
    <w:rsid w:val="00FF4C28"/>
    <w:rsid w:val="00FF6864"/>
    <w:rsid w:val="00FF6ED1"/>
    <w:rsid w:val="00FF72E5"/>
    <w:rsid w:val="00FF7A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6E39F"/>
  <w15:docId w15:val="{993B1B7A-8645-4F9F-9637-6D1C1048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EF8"/>
    <w:pPr>
      <w:ind w:left="-425" w:right="-799" w:firstLine="425"/>
      <w:jc w:val="both"/>
    </w:pPr>
    <w:rPr>
      <w:rFonts w:ascii="Times New Roman" w:eastAsia="Times New Roman" w:hAnsi="Times New Roman"/>
      <w:sz w:val="24"/>
      <w:szCs w:val="24"/>
      <w:lang w:val="sr-Cyrl-CS" w:eastAsia="sr-Latn-CS"/>
    </w:rPr>
  </w:style>
  <w:style w:type="paragraph" w:styleId="Naslov1">
    <w:name w:val="heading 1"/>
    <w:basedOn w:val="Normal"/>
    <w:next w:val="Normal"/>
    <w:link w:val="Naslov1Char"/>
    <w:qFormat/>
    <w:rsid w:val="00072EF8"/>
    <w:pPr>
      <w:keepNext/>
      <w:jc w:val="center"/>
      <w:outlineLvl w:val="0"/>
    </w:pPr>
    <w:rPr>
      <w:b/>
    </w:rPr>
  </w:style>
  <w:style w:type="paragraph" w:styleId="Naslov2">
    <w:name w:val="heading 2"/>
    <w:basedOn w:val="Normal"/>
    <w:next w:val="Normal"/>
    <w:link w:val="Naslov2Char"/>
    <w:uiPriority w:val="9"/>
    <w:semiHidden/>
    <w:unhideWhenUsed/>
    <w:qFormat/>
    <w:rsid w:val="000876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087682"/>
    <w:pPr>
      <w:keepNext/>
      <w:keepLines/>
      <w:spacing w:before="40"/>
      <w:outlineLvl w:val="2"/>
    </w:pPr>
    <w:rPr>
      <w:rFonts w:asciiTheme="majorHAnsi" w:eastAsiaTheme="majorEastAsia" w:hAnsiTheme="majorHAnsi" w:cstheme="majorBidi"/>
      <w:color w:val="243F60" w:themeColor="accent1" w:themeShade="7F"/>
    </w:rPr>
  </w:style>
  <w:style w:type="paragraph" w:styleId="Naslov4">
    <w:name w:val="heading 4"/>
    <w:basedOn w:val="Normal"/>
    <w:next w:val="Normal"/>
    <w:link w:val="Naslov4Char"/>
    <w:uiPriority w:val="9"/>
    <w:semiHidden/>
    <w:unhideWhenUsed/>
    <w:qFormat/>
    <w:rsid w:val="00087682"/>
    <w:pPr>
      <w:keepNext/>
      <w:keepLines/>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ormal"/>
    <w:next w:val="Normal"/>
    <w:link w:val="Naslov5Char"/>
    <w:uiPriority w:val="9"/>
    <w:semiHidden/>
    <w:unhideWhenUsed/>
    <w:qFormat/>
    <w:rsid w:val="006A20A9"/>
    <w:pPr>
      <w:keepNext/>
      <w:keepLines/>
      <w:spacing w:before="40"/>
      <w:outlineLvl w:val="4"/>
    </w:pPr>
    <w:rPr>
      <w:rFonts w:asciiTheme="majorHAnsi" w:eastAsiaTheme="majorEastAsia" w:hAnsiTheme="majorHAnsi" w:cstheme="majorBidi"/>
      <w:color w:val="365F91" w:themeColor="accent1" w:themeShade="BF"/>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072EF8"/>
    <w:rPr>
      <w:rFonts w:ascii="Times New Roman" w:eastAsia="Times New Roman" w:hAnsi="Times New Roman" w:cs="Times New Roman"/>
      <w:b/>
      <w:sz w:val="24"/>
      <w:szCs w:val="24"/>
      <w:lang w:val="sr-Cyrl-CS" w:eastAsia="sr-Latn-CS"/>
    </w:rPr>
  </w:style>
  <w:style w:type="character" w:customStyle="1" w:styleId="Naslov2Char">
    <w:name w:val="Naslov 2 Char"/>
    <w:basedOn w:val="Podrazumevanifontpasusa"/>
    <w:link w:val="Naslov2"/>
    <w:uiPriority w:val="9"/>
    <w:semiHidden/>
    <w:rsid w:val="00087682"/>
    <w:rPr>
      <w:rFonts w:asciiTheme="majorHAnsi" w:eastAsiaTheme="majorEastAsia" w:hAnsiTheme="majorHAnsi" w:cstheme="majorBidi"/>
      <w:color w:val="365F91" w:themeColor="accent1" w:themeShade="BF"/>
      <w:sz w:val="26"/>
      <w:szCs w:val="26"/>
      <w:lang w:val="sr-Cyrl-CS" w:eastAsia="sr-Latn-CS"/>
    </w:rPr>
  </w:style>
  <w:style w:type="character" w:customStyle="1" w:styleId="Naslov3Char">
    <w:name w:val="Naslov 3 Char"/>
    <w:basedOn w:val="Podrazumevanifontpasusa"/>
    <w:link w:val="Naslov3"/>
    <w:uiPriority w:val="9"/>
    <w:semiHidden/>
    <w:rsid w:val="00087682"/>
    <w:rPr>
      <w:rFonts w:asciiTheme="majorHAnsi" w:eastAsiaTheme="majorEastAsia" w:hAnsiTheme="majorHAnsi" w:cstheme="majorBidi"/>
      <w:color w:val="243F60" w:themeColor="accent1" w:themeShade="7F"/>
      <w:sz w:val="24"/>
      <w:szCs w:val="24"/>
      <w:lang w:val="sr-Cyrl-CS" w:eastAsia="sr-Latn-CS"/>
    </w:rPr>
  </w:style>
  <w:style w:type="character" w:customStyle="1" w:styleId="Naslov4Char">
    <w:name w:val="Naslov 4 Char"/>
    <w:basedOn w:val="Podrazumevanifontpasusa"/>
    <w:link w:val="Naslov4"/>
    <w:uiPriority w:val="9"/>
    <w:semiHidden/>
    <w:rsid w:val="00087682"/>
    <w:rPr>
      <w:rFonts w:asciiTheme="majorHAnsi" w:eastAsiaTheme="majorEastAsia" w:hAnsiTheme="majorHAnsi" w:cstheme="majorBidi"/>
      <w:i/>
      <w:iCs/>
      <w:color w:val="365F91" w:themeColor="accent1" w:themeShade="BF"/>
      <w:sz w:val="24"/>
      <w:szCs w:val="24"/>
      <w:lang w:val="sr-Cyrl-CS" w:eastAsia="sr-Latn-CS"/>
    </w:rPr>
  </w:style>
  <w:style w:type="character" w:customStyle="1" w:styleId="Naslov5Char">
    <w:name w:val="Naslov 5 Char"/>
    <w:basedOn w:val="Podrazumevanifontpasusa"/>
    <w:link w:val="Naslov5"/>
    <w:uiPriority w:val="9"/>
    <w:semiHidden/>
    <w:rsid w:val="006A20A9"/>
    <w:rPr>
      <w:rFonts w:asciiTheme="majorHAnsi" w:eastAsiaTheme="majorEastAsia" w:hAnsiTheme="majorHAnsi" w:cstheme="majorBidi"/>
      <w:color w:val="365F91" w:themeColor="accent1" w:themeShade="BF"/>
      <w:sz w:val="24"/>
      <w:szCs w:val="24"/>
      <w:lang w:val="sr-Cyrl-CS" w:eastAsia="sr-Latn-CS"/>
    </w:rPr>
  </w:style>
  <w:style w:type="paragraph" w:styleId="Zaglavljestranice">
    <w:name w:val="header"/>
    <w:basedOn w:val="Normal"/>
    <w:link w:val="ZaglavljestraniceChar"/>
    <w:uiPriority w:val="99"/>
    <w:unhideWhenUsed/>
    <w:rsid w:val="00E20184"/>
    <w:pPr>
      <w:tabs>
        <w:tab w:val="center" w:pos="4680"/>
        <w:tab w:val="right" w:pos="9360"/>
      </w:tabs>
    </w:pPr>
  </w:style>
  <w:style w:type="character" w:customStyle="1" w:styleId="ZaglavljestraniceChar">
    <w:name w:val="Zaglavlje stranice Char"/>
    <w:basedOn w:val="Podrazumevanifontpasusa"/>
    <w:link w:val="Zaglavljestranice"/>
    <w:uiPriority w:val="99"/>
    <w:rsid w:val="00E20184"/>
    <w:rPr>
      <w:rFonts w:ascii="Times New Roman" w:eastAsia="Times New Roman" w:hAnsi="Times New Roman"/>
      <w:sz w:val="24"/>
      <w:szCs w:val="24"/>
      <w:lang w:val="sr-Cyrl-CS" w:eastAsia="sr-Latn-CS"/>
    </w:rPr>
  </w:style>
  <w:style w:type="paragraph" w:styleId="Teloteksta">
    <w:name w:val="Body Text"/>
    <w:basedOn w:val="Normal"/>
    <w:link w:val="TelotekstaChar"/>
    <w:rsid w:val="0072479B"/>
    <w:pPr>
      <w:spacing w:after="120"/>
    </w:pPr>
  </w:style>
  <w:style w:type="character" w:customStyle="1" w:styleId="TelotekstaChar">
    <w:name w:val="Telo teksta Char"/>
    <w:basedOn w:val="Podrazumevanifontpasusa"/>
    <w:link w:val="Teloteksta"/>
    <w:rsid w:val="0072479B"/>
    <w:rPr>
      <w:rFonts w:ascii="Times New Roman" w:eastAsia="Times New Roman" w:hAnsi="Times New Roman"/>
      <w:sz w:val="24"/>
      <w:szCs w:val="24"/>
      <w:lang w:val="sr-Cyrl-CS" w:eastAsia="sr-Latn-CS"/>
    </w:rPr>
  </w:style>
  <w:style w:type="paragraph" w:styleId="Teloteksta2">
    <w:name w:val="Body Text 2"/>
    <w:basedOn w:val="Normal"/>
    <w:link w:val="Teloteksta2Char"/>
    <w:uiPriority w:val="99"/>
    <w:unhideWhenUsed/>
    <w:rsid w:val="0072479B"/>
    <w:pPr>
      <w:spacing w:after="120" w:line="480" w:lineRule="auto"/>
    </w:pPr>
  </w:style>
  <w:style w:type="character" w:customStyle="1" w:styleId="Teloteksta2Char">
    <w:name w:val="Telo teksta 2 Char"/>
    <w:basedOn w:val="Podrazumevanifontpasusa"/>
    <w:link w:val="Teloteksta2"/>
    <w:uiPriority w:val="99"/>
    <w:rsid w:val="0072479B"/>
    <w:rPr>
      <w:rFonts w:ascii="Times New Roman" w:eastAsia="Times New Roman" w:hAnsi="Times New Roman"/>
      <w:sz w:val="24"/>
      <w:szCs w:val="24"/>
      <w:lang w:val="sr-Cyrl-CS" w:eastAsia="sr-Latn-CS"/>
    </w:rPr>
  </w:style>
  <w:style w:type="paragraph" w:styleId="Podnojestranice">
    <w:name w:val="footer"/>
    <w:basedOn w:val="Normal"/>
    <w:link w:val="PodnojestraniceChar"/>
    <w:uiPriority w:val="99"/>
    <w:unhideWhenUsed/>
    <w:rsid w:val="00912AF6"/>
    <w:pPr>
      <w:tabs>
        <w:tab w:val="center" w:pos="4680"/>
        <w:tab w:val="right" w:pos="9360"/>
      </w:tabs>
    </w:pPr>
  </w:style>
  <w:style w:type="character" w:customStyle="1" w:styleId="PodnojestraniceChar">
    <w:name w:val="Podnožje stranice Char"/>
    <w:basedOn w:val="Podrazumevanifontpasusa"/>
    <w:link w:val="Podnojestranice"/>
    <w:uiPriority w:val="99"/>
    <w:rsid w:val="00912AF6"/>
    <w:rPr>
      <w:rFonts w:ascii="Times New Roman" w:eastAsia="Times New Roman" w:hAnsi="Times New Roman"/>
      <w:sz w:val="24"/>
      <w:szCs w:val="24"/>
      <w:lang w:val="sr-Cyrl-CS" w:eastAsia="sr-Latn-CS"/>
    </w:rPr>
  </w:style>
  <w:style w:type="paragraph" w:styleId="Tekstfusnote">
    <w:name w:val="footnote text"/>
    <w:basedOn w:val="Normal"/>
    <w:link w:val="TekstfusnoteChar"/>
    <w:uiPriority w:val="99"/>
    <w:semiHidden/>
    <w:unhideWhenUsed/>
    <w:rsid w:val="00E07BDE"/>
    <w:rPr>
      <w:sz w:val="20"/>
      <w:szCs w:val="20"/>
    </w:rPr>
  </w:style>
  <w:style w:type="character" w:customStyle="1" w:styleId="TekstfusnoteChar">
    <w:name w:val="Tekst fusnote Char"/>
    <w:basedOn w:val="Podrazumevanifontpasusa"/>
    <w:link w:val="Tekstfusnote"/>
    <w:uiPriority w:val="99"/>
    <w:semiHidden/>
    <w:rsid w:val="00E07BDE"/>
    <w:rPr>
      <w:rFonts w:ascii="Times New Roman" w:eastAsia="Times New Roman" w:hAnsi="Times New Roman"/>
      <w:lang w:val="sr-Cyrl-CS" w:eastAsia="sr-Latn-CS"/>
    </w:rPr>
  </w:style>
  <w:style w:type="character" w:styleId="Referencafusnote">
    <w:name w:val="footnote reference"/>
    <w:basedOn w:val="Podrazumevanifontpasusa"/>
    <w:uiPriority w:val="99"/>
    <w:semiHidden/>
    <w:unhideWhenUsed/>
    <w:rsid w:val="00E07BDE"/>
    <w:rPr>
      <w:vertAlign w:val="superscript"/>
    </w:rPr>
  </w:style>
  <w:style w:type="paragraph" w:styleId="Tekstubaloniu">
    <w:name w:val="Balloon Text"/>
    <w:basedOn w:val="Normal"/>
    <w:link w:val="TekstubaloniuChar"/>
    <w:uiPriority w:val="99"/>
    <w:semiHidden/>
    <w:unhideWhenUsed/>
    <w:rsid w:val="00775C5D"/>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775C5D"/>
    <w:rPr>
      <w:rFonts w:ascii="Tahoma" w:eastAsia="Times New Roman" w:hAnsi="Tahoma" w:cs="Tahoma"/>
      <w:sz w:val="16"/>
      <w:szCs w:val="16"/>
      <w:lang w:val="sr-Cyrl-CS" w:eastAsia="sr-Latn-CS"/>
    </w:rPr>
  </w:style>
  <w:style w:type="paragraph" w:styleId="Pasussalistom">
    <w:name w:val="List Paragraph"/>
    <w:basedOn w:val="Normal"/>
    <w:uiPriority w:val="34"/>
    <w:qFormat/>
    <w:rsid w:val="00F52EFC"/>
    <w:pPr>
      <w:ind w:left="720"/>
      <w:contextualSpacing/>
    </w:pPr>
  </w:style>
  <w:style w:type="paragraph" w:customStyle="1" w:styleId="Podnaslovi1">
    <w:name w:val="Podnaslovi1"/>
    <w:basedOn w:val="Normal"/>
    <w:qFormat/>
    <w:rsid w:val="006319AE"/>
    <w:pPr>
      <w:spacing w:before="120"/>
      <w:ind w:left="0" w:firstLine="0"/>
      <w:jc w:val="center"/>
    </w:pPr>
    <w:rPr>
      <w:b/>
      <w:sz w:val="28"/>
      <w:szCs w:val="28"/>
    </w:rPr>
  </w:style>
  <w:style w:type="paragraph" w:styleId="Tekstendnote">
    <w:name w:val="endnote text"/>
    <w:basedOn w:val="Normal"/>
    <w:link w:val="TekstendnoteChar"/>
    <w:uiPriority w:val="99"/>
    <w:semiHidden/>
    <w:unhideWhenUsed/>
    <w:rsid w:val="00877003"/>
    <w:rPr>
      <w:sz w:val="20"/>
      <w:szCs w:val="20"/>
    </w:rPr>
  </w:style>
  <w:style w:type="character" w:customStyle="1" w:styleId="TekstendnoteChar">
    <w:name w:val="Tekst endnote Char"/>
    <w:basedOn w:val="Podrazumevanifontpasusa"/>
    <w:link w:val="Tekstendnote"/>
    <w:uiPriority w:val="99"/>
    <w:semiHidden/>
    <w:rsid w:val="00877003"/>
    <w:rPr>
      <w:rFonts w:ascii="Times New Roman" w:eastAsia="Times New Roman" w:hAnsi="Times New Roman"/>
      <w:lang w:val="sr-Cyrl-CS" w:eastAsia="sr-Latn-CS"/>
    </w:rPr>
  </w:style>
  <w:style w:type="character" w:styleId="Referencaendnote">
    <w:name w:val="endnote reference"/>
    <w:basedOn w:val="Podrazumevanifontpasusa"/>
    <w:uiPriority w:val="99"/>
    <w:semiHidden/>
    <w:unhideWhenUsed/>
    <w:rsid w:val="00877003"/>
    <w:rPr>
      <w:vertAlign w:val="superscript"/>
    </w:rPr>
  </w:style>
  <w:style w:type="paragraph" w:customStyle="1" w:styleId="Glavninaslovi">
    <w:name w:val="Glavni naslovi"/>
    <w:basedOn w:val="Normal"/>
    <w:qFormat/>
    <w:rsid w:val="00236ED3"/>
    <w:pPr>
      <w:spacing w:before="120"/>
      <w:ind w:left="-357" w:right="-794" w:firstLine="357"/>
      <w:jc w:val="center"/>
    </w:pPr>
    <w:rPr>
      <w:b/>
      <w:bCs/>
      <w:sz w:val="28"/>
      <w:szCs w:val="28"/>
    </w:rPr>
  </w:style>
  <w:style w:type="paragraph" w:customStyle="1" w:styleId="Podnaslovi2">
    <w:name w:val="Podnaslovi2"/>
    <w:basedOn w:val="Normal"/>
    <w:qFormat/>
    <w:rsid w:val="003C0CC7"/>
    <w:pPr>
      <w:ind w:left="0" w:firstLine="357"/>
    </w:pPr>
    <w:rPr>
      <w:b/>
      <w:bCs/>
      <w:sz w:val="28"/>
      <w:szCs w:val="28"/>
    </w:rPr>
  </w:style>
  <w:style w:type="paragraph" w:customStyle="1" w:styleId="Podnaslov3">
    <w:name w:val="Podnaslov3"/>
    <w:basedOn w:val="Normal"/>
    <w:link w:val="Podnaslov3Char"/>
    <w:qFormat/>
    <w:rsid w:val="006B474F"/>
    <w:pPr>
      <w:ind w:left="0" w:right="-833" w:firstLine="0"/>
    </w:pPr>
    <w:rPr>
      <w:b/>
      <w:bCs/>
      <w:sz w:val="28"/>
      <w:szCs w:val="28"/>
      <w:lang w:val="sr-Cyrl-BA"/>
    </w:rPr>
  </w:style>
  <w:style w:type="character" w:customStyle="1" w:styleId="Podnaslov3Char">
    <w:name w:val="Podnaslov3 Char"/>
    <w:basedOn w:val="Podrazumevanifontpasusa"/>
    <w:link w:val="Podnaslov3"/>
    <w:rsid w:val="006B474F"/>
    <w:rPr>
      <w:rFonts w:ascii="Times New Roman" w:eastAsia="Times New Roman" w:hAnsi="Times New Roman"/>
      <w:b/>
      <w:bCs/>
      <w:sz w:val="28"/>
      <w:szCs w:val="28"/>
      <w:lang w:val="sr-Cyrl-BA" w:eastAsia="sr-Latn-CS"/>
    </w:rPr>
  </w:style>
  <w:style w:type="paragraph" w:styleId="Naslovsadraja">
    <w:name w:val="TOC Heading"/>
    <w:basedOn w:val="Naslov1"/>
    <w:next w:val="Normal"/>
    <w:uiPriority w:val="39"/>
    <w:unhideWhenUsed/>
    <w:qFormat/>
    <w:rsid w:val="00236ED3"/>
    <w:pPr>
      <w:keepLines/>
      <w:spacing w:before="240" w:line="259" w:lineRule="auto"/>
      <w:ind w:left="0" w:right="0" w:firstLine="0"/>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SADRAJ1">
    <w:name w:val="toc 1"/>
    <w:basedOn w:val="Normal"/>
    <w:next w:val="Normal"/>
    <w:autoRedefine/>
    <w:uiPriority w:val="39"/>
    <w:unhideWhenUsed/>
    <w:rsid w:val="00A464AC"/>
    <w:pPr>
      <w:tabs>
        <w:tab w:val="left" w:pos="426"/>
        <w:tab w:val="right" w:leader="dot" w:pos="9055"/>
      </w:tabs>
      <w:ind w:left="426" w:hanging="284"/>
      <w:jc w:val="left"/>
    </w:pPr>
    <w:rPr>
      <w:noProof/>
      <w:sz w:val="22"/>
      <w:szCs w:val="22"/>
    </w:rPr>
  </w:style>
  <w:style w:type="character" w:styleId="Hiperveza">
    <w:name w:val="Hyperlink"/>
    <w:basedOn w:val="Podrazumevanifontpasusa"/>
    <w:uiPriority w:val="99"/>
    <w:unhideWhenUsed/>
    <w:rsid w:val="00236ED3"/>
    <w:rPr>
      <w:color w:val="0000FF" w:themeColor="hyperlink"/>
      <w:u w:val="single"/>
    </w:rPr>
  </w:style>
  <w:style w:type="paragraph" w:styleId="SADRAJ2">
    <w:name w:val="toc 2"/>
    <w:basedOn w:val="Normal"/>
    <w:next w:val="Normal"/>
    <w:autoRedefine/>
    <w:uiPriority w:val="39"/>
    <w:unhideWhenUsed/>
    <w:rsid w:val="00A464AC"/>
    <w:pPr>
      <w:tabs>
        <w:tab w:val="right" w:leader="dot" w:pos="9055"/>
      </w:tabs>
      <w:ind w:left="850" w:hanging="425"/>
      <w:jc w:val="left"/>
    </w:pPr>
  </w:style>
  <w:style w:type="paragraph" w:styleId="SADRAJ4">
    <w:name w:val="toc 4"/>
    <w:basedOn w:val="Normal"/>
    <w:next w:val="Normal"/>
    <w:autoRedefine/>
    <w:uiPriority w:val="39"/>
    <w:unhideWhenUsed/>
    <w:rsid w:val="00FF4C28"/>
    <w:pPr>
      <w:tabs>
        <w:tab w:val="right" w:leader="dot" w:pos="9055"/>
      </w:tabs>
      <w:ind w:left="2410" w:hanging="567"/>
      <w:jc w:val="left"/>
    </w:pPr>
  </w:style>
  <w:style w:type="paragraph" w:styleId="SADRAJ3">
    <w:name w:val="toc 3"/>
    <w:basedOn w:val="Normal"/>
    <w:next w:val="Normal"/>
    <w:autoRedefine/>
    <w:uiPriority w:val="39"/>
    <w:unhideWhenUsed/>
    <w:rsid w:val="00CA45AA"/>
    <w:pPr>
      <w:tabs>
        <w:tab w:val="left" w:pos="2410"/>
        <w:tab w:val="right" w:leader="dot" w:pos="9055"/>
      </w:tabs>
      <w:ind w:left="1418" w:hanging="567"/>
      <w:jc w:val="left"/>
    </w:pPr>
  </w:style>
  <w:style w:type="paragraph" w:styleId="SADRAJ5">
    <w:name w:val="toc 5"/>
    <w:basedOn w:val="Normal"/>
    <w:next w:val="Normal"/>
    <w:autoRedefine/>
    <w:uiPriority w:val="39"/>
    <w:unhideWhenUsed/>
    <w:rsid w:val="000732E2"/>
    <w:pPr>
      <w:tabs>
        <w:tab w:val="right" w:leader="dot" w:pos="9055"/>
      </w:tabs>
      <w:ind w:left="960" w:firstLine="1450"/>
    </w:pPr>
  </w:style>
  <w:style w:type="paragraph" w:styleId="Uvlaenjetelateksta">
    <w:name w:val="Body Text Indent"/>
    <w:basedOn w:val="Normal"/>
    <w:link w:val="UvlaenjetelatekstaChar"/>
    <w:uiPriority w:val="99"/>
    <w:semiHidden/>
    <w:unhideWhenUsed/>
    <w:rsid w:val="00703796"/>
    <w:pPr>
      <w:spacing w:after="120"/>
      <w:ind w:left="283"/>
    </w:pPr>
  </w:style>
  <w:style w:type="character" w:customStyle="1" w:styleId="UvlaenjetelatekstaChar">
    <w:name w:val="Uvlačenje tela teksta Char"/>
    <w:basedOn w:val="Podrazumevanifontpasusa"/>
    <w:link w:val="Uvlaenjetelateksta"/>
    <w:uiPriority w:val="99"/>
    <w:semiHidden/>
    <w:rsid w:val="00703796"/>
    <w:rPr>
      <w:rFonts w:ascii="Times New Roman" w:eastAsia="Times New Roman" w:hAnsi="Times New Roman"/>
      <w:sz w:val="24"/>
      <w:szCs w:val="24"/>
      <w:lang w:val="sr-Cyrl-CS" w:eastAsia="sr-Latn-CS"/>
    </w:rPr>
  </w:style>
  <w:style w:type="paragraph" w:styleId="Teloteksta3">
    <w:name w:val="Body Text 3"/>
    <w:basedOn w:val="Normal"/>
    <w:link w:val="Teloteksta3Char"/>
    <w:uiPriority w:val="99"/>
    <w:semiHidden/>
    <w:unhideWhenUsed/>
    <w:rsid w:val="00703796"/>
    <w:pPr>
      <w:spacing w:after="120"/>
    </w:pPr>
    <w:rPr>
      <w:sz w:val="16"/>
      <w:szCs w:val="16"/>
    </w:rPr>
  </w:style>
  <w:style w:type="character" w:customStyle="1" w:styleId="Teloteksta3Char">
    <w:name w:val="Telo teksta 3 Char"/>
    <w:basedOn w:val="Podrazumevanifontpasusa"/>
    <w:link w:val="Teloteksta3"/>
    <w:uiPriority w:val="99"/>
    <w:semiHidden/>
    <w:rsid w:val="00703796"/>
    <w:rPr>
      <w:rFonts w:ascii="Times New Roman" w:eastAsia="Times New Roman" w:hAnsi="Times New Roman"/>
      <w:sz w:val="16"/>
      <w:szCs w:val="16"/>
      <w:lang w:val="sr-Cyrl-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955">
      <w:bodyDiv w:val="1"/>
      <w:marLeft w:val="0"/>
      <w:marRight w:val="0"/>
      <w:marTop w:val="0"/>
      <w:marBottom w:val="0"/>
      <w:divBdr>
        <w:top w:val="none" w:sz="0" w:space="0" w:color="auto"/>
        <w:left w:val="none" w:sz="0" w:space="0" w:color="auto"/>
        <w:bottom w:val="none" w:sz="0" w:space="0" w:color="auto"/>
        <w:right w:val="none" w:sz="0" w:space="0" w:color="auto"/>
      </w:divBdr>
    </w:div>
    <w:div w:id="10227493">
      <w:bodyDiv w:val="1"/>
      <w:marLeft w:val="0"/>
      <w:marRight w:val="0"/>
      <w:marTop w:val="0"/>
      <w:marBottom w:val="0"/>
      <w:divBdr>
        <w:top w:val="none" w:sz="0" w:space="0" w:color="auto"/>
        <w:left w:val="none" w:sz="0" w:space="0" w:color="auto"/>
        <w:bottom w:val="none" w:sz="0" w:space="0" w:color="auto"/>
        <w:right w:val="none" w:sz="0" w:space="0" w:color="auto"/>
      </w:divBdr>
    </w:div>
    <w:div w:id="14312579">
      <w:bodyDiv w:val="1"/>
      <w:marLeft w:val="0"/>
      <w:marRight w:val="0"/>
      <w:marTop w:val="0"/>
      <w:marBottom w:val="0"/>
      <w:divBdr>
        <w:top w:val="none" w:sz="0" w:space="0" w:color="auto"/>
        <w:left w:val="none" w:sz="0" w:space="0" w:color="auto"/>
        <w:bottom w:val="none" w:sz="0" w:space="0" w:color="auto"/>
        <w:right w:val="none" w:sz="0" w:space="0" w:color="auto"/>
      </w:divBdr>
    </w:div>
    <w:div w:id="35469511">
      <w:bodyDiv w:val="1"/>
      <w:marLeft w:val="0"/>
      <w:marRight w:val="0"/>
      <w:marTop w:val="0"/>
      <w:marBottom w:val="0"/>
      <w:divBdr>
        <w:top w:val="none" w:sz="0" w:space="0" w:color="auto"/>
        <w:left w:val="none" w:sz="0" w:space="0" w:color="auto"/>
        <w:bottom w:val="none" w:sz="0" w:space="0" w:color="auto"/>
        <w:right w:val="none" w:sz="0" w:space="0" w:color="auto"/>
      </w:divBdr>
    </w:div>
    <w:div w:id="70781467">
      <w:bodyDiv w:val="1"/>
      <w:marLeft w:val="0"/>
      <w:marRight w:val="0"/>
      <w:marTop w:val="0"/>
      <w:marBottom w:val="0"/>
      <w:divBdr>
        <w:top w:val="none" w:sz="0" w:space="0" w:color="auto"/>
        <w:left w:val="none" w:sz="0" w:space="0" w:color="auto"/>
        <w:bottom w:val="none" w:sz="0" w:space="0" w:color="auto"/>
        <w:right w:val="none" w:sz="0" w:space="0" w:color="auto"/>
      </w:divBdr>
    </w:div>
    <w:div w:id="79258858">
      <w:bodyDiv w:val="1"/>
      <w:marLeft w:val="0"/>
      <w:marRight w:val="0"/>
      <w:marTop w:val="0"/>
      <w:marBottom w:val="0"/>
      <w:divBdr>
        <w:top w:val="none" w:sz="0" w:space="0" w:color="auto"/>
        <w:left w:val="none" w:sz="0" w:space="0" w:color="auto"/>
        <w:bottom w:val="none" w:sz="0" w:space="0" w:color="auto"/>
        <w:right w:val="none" w:sz="0" w:space="0" w:color="auto"/>
      </w:divBdr>
    </w:div>
    <w:div w:id="86926993">
      <w:bodyDiv w:val="1"/>
      <w:marLeft w:val="0"/>
      <w:marRight w:val="0"/>
      <w:marTop w:val="0"/>
      <w:marBottom w:val="0"/>
      <w:divBdr>
        <w:top w:val="none" w:sz="0" w:space="0" w:color="auto"/>
        <w:left w:val="none" w:sz="0" w:space="0" w:color="auto"/>
        <w:bottom w:val="none" w:sz="0" w:space="0" w:color="auto"/>
        <w:right w:val="none" w:sz="0" w:space="0" w:color="auto"/>
      </w:divBdr>
    </w:div>
    <w:div w:id="91358275">
      <w:bodyDiv w:val="1"/>
      <w:marLeft w:val="0"/>
      <w:marRight w:val="0"/>
      <w:marTop w:val="0"/>
      <w:marBottom w:val="0"/>
      <w:divBdr>
        <w:top w:val="none" w:sz="0" w:space="0" w:color="auto"/>
        <w:left w:val="none" w:sz="0" w:space="0" w:color="auto"/>
        <w:bottom w:val="none" w:sz="0" w:space="0" w:color="auto"/>
        <w:right w:val="none" w:sz="0" w:space="0" w:color="auto"/>
      </w:divBdr>
    </w:div>
    <w:div w:id="98837088">
      <w:bodyDiv w:val="1"/>
      <w:marLeft w:val="0"/>
      <w:marRight w:val="0"/>
      <w:marTop w:val="0"/>
      <w:marBottom w:val="0"/>
      <w:divBdr>
        <w:top w:val="none" w:sz="0" w:space="0" w:color="auto"/>
        <w:left w:val="none" w:sz="0" w:space="0" w:color="auto"/>
        <w:bottom w:val="none" w:sz="0" w:space="0" w:color="auto"/>
        <w:right w:val="none" w:sz="0" w:space="0" w:color="auto"/>
      </w:divBdr>
    </w:div>
    <w:div w:id="103961036">
      <w:bodyDiv w:val="1"/>
      <w:marLeft w:val="0"/>
      <w:marRight w:val="0"/>
      <w:marTop w:val="0"/>
      <w:marBottom w:val="0"/>
      <w:divBdr>
        <w:top w:val="none" w:sz="0" w:space="0" w:color="auto"/>
        <w:left w:val="none" w:sz="0" w:space="0" w:color="auto"/>
        <w:bottom w:val="none" w:sz="0" w:space="0" w:color="auto"/>
        <w:right w:val="none" w:sz="0" w:space="0" w:color="auto"/>
      </w:divBdr>
    </w:div>
    <w:div w:id="107546432">
      <w:bodyDiv w:val="1"/>
      <w:marLeft w:val="0"/>
      <w:marRight w:val="0"/>
      <w:marTop w:val="0"/>
      <w:marBottom w:val="0"/>
      <w:divBdr>
        <w:top w:val="none" w:sz="0" w:space="0" w:color="auto"/>
        <w:left w:val="none" w:sz="0" w:space="0" w:color="auto"/>
        <w:bottom w:val="none" w:sz="0" w:space="0" w:color="auto"/>
        <w:right w:val="none" w:sz="0" w:space="0" w:color="auto"/>
      </w:divBdr>
    </w:div>
    <w:div w:id="111484876">
      <w:bodyDiv w:val="1"/>
      <w:marLeft w:val="0"/>
      <w:marRight w:val="0"/>
      <w:marTop w:val="0"/>
      <w:marBottom w:val="0"/>
      <w:divBdr>
        <w:top w:val="none" w:sz="0" w:space="0" w:color="auto"/>
        <w:left w:val="none" w:sz="0" w:space="0" w:color="auto"/>
        <w:bottom w:val="none" w:sz="0" w:space="0" w:color="auto"/>
        <w:right w:val="none" w:sz="0" w:space="0" w:color="auto"/>
      </w:divBdr>
    </w:div>
    <w:div w:id="209802854">
      <w:bodyDiv w:val="1"/>
      <w:marLeft w:val="0"/>
      <w:marRight w:val="0"/>
      <w:marTop w:val="0"/>
      <w:marBottom w:val="0"/>
      <w:divBdr>
        <w:top w:val="none" w:sz="0" w:space="0" w:color="auto"/>
        <w:left w:val="none" w:sz="0" w:space="0" w:color="auto"/>
        <w:bottom w:val="none" w:sz="0" w:space="0" w:color="auto"/>
        <w:right w:val="none" w:sz="0" w:space="0" w:color="auto"/>
      </w:divBdr>
    </w:div>
    <w:div w:id="280722339">
      <w:bodyDiv w:val="1"/>
      <w:marLeft w:val="0"/>
      <w:marRight w:val="0"/>
      <w:marTop w:val="0"/>
      <w:marBottom w:val="0"/>
      <w:divBdr>
        <w:top w:val="none" w:sz="0" w:space="0" w:color="auto"/>
        <w:left w:val="none" w:sz="0" w:space="0" w:color="auto"/>
        <w:bottom w:val="none" w:sz="0" w:space="0" w:color="auto"/>
        <w:right w:val="none" w:sz="0" w:space="0" w:color="auto"/>
      </w:divBdr>
    </w:div>
    <w:div w:id="287207227">
      <w:bodyDiv w:val="1"/>
      <w:marLeft w:val="0"/>
      <w:marRight w:val="0"/>
      <w:marTop w:val="0"/>
      <w:marBottom w:val="0"/>
      <w:divBdr>
        <w:top w:val="none" w:sz="0" w:space="0" w:color="auto"/>
        <w:left w:val="none" w:sz="0" w:space="0" w:color="auto"/>
        <w:bottom w:val="none" w:sz="0" w:space="0" w:color="auto"/>
        <w:right w:val="none" w:sz="0" w:space="0" w:color="auto"/>
      </w:divBdr>
    </w:div>
    <w:div w:id="334496260">
      <w:bodyDiv w:val="1"/>
      <w:marLeft w:val="0"/>
      <w:marRight w:val="0"/>
      <w:marTop w:val="0"/>
      <w:marBottom w:val="0"/>
      <w:divBdr>
        <w:top w:val="none" w:sz="0" w:space="0" w:color="auto"/>
        <w:left w:val="none" w:sz="0" w:space="0" w:color="auto"/>
        <w:bottom w:val="none" w:sz="0" w:space="0" w:color="auto"/>
        <w:right w:val="none" w:sz="0" w:space="0" w:color="auto"/>
      </w:divBdr>
    </w:div>
    <w:div w:id="359862964">
      <w:bodyDiv w:val="1"/>
      <w:marLeft w:val="0"/>
      <w:marRight w:val="0"/>
      <w:marTop w:val="0"/>
      <w:marBottom w:val="0"/>
      <w:divBdr>
        <w:top w:val="none" w:sz="0" w:space="0" w:color="auto"/>
        <w:left w:val="none" w:sz="0" w:space="0" w:color="auto"/>
        <w:bottom w:val="none" w:sz="0" w:space="0" w:color="auto"/>
        <w:right w:val="none" w:sz="0" w:space="0" w:color="auto"/>
      </w:divBdr>
    </w:div>
    <w:div w:id="374308737">
      <w:bodyDiv w:val="1"/>
      <w:marLeft w:val="0"/>
      <w:marRight w:val="0"/>
      <w:marTop w:val="0"/>
      <w:marBottom w:val="0"/>
      <w:divBdr>
        <w:top w:val="none" w:sz="0" w:space="0" w:color="auto"/>
        <w:left w:val="none" w:sz="0" w:space="0" w:color="auto"/>
        <w:bottom w:val="none" w:sz="0" w:space="0" w:color="auto"/>
        <w:right w:val="none" w:sz="0" w:space="0" w:color="auto"/>
      </w:divBdr>
    </w:div>
    <w:div w:id="402870546">
      <w:bodyDiv w:val="1"/>
      <w:marLeft w:val="0"/>
      <w:marRight w:val="0"/>
      <w:marTop w:val="0"/>
      <w:marBottom w:val="0"/>
      <w:divBdr>
        <w:top w:val="none" w:sz="0" w:space="0" w:color="auto"/>
        <w:left w:val="none" w:sz="0" w:space="0" w:color="auto"/>
        <w:bottom w:val="none" w:sz="0" w:space="0" w:color="auto"/>
        <w:right w:val="none" w:sz="0" w:space="0" w:color="auto"/>
      </w:divBdr>
    </w:div>
    <w:div w:id="418907917">
      <w:bodyDiv w:val="1"/>
      <w:marLeft w:val="0"/>
      <w:marRight w:val="0"/>
      <w:marTop w:val="0"/>
      <w:marBottom w:val="0"/>
      <w:divBdr>
        <w:top w:val="none" w:sz="0" w:space="0" w:color="auto"/>
        <w:left w:val="none" w:sz="0" w:space="0" w:color="auto"/>
        <w:bottom w:val="none" w:sz="0" w:space="0" w:color="auto"/>
        <w:right w:val="none" w:sz="0" w:space="0" w:color="auto"/>
      </w:divBdr>
    </w:div>
    <w:div w:id="428624225">
      <w:bodyDiv w:val="1"/>
      <w:marLeft w:val="0"/>
      <w:marRight w:val="0"/>
      <w:marTop w:val="0"/>
      <w:marBottom w:val="0"/>
      <w:divBdr>
        <w:top w:val="none" w:sz="0" w:space="0" w:color="auto"/>
        <w:left w:val="none" w:sz="0" w:space="0" w:color="auto"/>
        <w:bottom w:val="none" w:sz="0" w:space="0" w:color="auto"/>
        <w:right w:val="none" w:sz="0" w:space="0" w:color="auto"/>
      </w:divBdr>
    </w:div>
    <w:div w:id="435060353">
      <w:bodyDiv w:val="1"/>
      <w:marLeft w:val="0"/>
      <w:marRight w:val="0"/>
      <w:marTop w:val="0"/>
      <w:marBottom w:val="0"/>
      <w:divBdr>
        <w:top w:val="none" w:sz="0" w:space="0" w:color="auto"/>
        <w:left w:val="none" w:sz="0" w:space="0" w:color="auto"/>
        <w:bottom w:val="none" w:sz="0" w:space="0" w:color="auto"/>
        <w:right w:val="none" w:sz="0" w:space="0" w:color="auto"/>
      </w:divBdr>
    </w:div>
    <w:div w:id="462843426">
      <w:bodyDiv w:val="1"/>
      <w:marLeft w:val="0"/>
      <w:marRight w:val="0"/>
      <w:marTop w:val="0"/>
      <w:marBottom w:val="0"/>
      <w:divBdr>
        <w:top w:val="none" w:sz="0" w:space="0" w:color="auto"/>
        <w:left w:val="none" w:sz="0" w:space="0" w:color="auto"/>
        <w:bottom w:val="none" w:sz="0" w:space="0" w:color="auto"/>
        <w:right w:val="none" w:sz="0" w:space="0" w:color="auto"/>
      </w:divBdr>
    </w:div>
    <w:div w:id="467086092">
      <w:bodyDiv w:val="1"/>
      <w:marLeft w:val="0"/>
      <w:marRight w:val="0"/>
      <w:marTop w:val="0"/>
      <w:marBottom w:val="0"/>
      <w:divBdr>
        <w:top w:val="none" w:sz="0" w:space="0" w:color="auto"/>
        <w:left w:val="none" w:sz="0" w:space="0" w:color="auto"/>
        <w:bottom w:val="none" w:sz="0" w:space="0" w:color="auto"/>
        <w:right w:val="none" w:sz="0" w:space="0" w:color="auto"/>
      </w:divBdr>
    </w:div>
    <w:div w:id="506095538">
      <w:bodyDiv w:val="1"/>
      <w:marLeft w:val="0"/>
      <w:marRight w:val="0"/>
      <w:marTop w:val="0"/>
      <w:marBottom w:val="0"/>
      <w:divBdr>
        <w:top w:val="none" w:sz="0" w:space="0" w:color="auto"/>
        <w:left w:val="none" w:sz="0" w:space="0" w:color="auto"/>
        <w:bottom w:val="none" w:sz="0" w:space="0" w:color="auto"/>
        <w:right w:val="none" w:sz="0" w:space="0" w:color="auto"/>
      </w:divBdr>
    </w:div>
    <w:div w:id="521480031">
      <w:bodyDiv w:val="1"/>
      <w:marLeft w:val="0"/>
      <w:marRight w:val="0"/>
      <w:marTop w:val="0"/>
      <w:marBottom w:val="0"/>
      <w:divBdr>
        <w:top w:val="none" w:sz="0" w:space="0" w:color="auto"/>
        <w:left w:val="none" w:sz="0" w:space="0" w:color="auto"/>
        <w:bottom w:val="none" w:sz="0" w:space="0" w:color="auto"/>
        <w:right w:val="none" w:sz="0" w:space="0" w:color="auto"/>
      </w:divBdr>
    </w:div>
    <w:div w:id="524634675">
      <w:bodyDiv w:val="1"/>
      <w:marLeft w:val="0"/>
      <w:marRight w:val="0"/>
      <w:marTop w:val="0"/>
      <w:marBottom w:val="0"/>
      <w:divBdr>
        <w:top w:val="none" w:sz="0" w:space="0" w:color="auto"/>
        <w:left w:val="none" w:sz="0" w:space="0" w:color="auto"/>
        <w:bottom w:val="none" w:sz="0" w:space="0" w:color="auto"/>
        <w:right w:val="none" w:sz="0" w:space="0" w:color="auto"/>
      </w:divBdr>
    </w:div>
    <w:div w:id="544177269">
      <w:bodyDiv w:val="1"/>
      <w:marLeft w:val="0"/>
      <w:marRight w:val="0"/>
      <w:marTop w:val="0"/>
      <w:marBottom w:val="0"/>
      <w:divBdr>
        <w:top w:val="none" w:sz="0" w:space="0" w:color="auto"/>
        <w:left w:val="none" w:sz="0" w:space="0" w:color="auto"/>
        <w:bottom w:val="none" w:sz="0" w:space="0" w:color="auto"/>
        <w:right w:val="none" w:sz="0" w:space="0" w:color="auto"/>
      </w:divBdr>
    </w:div>
    <w:div w:id="593364902">
      <w:bodyDiv w:val="1"/>
      <w:marLeft w:val="0"/>
      <w:marRight w:val="0"/>
      <w:marTop w:val="0"/>
      <w:marBottom w:val="0"/>
      <w:divBdr>
        <w:top w:val="none" w:sz="0" w:space="0" w:color="auto"/>
        <w:left w:val="none" w:sz="0" w:space="0" w:color="auto"/>
        <w:bottom w:val="none" w:sz="0" w:space="0" w:color="auto"/>
        <w:right w:val="none" w:sz="0" w:space="0" w:color="auto"/>
      </w:divBdr>
    </w:div>
    <w:div w:id="608313415">
      <w:bodyDiv w:val="1"/>
      <w:marLeft w:val="0"/>
      <w:marRight w:val="0"/>
      <w:marTop w:val="0"/>
      <w:marBottom w:val="0"/>
      <w:divBdr>
        <w:top w:val="none" w:sz="0" w:space="0" w:color="auto"/>
        <w:left w:val="none" w:sz="0" w:space="0" w:color="auto"/>
        <w:bottom w:val="none" w:sz="0" w:space="0" w:color="auto"/>
        <w:right w:val="none" w:sz="0" w:space="0" w:color="auto"/>
      </w:divBdr>
    </w:div>
    <w:div w:id="650600520">
      <w:bodyDiv w:val="1"/>
      <w:marLeft w:val="0"/>
      <w:marRight w:val="0"/>
      <w:marTop w:val="0"/>
      <w:marBottom w:val="0"/>
      <w:divBdr>
        <w:top w:val="none" w:sz="0" w:space="0" w:color="auto"/>
        <w:left w:val="none" w:sz="0" w:space="0" w:color="auto"/>
        <w:bottom w:val="none" w:sz="0" w:space="0" w:color="auto"/>
        <w:right w:val="none" w:sz="0" w:space="0" w:color="auto"/>
      </w:divBdr>
    </w:div>
    <w:div w:id="672806720">
      <w:bodyDiv w:val="1"/>
      <w:marLeft w:val="0"/>
      <w:marRight w:val="0"/>
      <w:marTop w:val="0"/>
      <w:marBottom w:val="0"/>
      <w:divBdr>
        <w:top w:val="none" w:sz="0" w:space="0" w:color="auto"/>
        <w:left w:val="none" w:sz="0" w:space="0" w:color="auto"/>
        <w:bottom w:val="none" w:sz="0" w:space="0" w:color="auto"/>
        <w:right w:val="none" w:sz="0" w:space="0" w:color="auto"/>
      </w:divBdr>
    </w:div>
    <w:div w:id="683097943">
      <w:bodyDiv w:val="1"/>
      <w:marLeft w:val="0"/>
      <w:marRight w:val="0"/>
      <w:marTop w:val="0"/>
      <w:marBottom w:val="0"/>
      <w:divBdr>
        <w:top w:val="none" w:sz="0" w:space="0" w:color="auto"/>
        <w:left w:val="none" w:sz="0" w:space="0" w:color="auto"/>
        <w:bottom w:val="none" w:sz="0" w:space="0" w:color="auto"/>
        <w:right w:val="none" w:sz="0" w:space="0" w:color="auto"/>
      </w:divBdr>
    </w:div>
    <w:div w:id="685448220">
      <w:bodyDiv w:val="1"/>
      <w:marLeft w:val="0"/>
      <w:marRight w:val="0"/>
      <w:marTop w:val="0"/>
      <w:marBottom w:val="0"/>
      <w:divBdr>
        <w:top w:val="none" w:sz="0" w:space="0" w:color="auto"/>
        <w:left w:val="none" w:sz="0" w:space="0" w:color="auto"/>
        <w:bottom w:val="none" w:sz="0" w:space="0" w:color="auto"/>
        <w:right w:val="none" w:sz="0" w:space="0" w:color="auto"/>
      </w:divBdr>
    </w:div>
    <w:div w:id="687102167">
      <w:bodyDiv w:val="1"/>
      <w:marLeft w:val="0"/>
      <w:marRight w:val="0"/>
      <w:marTop w:val="0"/>
      <w:marBottom w:val="0"/>
      <w:divBdr>
        <w:top w:val="none" w:sz="0" w:space="0" w:color="auto"/>
        <w:left w:val="none" w:sz="0" w:space="0" w:color="auto"/>
        <w:bottom w:val="none" w:sz="0" w:space="0" w:color="auto"/>
        <w:right w:val="none" w:sz="0" w:space="0" w:color="auto"/>
      </w:divBdr>
    </w:div>
    <w:div w:id="687565370">
      <w:bodyDiv w:val="1"/>
      <w:marLeft w:val="0"/>
      <w:marRight w:val="0"/>
      <w:marTop w:val="0"/>
      <w:marBottom w:val="0"/>
      <w:divBdr>
        <w:top w:val="none" w:sz="0" w:space="0" w:color="auto"/>
        <w:left w:val="none" w:sz="0" w:space="0" w:color="auto"/>
        <w:bottom w:val="none" w:sz="0" w:space="0" w:color="auto"/>
        <w:right w:val="none" w:sz="0" w:space="0" w:color="auto"/>
      </w:divBdr>
    </w:div>
    <w:div w:id="728918372">
      <w:bodyDiv w:val="1"/>
      <w:marLeft w:val="0"/>
      <w:marRight w:val="0"/>
      <w:marTop w:val="0"/>
      <w:marBottom w:val="0"/>
      <w:divBdr>
        <w:top w:val="none" w:sz="0" w:space="0" w:color="auto"/>
        <w:left w:val="none" w:sz="0" w:space="0" w:color="auto"/>
        <w:bottom w:val="none" w:sz="0" w:space="0" w:color="auto"/>
        <w:right w:val="none" w:sz="0" w:space="0" w:color="auto"/>
      </w:divBdr>
    </w:div>
    <w:div w:id="737754155">
      <w:bodyDiv w:val="1"/>
      <w:marLeft w:val="0"/>
      <w:marRight w:val="0"/>
      <w:marTop w:val="0"/>
      <w:marBottom w:val="0"/>
      <w:divBdr>
        <w:top w:val="none" w:sz="0" w:space="0" w:color="auto"/>
        <w:left w:val="none" w:sz="0" w:space="0" w:color="auto"/>
        <w:bottom w:val="none" w:sz="0" w:space="0" w:color="auto"/>
        <w:right w:val="none" w:sz="0" w:space="0" w:color="auto"/>
      </w:divBdr>
    </w:div>
    <w:div w:id="744884278">
      <w:bodyDiv w:val="1"/>
      <w:marLeft w:val="0"/>
      <w:marRight w:val="0"/>
      <w:marTop w:val="0"/>
      <w:marBottom w:val="0"/>
      <w:divBdr>
        <w:top w:val="none" w:sz="0" w:space="0" w:color="auto"/>
        <w:left w:val="none" w:sz="0" w:space="0" w:color="auto"/>
        <w:bottom w:val="none" w:sz="0" w:space="0" w:color="auto"/>
        <w:right w:val="none" w:sz="0" w:space="0" w:color="auto"/>
      </w:divBdr>
    </w:div>
    <w:div w:id="751243311">
      <w:bodyDiv w:val="1"/>
      <w:marLeft w:val="0"/>
      <w:marRight w:val="0"/>
      <w:marTop w:val="0"/>
      <w:marBottom w:val="0"/>
      <w:divBdr>
        <w:top w:val="none" w:sz="0" w:space="0" w:color="auto"/>
        <w:left w:val="none" w:sz="0" w:space="0" w:color="auto"/>
        <w:bottom w:val="none" w:sz="0" w:space="0" w:color="auto"/>
        <w:right w:val="none" w:sz="0" w:space="0" w:color="auto"/>
      </w:divBdr>
    </w:div>
    <w:div w:id="817113147">
      <w:bodyDiv w:val="1"/>
      <w:marLeft w:val="0"/>
      <w:marRight w:val="0"/>
      <w:marTop w:val="0"/>
      <w:marBottom w:val="0"/>
      <w:divBdr>
        <w:top w:val="none" w:sz="0" w:space="0" w:color="auto"/>
        <w:left w:val="none" w:sz="0" w:space="0" w:color="auto"/>
        <w:bottom w:val="none" w:sz="0" w:space="0" w:color="auto"/>
        <w:right w:val="none" w:sz="0" w:space="0" w:color="auto"/>
      </w:divBdr>
    </w:div>
    <w:div w:id="818379476">
      <w:bodyDiv w:val="1"/>
      <w:marLeft w:val="0"/>
      <w:marRight w:val="0"/>
      <w:marTop w:val="0"/>
      <w:marBottom w:val="0"/>
      <w:divBdr>
        <w:top w:val="none" w:sz="0" w:space="0" w:color="auto"/>
        <w:left w:val="none" w:sz="0" w:space="0" w:color="auto"/>
        <w:bottom w:val="none" w:sz="0" w:space="0" w:color="auto"/>
        <w:right w:val="none" w:sz="0" w:space="0" w:color="auto"/>
      </w:divBdr>
    </w:div>
    <w:div w:id="883835732">
      <w:bodyDiv w:val="1"/>
      <w:marLeft w:val="0"/>
      <w:marRight w:val="0"/>
      <w:marTop w:val="0"/>
      <w:marBottom w:val="0"/>
      <w:divBdr>
        <w:top w:val="none" w:sz="0" w:space="0" w:color="auto"/>
        <w:left w:val="none" w:sz="0" w:space="0" w:color="auto"/>
        <w:bottom w:val="none" w:sz="0" w:space="0" w:color="auto"/>
        <w:right w:val="none" w:sz="0" w:space="0" w:color="auto"/>
      </w:divBdr>
    </w:div>
    <w:div w:id="890307456">
      <w:bodyDiv w:val="1"/>
      <w:marLeft w:val="0"/>
      <w:marRight w:val="0"/>
      <w:marTop w:val="0"/>
      <w:marBottom w:val="0"/>
      <w:divBdr>
        <w:top w:val="none" w:sz="0" w:space="0" w:color="auto"/>
        <w:left w:val="none" w:sz="0" w:space="0" w:color="auto"/>
        <w:bottom w:val="none" w:sz="0" w:space="0" w:color="auto"/>
        <w:right w:val="none" w:sz="0" w:space="0" w:color="auto"/>
      </w:divBdr>
    </w:div>
    <w:div w:id="925042479">
      <w:bodyDiv w:val="1"/>
      <w:marLeft w:val="0"/>
      <w:marRight w:val="0"/>
      <w:marTop w:val="0"/>
      <w:marBottom w:val="0"/>
      <w:divBdr>
        <w:top w:val="none" w:sz="0" w:space="0" w:color="auto"/>
        <w:left w:val="none" w:sz="0" w:space="0" w:color="auto"/>
        <w:bottom w:val="none" w:sz="0" w:space="0" w:color="auto"/>
        <w:right w:val="none" w:sz="0" w:space="0" w:color="auto"/>
      </w:divBdr>
    </w:div>
    <w:div w:id="953637340">
      <w:bodyDiv w:val="1"/>
      <w:marLeft w:val="0"/>
      <w:marRight w:val="0"/>
      <w:marTop w:val="0"/>
      <w:marBottom w:val="0"/>
      <w:divBdr>
        <w:top w:val="none" w:sz="0" w:space="0" w:color="auto"/>
        <w:left w:val="none" w:sz="0" w:space="0" w:color="auto"/>
        <w:bottom w:val="none" w:sz="0" w:space="0" w:color="auto"/>
        <w:right w:val="none" w:sz="0" w:space="0" w:color="auto"/>
      </w:divBdr>
    </w:div>
    <w:div w:id="976494622">
      <w:bodyDiv w:val="1"/>
      <w:marLeft w:val="0"/>
      <w:marRight w:val="0"/>
      <w:marTop w:val="0"/>
      <w:marBottom w:val="0"/>
      <w:divBdr>
        <w:top w:val="none" w:sz="0" w:space="0" w:color="auto"/>
        <w:left w:val="none" w:sz="0" w:space="0" w:color="auto"/>
        <w:bottom w:val="none" w:sz="0" w:space="0" w:color="auto"/>
        <w:right w:val="none" w:sz="0" w:space="0" w:color="auto"/>
      </w:divBdr>
    </w:div>
    <w:div w:id="988292011">
      <w:bodyDiv w:val="1"/>
      <w:marLeft w:val="0"/>
      <w:marRight w:val="0"/>
      <w:marTop w:val="0"/>
      <w:marBottom w:val="0"/>
      <w:divBdr>
        <w:top w:val="none" w:sz="0" w:space="0" w:color="auto"/>
        <w:left w:val="none" w:sz="0" w:space="0" w:color="auto"/>
        <w:bottom w:val="none" w:sz="0" w:space="0" w:color="auto"/>
        <w:right w:val="none" w:sz="0" w:space="0" w:color="auto"/>
      </w:divBdr>
    </w:div>
    <w:div w:id="1029524086">
      <w:bodyDiv w:val="1"/>
      <w:marLeft w:val="0"/>
      <w:marRight w:val="0"/>
      <w:marTop w:val="0"/>
      <w:marBottom w:val="0"/>
      <w:divBdr>
        <w:top w:val="none" w:sz="0" w:space="0" w:color="auto"/>
        <w:left w:val="none" w:sz="0" w:space="0" w:color="auto"/>
        <w:bottom w:val="none" w:sz="0" w:space="0" w:color="auto"/>
        <w:right w:val="none" w:sz="0" w:space="0" w:color="auto"/>
      </w:divBdr>
    </w:div>
    <w:div w:id="1050497049">
      <w:bodyDiv w:val="1"/>
      <w:marLeft w:val="0"/>
      <w:marRight w:val="0"/>
      <w:marTop w:val="0"/>
      <w:marBottom w:val="0"/>
      <w:divBdr>
        <w:top w:val="none" w:sz="0" w:space="0" w:color="auto"/>
        <w:left w:val="none" w:sz="0" w:space="0" w:color="auto"/>
        <w:bottom w:val="none" w:sz="0" w:space="0" w:color="auto"/>
        <w:right w:val="none" w:sz="0" w:space="0" w:color="auto"/>
      </w:divBdr>
    </w:div>
    <w:div w:id="1063409098">
      <w:bodyDiv w:val="1"/>
      <w:marLeft w:val="0"/>
      <w:marRight w:val="0"/>
      <w:marTop w:val="0"/>
      <w:marBottom w:val="0"/>
      <w:divBdr>
        <w:top w:val="none" w:sz="0" w:space="0" w:color="auto"/>
        <w:left w:val="none" w:sz="0" w:space="0" w:color="auto"/>
        <w:bottom w:val="none" w:sz="0" w:space="0" w:color="auto"/>
        <w:right w:val="none" w:sz="0" w:space="0" w:color="auto"/>
      </w:divBdr>
    </w:div>
    <w:div w:id="1075123408">
      <w:bodyDiv w:val="1"/>
      <w:marLeft w:val="0"/>
      <w:marRight w:val="0"/>
      <w:marTop w:val="0"/>
      <w:marBottom w:val="0"/>
      <w:divBdr>
        <w:top w:val="none" w:sz="0" w:space="0" w:color="auto"/>
        <w:left w:val="none" w:sz="0" w:space="0" w:color="auto"/>
        <w:bottom w:val="none" w:sz="0" w:space="0" w:color="auto"/>
        <w:right w:val="none" w:sz="0" w:space="0" w:color="auto"/>
      </w:divBdr>
    </w:div>
    <w:div w:id="1096054963">
      <w:bodyDiv w:val="1"/>
      <w:marLeft w:val="0"/>
      <w:marRight w:val="0"/>
      <w:marTop w:val="0"/>
      <w:marBottom w:val="0"/>
      <w:divBdr>
        <w:top w:val="none" w:sz="0" w:space="0" w:color="auto"/>
        <w:left w:val="none" w:sz="0" w:space="0" w:color="auto"/>
        <w:bottom w:val="none" w:sz="0" w:space="0" w:color="auto"/>
        <w:right w:val="none" w:sz="0" w:space="0" w:color="auto"/>
      </w:divBdr>
    </w:div>
    <w:div w:id="1107850915">
      <w:bodyDiv w:val="1"/>
      <w:marLeft w:val="0"/>
      <w:marRight w:val="0"/>
      <w:marTop w:val="0"/>
      <w:marBottom w:val="0"/>
      <w:divBdr>
        <w:top w:val="none" w:sz="0" w:space="0" w:color="auto"/>
        <w:left w:val="none" w:sz="0" w:space="0" w:color="auto"/>
        <w:bottom w:val="none" w:sz="0" w:space="0" w:color="auto"/>
        <w:right w:val="none" w:sz="0" w:space="0" w:color="auto"/>
      </w:divBdr>
    </w:div>
    <w:div w:id="1124538432">
      <w:bodyDiv w:val="1"/>
      <w:marLeft w:val="0"/>
      <w:marRight w:val="0"/>
      <w:marTop w:val="0"/>
      <w:marBottom w:val="0"/>
      <w:divBdr>
        <w:top w:val="none" w:sz="0" w:space="0" w:color="auto"/>
        <w:left w:val="none" w:sz="0" w:space="0" w:color="auto"/>
        <w:bottom w:val="none" w:sz="0" w:space="0" w:color="auto"/>
        <w:right w:val="none" w:sz="0" w:space="0" w:color="auto"/>
      </w:divBdr>
    </w:div>
    <w:div w:id="1136070414">
      <w:bodyDiv w:val="1"/>
      <w:marLeft w:val="0"/>
      <w:marRight w:val="0"/>
      <w:marTop w:val="0"/>
      <w:marBottom w:val="0"/>
      <w:divBdr>
        <w:top w:val="none" w:sz="0" w:space="0" w:color="auto"/>
        <w:left w:val="none" w:sz="0" w:space="0" w:color="auto"/>
        <w:bottom w:val="none" w:sz="0" w:space="0" w:color="auto"/>
        <w:right w:val="none" w:sz="0" w:space="0" w:color="auto"/>
      </w:divBdr>
    </w:div>
    <w:div w:id="1136682156">
      <w:bodyDiv w:val="1"/>
      <w:marLeft w:val="0"/>
      <w:marRight w:val="0"/>
      <w:marTop w:val="0"/>
      <w:marBottom w:val="0"/>
      <w:divBdr>
        <w:top w:val="none" w:sz="0" w:space="0" w:color="auto"/>
        <w:left w:val="none" w:sz="0" w:space="0" w:color="auto"/>
        <w:bottom w:val="none" w:sz="0" w:space="0" w:color="auto"/>
        <w:right w:val="none" w:sz="0" w:space="0" w:color="auto"/>
      </w:divBdr>
    </w:div>
    <w:div w:id="1138571401">
      <w:bodyDiv w:val="1"/>
      <w:marLeft w:val="0"/>
      <w:marRight w:val="0"/>
      <w:marTop w:val="0"/>
      <w:marBottom w:val="0"/>
      <w:divBdr>
        <w:top w:val="none" w:sz="0" w:space="0" w:color="auto"/>
        <w:left w:val="none" w:sz="0" w:space="0" w:color="auto"/>
        <w:bottom w:val="none" w:sz="0" w:space="0" w:color="auto"/>
        <w:right w:val="none" w:sz="0" w:space="0" w:color="auto"/>
      </w:divBdr>
    </w:div>
    <w:div w:id="1180243913">
      <w:bodyDiv w:val="1"/>
      <w:marLeft w:val="0"/>
      <w:marRight w:val="0"/>
      <w:marTop w:val="0"/>
      <w:marBottom w:val="0"/>
      <w:divBdr>
        <w:top w:val="none" w:sz="0" w:space="0" w:color="auto"/>
        <w:left w:val="none" w:sz="0" w:space="0" w:color="auto"/>
        <w:bottom w:val="none" w:sz="0" w:space="0" w:color="auto"/>
        <w:right w:val="none" w:sz="0" w:space="0" w:color="auto"/>
      </w:divBdr>
    </w:div>
    <w:div w:id="1210528320">
      <w:bodyDiv w:val="1"/>
      <w:marLeft w:val="0"/>
      <w:marRight w:val="0"/>
      <w:marTop w:val="0"/>
      <w:marBottom w:val="0"/>
      <w:divBdr>
        <w:top w:val="none" w:sz="0" w:space="0" w:color="auto"/>
        <w:left w:val="none" w:sz="0" w:space="0" w:color="auto"/>
        <w:bottom w:val="none" w:sz="0" w:space="0" w:color="auto"/>
        <w:right w:val="none" w:sz="0" w:space="0" w:color="auto"/>
      </w:divBdr>
    </w:div>
    <w:div w:id="1240822658">
      <w:bodyDiv w:val="1"/>
      <w:marLeft w:val="0"/>
      <w:marRight w:val="0"/>
      <w:marTop w:val="0"/>
      <w:marBottom w:val="0"/>
      <w:divBdr>
        <w:top w:val="none" w:sz="0" w:space="0" w:color="auto"/>
        <w:left w:val="none" w:sz="0" w:space="0" w:color="auto"/>
        <w:bottom w:val="none" w:sz="0" w:space="0" w:color="auto"/>
        <w:right w:val="none" w:sz="0" w:space="0" w:color="auto"/>
      </w:divBdr>
    </w:div>
    <w:div w:id="1241284386">
      <w:bodyDiv w:val="1"/>
      <w:marLeft w:val="0"/>
      <w:marRight w:val="0"/>
      <w:marTop w:val="0"/>
      <w:marBottom w:val="0"/>
      <w:divBdr>
        <w:top w:val="none" w:sz="0" w:space="0" w:color="auto"/>
        <w:left w:val="none" w:sz="0" w:space="0" w:color="auto"/>
        <w:bottom w:val="none" w:sz="0" w:space="0" w:color="auto"/>
        <w:right w:val="none" w:sz="0" w:space="0" w:color="auto"/>
      </w:divBdr>
    </w:div>
    <w:div w:id="1260262760">
      <w:bodyDiv w:val="1"/>
      <w:marLeft w:val="0"/>
      <w:marRight w:val="0"/>
      <w:marTop w:val="0"/>
      <w:marBottom w:val="0"/>
      <w:divBdr>
        <w:top w:val="none" w:sz="0" w:space="0" w:color="auto"/>
        <w:left w:val="none" w:sz="0" w:space="0" w:color="auto"/>
        <w:bottom w:val="none" w:sz="0" w:space="0" w:color="auto"/>
        <w:right w:val="none" w:sz="0" w:space="0" w:color="auto"/>
      </w:divBdr>
    </w:div>
    <w:div w:id="1270551531">
      <w:bodyDiv w:val="1"/>
      <w:marLeft w:val="0"/>
      <w:marRight w:val="0"/>
      <w:marTop w:val="0"/>
      <w:marBottom w:val="0"/>
      <w:divBdr>
        <w:top w:val="none" w:sz="0" w:space="0" w:color="auto"/>
        <w:left w:val="none" w:sz="0" w:space="0" w:color="auto"/>
        <w:bottom w:val="none" w:sz="0" w:space="0" w:color="auto"/>
        <w:right w:val="none" w:sz="0" w:space="0" w:color="auto"/>
      </w:divBdr>
    </w:div>
    <w:div w:id="1278217593">
      <w:bodyDiv w:val="1"/>
      <w:marLeft w:val="0"/>
      <w:marRight w:val="0"/>
      <w:marTop w:val="0"/>
      <w:marBottom w:val="0"/>
      <w:divBdr>
        <w:top w:val="none" w:sz="0" w:space="0" w:color="auto"/>
        <w:left w:val="none" w:sz="0" w:space="0" w:color="auto"/>
        <w:bottom w:val="none" w:sz="0" w:space="0" w:color="auto"/>
        <w:right w:val="none" w:sz="0" w:space="0" w:color="auto"/>
      </w:divBdr>
    </w:div>
    <w:div w:id="1299529631">
      <w:bodyDiv w:val="1"/>
      <w:marLeft w:val="0"/>
      <w:marRight w:val="0"/>
      <w:marTop w:val="0"/>
      <w:marBottom w:val="0"/>
      <w:divBdr>
        <w:top w:val="none" w:sz="0" w:space="0" w:color="auto"/>
        <w:left w:val="none" w:sz="0" w:space="0" w:color="auto"/>
        <w:bottom w:val="none" w:sz="0" w:space="0" w:color="auto"/>
        <w:right w:val="none" w:sz="0" w:space="0" w:color="auto"/>
      </w:divBdr>
    </w:div>
    <w:div w:id="1324972905">
      <w:bodyDiv w:val="1"/>
      <w:marLeft w:val="0"/>
      <w:marRight w:val="0"/>
      <w:marTop w:val="0"/>
      <w:marBottom w:val="0"/>
      <w:divBdr>
        <w:top w:val="none" w:sz="0" w:space="0" w:color="auto"/>
        <w:left w:val="none" w:sz="0" w:space="0" w:color="auto"/>
        <w:bottom w:val="none" w:sz="0" w:space="0" w:color="auto"/>
        <w:right w:val="none" w:sz="0" w:space="0" w:color="auto"/>
      </w:divBdr>
    </w:div>
    <w:div w:id="1332374311">
      <w:bodyDiv w:val="1"/>
      <w:marLeft w:val="0"/>
      <w:marRight w:val="0"/>
      <w:marTop w:val="0"/>
      <w:marBottom w:val="0"/>
      <w:divBdr>
        <w:top w:val="none" w:sz="0" w:space="0" w:color="auto"/>
        <w:left w:val="none" w:sz="0" w:space="0" w:color="auto"/>
        <w:bottom w:val="none" w:sz="0" w:space="0" w:color="auto"/>
        <w:right w:val="none" w:sz="0" w:space="0" w:color="auto"/>
      </w:divBdr>
    </w:div>
    <w:div w:id="1333099261">
      <w:bodyDiv w:val="1"/>
      <w:marLeft w:val="0"/>
      <w:marRight w:val="0"/>
      <w:marTop w:val="0"/>
      <w:marBottom w:val="0"/>
      <w:divBdr>
        <w:top w:val="none" w:sz="0" w:space="0" w:color="auto"/>
        <w:left w:val="none" w:sz="0" w:space="0" w:color="auto"/>
        <w:bottom w:val="none" w:sz="0" w:space="0" w:color="auto"/>
        <w:right w:val="none" w:sz="0" w:space="0" w:color="auto"/>
      </w:divBdr>
    </w:div>
    <w:div w:id="1356544507">
      <w:bodyDiv w:val="1"/>
      <w:marLeft w:val="0"/>
      <w:marRight w:val="0"/>
      <w:marTop w:val="0"/>
      <w:marBottom w:val="0"/>
      <w:divBdr>
        <w:top w:val="none" w:sz="0" w:space="0" w:color="auto"/>
        <w:left w:val="none" w:sz="0" w:space="0" w:color="auto"/>
        <w:bottom w:val="none" w:sz="0" w:space="0" w:color="auto"/>
        <w:right w:val="none" w:sz="0" w:space="0" w:color="auto"/>
      </w:divBdr>
    </w:div>
    <w:div w:id="1392465095">
      <w:bodyDiv w:val="1"/>
      <w:marLeft w:val="0"/>
      <w:marRight w:val="0"/>
      <w:marTop w:val="0"/>
      <w:marBottom w:val="0"/>
      <w:divBdr>
        <w:top w:val="none" w:sz="0" w:space="0" w:color="auto"/>
        <w:left w:val="none" w:sz="0" w:space="0" w:color="auto"/>
        <w:bottom w:val="none" w:sz="0" w:space="0" w:color="auto"/>
        <w:right w:val="none" w:sz="0" w:space="0" w:color="auto"/>
      </w:divBdr>
    </w:div>
    <w:div w:id="1407846096">
      <w:bodyDiv w:val="1"/>
      <w:marLeft w:val="0"/>
      <w:marRight w:val="0"/>
      <w:marTop w:val="0"/>
      <w:marBottom w:val="0"/>
      <w:divBdr>
        <w:top w:val="none" w:sz="0" w:space="0" w:color="auto"/>
        <w:left w:val="none" w:sz="0" w:space="0" w:color="auto"/>
        <w:bottom w:val="none" w:sz="0" w:space="0" w:color="auto"/>
        <w:right w:val="none" w:sz="0" w:space="0" w:color="auto"/>
      </w:divBdr>
    </w:div>
    <w:div w:id="1415005124">
      <w:bodyDiv w:val="1"/>
      <w:marLeft w:val="0"/>
      <w:marRight w:val="0"/>
      <w:marTop w:val="0"/>
      <w:marBottom w:val="0"/>
      <w:divBdr>
        <w:top w:val="none" w:sz="0" w:space="0" w:color="auto"/>
        <w:left w:val="none" w:sz="0" w:space="0" w:color="auto"/>
        <w:bottom w:val="none" w:sz="0" w:space="0" w:color="auto"/>
        <w:right w:val="none" w:sz="0" w:space="0" w:color="auto"/>
      </w:divBdr>
    </w:div>
    <w:div w:id="1439375687">
      <w:bodyDiv w:val="1"/>
      <w:marLeft w:val="0"/>
      <w:marRight w:val="0"/>
      <w:marTop w:val="0"/>
      <w:marBottom w:val="0"/>
      <w:divBdr>
        <w:top w:val="none" w:sz="0" w:space="0" w:color="auto"/>
        <w:left w:val="none" w:sz="0" w:space="0" w:color="auto"/>
        <w:bottom w:val="none" w:sz="0" w:space="0" w:color="auto"/>
        <w:right w:val="none" w:sz="0" w:space="0" w:color="auto"/>
      </w:divBdr>
    </w:div>
    <w:div w:id="1448818434">
      <w:bodyDiv w:val="1"/>
      <w:marLeft w:val="0"/>
      <w:marRight w:val="0"/>
      <w:marTop w:val="0"/>
      <w:marBottom w:val="0"/>
      <w:divBdr>
        <w:top w:val="none" w:sz="0" w:space="0" w:color="auto"/>
        <w:left w:val="none" w:sz="0" w:space="0" w:color="auto"/>
        <w:bottom w:val="none" w:sz="0" w:space="0" w:color="auto"/>
        <w:right w:val="none" w:sz="0" w:space="0" w:color="auto"/>
      </w:divBdr>
    </w:div>
    <w:div w:id="1467967327">
      <w:bodyDiv w:val="1"/>
      <w:marLeft w:val="0"/>
      <w:marRight w:val="0"/>
      <w:marTop w:val="0"/>
      <w:marBottom w:val="0"/>
      <w:divBdr>
        <w:top w:val="none" w:sz="0" w:space="0" w:color="auto"/>
        <w:left w:val="none" w:sz="0" w:space="0" w:color="auto"/>
        <w:bottom w:val="none" w:sz="0" w:space="0" w:color="auto"/>
        <w:right w:val="none" w:sz="0" w:space="0" w:color="auto"/>
      </w:divBdr>
    </w:div>
    <w:div w:id="1481146269">
      <w:bodyDiv w:val="1"/>
      <w:marLeft w:val="0"/>
      <w:marRight w:val="0"/>
      <w:marTop w:val="0"/>
      <w:marBottom w:val="0"/>
      <w:divBdr>
        <w:top w:val="none" w:sz="0" w:space="0" w:color="auto"/>
        <w:left w:val="none" w:sz="0" w:space="0" w:color="auto"/>
        <w:bottom w:val="none" w:sz="0" w:space="0" w:color="auto"/>
        <w:right w:val="none" w:sz="0" w:space="0" w:color="auto"/>
      </w:divBdr>
    </w:div>
    <w:div w:id="1498881204">
      <w:bodyDiv w:val="1"/>
      <w:marLeft w:val="0"/>
      <w:marRight w:val="0"/>
      <w:marTop w:val="0"/>
      <w:marBottom w:val="0"/>
      <w:divBdr>
        <w:top w:val="none" w:sz="0" w:space="0" w:color="auto"/>
        <w:left w:val="none" w:sz="0" w:space="0" w:color="auto"/>
        <w:bottom w:val="none" w:sz="0" w:space="0" w:color="auto"/>
        <w:right w:val="none" w:sz="0" w:space="0" w:color="auto"/>
      </w:divBdr>
    </w:div>
    <w:div w:id="1619870260">
      <w:bodyDiv w:val="1"/>
      <w:marLeft w:val="0"/>
      <w:marRight w:val="0"/>
      <w:marTop w:val="0"/>
      <w:marBottom w:val="0"/>
      <w:divBdr>
        <w:top w:val="none" w:sz="0" w:space="0" w:color="auto"/>
        <w:left w:val="none" w:sz="0" w:space="0" w:color="auto"/>
        <w:bottom w:val="none" w:sz="0" w:space="0" w:color="auto"/>
        <w:right w:val="none" w:sz="0" w:space="0" w:color="auto"/>
      </w:divBdr>
    </w:div>
    <w:div w:id="1629239491">
      <w:bodyDiv w:val="1"/>
      <w:marLeft w:val="0"/>
      <w:marRight w:val="0"/>
      <w:marTop w:val="0"/>
      <w:marBottom w:val="0"/>
      <w:divBdr>
        <w:top w:val="none" w:sz="0" w:space="0" w:color="auto"/>
        <w:left w:val="none" w:sz="0" w:space="0" w:color="auto"/>
        <w:bottom w:val="none" w:sz="0" w:space="0" w:color="auto"/>
        <w:right w:val="none" w:sz="0" w:space="0" w:color="auto"/>
      </w:divBdr>
    </w:div>
    <w:div w:id="1652710357">
      <w:bodyDiv w:val="1"/>
      <w:marLeft w:val="0"/>
      <w:marRight w:val="0"/>
      <w:marTop w:val="0"/>
      <w:marBottom w:val="0"/>
      <w:divBdr>
        <w:top w:val="none" w:sz="0" w:space="0" w:color="auto"/>
        <w:left w:val="none" w:sz="0" w:space="0" w:color="auto"/>
        <w:bottom w:val="none" w:sz="0" w:space="0" w:color="auto"/>
        <w:right w:val="none" w:sz="0" w:space="0" w:color="auto"/>
      </w:divBdr>
    </w:div>
    <w:div w:id="1657955250">
      <w:bodyDiv w:val="1"/>
      <w:marLeft w:val="0"/>
      <w:marRight w:val="0"/>
      <w:marTop w:val="0"/>
      <w:marBottom w:val="0"/>
      <w:divBdr>
        <w:top w:val="none" w:sz="0" w:space="0" w:color="auto"/>
        <w:left w:val="none" w:sz="0" w:space="0" w:color="auto"/>
        <w:bottom w:val="none" w:sz="0" w:space="0" w:color="auto"/>
        <w:right w:val="none" w:sz="0" w:space="0" w:color="auto"/>
      </w:divBdr>
    </w:div>
    <w:div w:id="1660382389">
      <w:bodyDiv w:val="1"/>
      <w:marLeft w:val="0"/>
      <w:marRight w:val="0"/>
      <w:marTop w:val="0"/>
      <w:marBottom w:val="0"/>
      <w:divBdr>
        <w:top w:val="none" w:sz="0" w:space="0" w:color="auto"/>
        <w:left w:val="none" w:sz="0" w:space="0" w:color="auto"/>
        <w:bottom w:val="none" w:sz="0" w:space="0" w:color="auto"/>
        <w:right w:val="none" w:sz="0" w:space="0" w:color="auto"/>
      </w:divBdr>
    </w:div>
    <w:div w:id="1732116988">
      <w:bodyDiv w:val="1"/>
      <w:marLeft w:val="0"/>
      <w:marRight w:val="0"/>
      <w:marTop w:val="0"/>
      <w:marBottom w:val="0"/>
      <w:divBdr>
        <w:top w:val="none" w:sz="0" w:space="0" w:color="auto"/>
        <w:left w:val="none" w:sz="0" w:space="0" w:color="auto"/>
        <w:bottom w:val="none" w:sz="0" w:space="0" w:color="auto"/>
        <w:right w:val="none" w:sz="0" w:space="0" w:color="auto"/>
      </w:divBdr>
    </w:div>
    <w:div w:id="1782722158">
      <w:bodyDiv w:val="1"/>
      <w:marLeft w:val="0"/>
      <w:marRight w:val="0"/>
      <w:marTop w:val="0"/>
      <w:marBottom w:val="0"/>
      <w:divBdr>
        <w:top w:val="none" w:sz="0" w:space="0" w:color="auto"/>
        <w:left w:val="none" w:sz="0" w:space="0" w:color="auto"/>
        <w:bottom w:val="none" w:sz="0" w:space="0" w:color="auto"/>
        <w:right w:val="none" w:sz="0" w:space="0" w:color="auto"/>
      </w:divBdr>
    </w:div>
    <w:div w:id="1824084653">
      <w:bodyDiv w:val="1"/>
      <w:marLeft w:val="0"/>
      <w:marRight w:val="0"/>
      <w:marTop w:val="0"/>
      <w:marBottom w:val="0"/>
      <w:divBdr>
        <w:top w:val="none" w:sz="0" w:space="0" w:color="auto"/>
        <w:left w:val="none" w:sz="0" w:space="0" w:color="auto"/>
        <w:bottom w:val="none" w:sz="0" w:space="0" w:color="auto"/>
        <w:right w:val="none" w:sz="0" w:space="0" w:color="auto"/>
      </w:divBdr>
    </w:div>
    <w:div w:id="1846630819">
      <w:bodyDiv w:val="1"/>
      <w:marLeft w:val="0"/>
      <w:marRight w:val="0"/>
      <w:marTop w:val="0"/>
      <w:marBottom w:val="0"/>
      <w:divBdr>
        <w:top w:val="none" w:sz="0" w:space="0" w:color="auto"/>
        <w:left w:val="none" w:sz="0" w:space="0" w:color="auto"/>
        <w:bottom w:val="none" w:sz="0" w:space="0" w:color="auto"/>
        <w:right w:val="none" w:sz="0" w:space="0" w:color="auto"/>
      </w:divBdr>
    </w:div>
    <w:div w:id="1867601813">
      <w:bodyDiv w:val="1"/>
      <w:marLeft w:val="0"/>
      <w:marRight w:val="0"/>
      <w:marTop w:val="0"/>
      <w:marBottom w:val="0"/>
      <w:divBdr>
        <w:top w:val="none" w:sz="0" w:space="0" w:color="auto"/>
        <w:left w:val="none" w:sz="0" w:space="0" w:color="auto"/>
        <w:bottom w:val="none" w:sz="0" w:space="0" w:color="auto"/>
        <w:right w:val="none" w:sz="0" w:space="0" w:color="auto"/>
      </w:divBdr>
    </w:div>
    <w:div w:id="1890340168">
      <w:bodyDiv w:val="1"/>
      <w:marLeft w:val="0"/>
      <w:marRight w:val="0"/>
      <w:marTop w:val="0"/>
      <w:marBottom w:val="0"/>
      <w:divBdr>
        <w:top w:val="none" w:sz="0" w:space="0" w:color="auto"/>
        <w:left w:val="none" w:sz="0" w:space="0" w:color="auto"/>
        <w:bottom w:val="none" w:sz="0" w:space="0" w:color="auto"/>
        <w:right w:val="none" w:sz="0" w:space="0" w:color="auto"/>
      </w:divBdr>
    </w:div>
    <w:div w:id="1895655389">
      <w:bodyDiv w:val="1"/>
      <w:marLeft w:val="0"/>
      <w:marRight w:val="0"/>
      <w:marTop w:val="0"/>
      <w:marBottom w:val="0"/>
      <w:divBdr>
        <w:top w:val="none" w:sz="0" w:space="0" w:color="auto"/>
        <w:left w:val="none" w:sz="0" w:space="0" w:color="auto"/>
        <w:bottom w:val="none" w:sz="0" w:space="0" w:color="auto"/>
        <w:right w:val="none" w:sz="0" w:space="0" w:color="auto"/>
      </w:divBdr>
    </w:div>
    <w:div w:id="1933203948">
      <w:bodyDiv w:val="1"/>
      <w:marLeft w:val="0"/>
      <w:marRight w:val="0"/>
      <w:marTop w:val="0"/>
      <w:marBottom w:val="0"/>
      <w:divBdr>
        <w:top w:val="none" w:sz="0" w:space="0" w:color="auto"/>
        <w:left w:val="none" w:sz="0" w:space="0" w:color="auto"/>
        <w:bottom w:val="none" w:sz="0" w:space="0" w:color="auto"/>
        <w:right w:val="none" w:sz="0" w:space="0" w:color="auto"/>
      </w:divBdr>
    </w:div>
    <w:div w:id="1950116433">
      <w:bodyDiv w:val="1"/>
      <w:marLeft w:val="0"/>
      <w:marRight w:val="0"/>
      <w:marTop w:val="0"/>
      <w:marBottom w:val="0"/>
      <w:divBdr>
        <w:top w:val="none" w:sz="0" w:space="0" w:color="auto"/>
        <w:left w:val="none" w:sz="0" w:space="0" w:color="auto"/>
        <w:bottom w:val="none" w:sz="0" w:space="0" w:color="auto"/>
        <w:right w:val="none" w:sz="0" w:space="0" w:color="auto"/>
      </w:divBdr>
    </w:div>
    <w:div w:id="1953785157">
      <w:bodyDiv w:val="1"/>
      <w:marLeft w:val="0"/>
      <w:marRight w:val="0"/>
      <w:marTop w:val="0"/>
      <w:marBottom w:val="0"/>
      <w:divBdr>
        <w:top w:val="none" w:sz="0" w:space="0" w:color="auto"/>
        <w:left w:val="none" w:sz="0" w:space="0" w:color="auto"/>
        <w:bottom w:val="none" w:sz="0" w:space="0" w:color="auto"/>
        <w:right w:val="none" w:sz="0" w:space="0" w:color="auto"/>
      </w:divBdr>
    </w:div>
    <w:div w:id="1970428135">
      <w:bodyDiv w:val="1"/>
      <w:marLeft w:val="0"/>
      <w:marRight w:val="0"/>
      <w:marTop w:val="0"/>
      <w:marBottom w:val="0"/>
      <w:divBdr>
        <w:top w:val="none" w:sz="0" w:space="0" w:color="auto"/>
        <w:left w:val="none" w:sz="0" w:space="0" w:color="auto"/>
        <w:bottom w:val="none" w:sz="0" w:space="0" w:color="auto"/>
        <w:right w:val="none" w:sz="0" w:space="0" w:color="auto"/>
      </w:divBdr>
    </w:div>
    <w:div w:id="1981835330">
      <w:bodyDiv w:val="1"/>
      <w:marLeft w:val="0"/>
      <w:marRight w:val="0"/>
      <w:marTop w:val="0"/>
      <w:marBottom w:val="0"/>
      <w:divBdr>
        <w:top w:val="none" w:sz="0" w:space="0" w:color="auto"/>
        <w:left w:val="none" w:sz="0" w:space="0" w:color="auto"/>
        <w:bottom w:val="none" w:sz="0" w:space="0" w:color="auto"/>
        <w:right w:val="none" w:sz="0" w:space="0" w:color="auto"/>
      </w:divBdr>
    </w:div>
    <w:div w:id="2036038236">
      <w:bodyDiv w:val="1"/>
      <w:marLeft w:val="0"/>
      <w:marRight w:val="0"/>
      <w:marTop w:val="0"/>
      <w:marBottom w:val="0"/>
      <w:divBdr>
        <w:top w:val="none" w:sz="0" w:space="0" w:color="auto"/>
        <w:left w:val="none" w:sz="0" w:space="0" w:color="auto"/>
        <w:bottom w:val="none" w:sz="0" w:space="0" w:color="auto"/>
        <w:right w:val="none" w:sz="0" w:space="0" w:color="auto"/>
      </w:divBdr>
    </w:div>
    <w:div w:id="2095934477">
      <w:bodyDiv w:val="1"/>
      <w:marLeft w:val="0"/>
      <w:marRight w:val="0"/>
      <w:marTop w:val="0"/>
      <w:marBottom w:val="0"/>
      <w:divBdr>
        <w:top w:val="none" w:sz="0" w:space="0" w:color="auto"/>
        <w:left w:val="none" w:sz="0" w:space="0" w:color="auto"/>
        <w:bottom w:val="none" w:sz="0" w:space="0" w:color="auto"/>
        <w:right w:val="none" w:sz="0" w:space="0" w:color="auto"/>
      </w:divBdr>
    </w:div>
    <w:div w:id="2097894701">
      <w:bodyDiv w:val="1"/>
      <w:marLeft w:val="0"/>
      <w:marRight w:val="0"/>
      <w:marTop w:val="0"/>
      <w:marBottom w:val="0"/>
      <w:divBdr>
        <w:top w:val="none" w:sz="0" w:space="0" w:color="auto"/>
        <w:left w:val="none" w:sz="0" w:space="0" w:color="auto"/>
        <w:bottom w:val="none" w:sz="0" w:space="0" w:color="auto"/>
        <w:right w:val="none" w:sz="0" w:space="0" w:color="auto"/>
      </w:divBdr>
    </w:div>
    <w:div w:id="2099518158">
      <w:bodyDiv w:val="1"/>
      <w:marLeft w:val="0"/>
      <w:marRight w:val="0"/>
      <w:marTop w:val="0"/>
      <w:marBottom w:val="0"/>
      <w:divBdr>
        <w:top w:val="none" w:sz="0" w:space="0" w:color="auto"/>
        <w:left w:val="none" w:sz="0" w:space="0" w:color="auto"/>
        <w:bottom w:val="none" w:sz="0" w:space="0" w:color="auto"/>
        <w:right w:val="none" w:sz="0" w:space="0" w:color="auto"/>
      </w:divBdr>
    </w:div>
    <w:div w:id="211485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DC1E4-E7A7-4C91-839B-3ADEB9A0A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27503</Words>
  <Characters>156768</Characters>
  <Application>Microsoft Office Word</Application>
  <DocSecurity>0</DocSecurity>
  <Lines>1306</Lines>
  <Paragraphs>367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Company>
  <LinksUpToDate>false</LinksUpToDate>
  <CharactersWithSpaces>183904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cp:lastPrinted>2021-04-08T05:11:00Z</cp:lastPrinted>
  <dcterms:created xsi:type="dcterms:W3CDTF">2022-08-25T10:15:00Z</dcterms:created>
  <dcterms:modified xsi:type="dcterms:W3CDTF">2022-08-25T10:15:00Z</dcterms:modified>
</cp:coreProperties>
</file>